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西安</w:t>
      </w:r>
      <w:bookmarkStart w:id="0" w:name="_GoBack"/>
      <w:bookmarkEnd w:id="0"/>
      <w:r>
        <w:rPr>
          <w:rFonts w:ascii="微软雅黑" w:hAnsi="微软雅黑" w:eastAsia="微软雅黑"/>
          <w:b/>
          <w:sz w:val="32"/>
          <w:szCs w:val="32"/>
        </w:rPr>
        <w:t>外</w:t>
      </w:r>
      <w:r>
        <w:rPr>
          <w:rFonts w:hint="eastAsia" w:ascii="微软雅黑" w:hAnsi="微软雅黑" w:eastAsia="微软雅黑"/>
          <w:b/>
          <w:sz w:val="32"/>
          <w:szCs w:val="32"/>
        </w:rPr>
        <w:t>国语</w:t>
      </w:r>
      <w:r>
        <w:rPr>
          <w:rFonts w:ascii="微软雅黑" w:hAnsi="微软雅黑" w:eastAsia="微软雅黑"/>
          <w:b/>
          <w:sz w:val="32"/>
          <w:szCs w:val="32"/>
        </w:rPr>
        <w:t>大学同等学力研究生教育</w:t>
      </w:r>
    </w:p>
    <w:p>
      <w:pPr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马克思主义理论专业</w:t>
      </w:r>
      <w:r>
        <w:rPr>
          <w:rFonts w:ascii="微软雅黑" w:hAnsi="微软雅黑" w:eastAsia="微软雅黑"/>
          <w:b/>
          <w:sz w:val="32"/>
          <w:szCs w:val="32"/>
        </w:rPr>
        <w:t>培养大纲</w:t>
      </w:r>
    </w:p>
    <w:p>
      <w:pPr>
        <w:widowControl/>
        <w:adjustRightInd w:val="0"/>
        <w:snapToGrid w:val="0"/>
        <w:spacing w:line="300" w:lineRule="auto"/>
        <w:ind w:firstLine="482"/>
        <w:jc w:val="left"/>
        <w:rPr>
          <w:rFonts w:ascii="微软雅黑" w:hAnsi="微软雅黑" w:eastAsia="微软雅黑"/>
          <w:b/>
          <w:color w:val="333333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333333"/>
          <w:sz w:val="24"/>
          <w:szCs w:val="24"/>
          <w:shd w:val="clear" w:color="auto" w:fill="FFFFFF"/>
        </w:rPr>
        <w:t>院校简介：</w:t>
      </w:r>
    </w:p>
    <w:p>
      <w:pPr>
        <w:widowControl/>
        <w:adjustRightInd w:val="0"/>
        <w:snapToGrid w:val="0"/>
        <w:spacing w:line="300" w:lineRule="auto"/>
        <w:ind w:firstLine="482"/>
        <w:jc w:val="left"/>
        <w:rPr>
          <w:rFonts w:ascii="微软雅黑" w:hAnsi="微软雅黑" w:eastAsia="微软雅黑"/>
          <w:b/>
          <w:color w:val="333333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333333"/>
          <w:sz w:val="24"/>
          <w:szCs w:val="24"/>
          <w:shd w:val="clear" w:color="auto" w:fill="FFFFFF"/>
        </w:rPr>
        <w:t>西安外国语大学是新中国最早建立的</w:t>
      </w:r>
      <w:r>
        <w:rPr>
          <w:rFonts w:ascii="微软雅黑" w:hAnsi="微软雅黑" w:eastAsia="微软雅黑"/>
          <w:b/>
          <w:color w:val="333333"/>
          <w:sz w:val="24"/>
          <w:szCs w:val="24"/>
          <w:shd w:val="clear" w:color="auto" w:fill="FFFFFF"/>
        </w:rPr>
        <w:t>4所外语院校之一，是西北地区唯一一所主要外语语种齐全的普通高校。现有外国语言文学博士一级学科学位授权点，16个二级学科博士点和1个博士后科研流动站，与国外8所大学联合培养博士研究生，入选陕西省“国内一流学科建设高校”。</w:t>
      </w:r>
    </w:p>
    <w:p>
      <w:pPr>
        <w:widowControl/>
        <w:adjustRightInd w:val="0"/>
        <w:snapToGrid w:val="0"/>
        <w:spacing w:line="300" w:lineRule="auto"/>
        <w:ind w:firstLine="482"/>
        <w:jc w:val="left"/>
        <w:rPr>
          <w:rFonts w:hint="eastAsia" w:ascii="微软雅黑" w:hAnsi="微软雅黑" w:eastAsia="微软雅黑"/>
          <w:b/>
          <w:color w:val="333333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333333"/>
          <w:sz w:val="24"/>
          <w:szCs w:val="24"/>
          <w:shd w:val="clear" w:color="auto" w:fill="FFFFFF"/>
        </w:rPr>
        <w:t>现有外国语言文学、马克思主义理论、教育学、中国语言文学、应用经济学、政治学、新闻传播学、地理学、工商管理等</w:t>
      </w:r>
      <w:r>
        <w:rPr>
          <w:rFonts w:ascii="微软雅黑" w:hAnsi="微软雅黑" w:eastAsia="微软雅黑"/>
          <w:b/>
          <w:color w:val="333333"/>
          <w:sz w:val="24"/>
          <w:szCs w:val="24"/>
          <w:shd w:val="clear" w:color="auto" w:fill="FFFFFF"/>
        </w:rPr>
        <w:t>9个硕士一级学位授权点，47个二级学位授权点，翻译、汉语国际教育、旅游管理、会计、新闻传播、教育、金融、国际商务、艺术等9个硕士专业学位授权点。</w:t>
      </w:r>
    </w:p>
    <w:p>
      <w:pPr>
        <w:widowControl/>
        <w:adjustRightInd w:val="0"/>
        <w:snapToGrid w:val="0"/>
        <w:spacing w:line="300" w:lineRule="auto"/>
        <w:ind w:firstLine="482"/>
        <w:jc w:val="left"/>
        <w:rPr>
          <w:rFonts w:ascii="微软雅黑" w:hAnsi="微软雅黑" w:eastAsia="微软雅黑"/>
          <w:b/>
          <w:color w:val="333333"/>
          <w:sz w:val="24"/>
          <w:szCs w:val="24"/>
          <w:shd w:val="clear" w:color="auto" w:fill="FFFFFF"/>
        </w:rPr>
      </w:pPr>
    </w:p>
    <w:p>
      <w:pPr>
        <w:widowControl/>
        <w:adjustRightInd w:val="0"/>
        <w:snapToGrid w:val="0"/>
        <w:spacing w:line="300" w:lineRule="auto"/>
        <w:ind w:firstLine="482"/>
        <w:jc w:val="left"/>
        <w:rPr>
          <w:rFonts w:ascii="微软雅黑" w:hAnsi="微软雅黑" w:eastAsia="微软雅黑"/>
          <w:b/>
          <w:color w:val="333333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333333"/>
          <w:sz w:val="24"/>
          <w:szCs w:val="24"/>
          <w:shd w:val="clear" w:color="auto" w:fill="FFFFFF"/>
        </w:rPr>
        <w:t>一、培养目标</w:t>
      </w:r>
    </w:p>
    <w:p>
      <w:pPr>
        <w:ind w:firstLine="560" w:firstLineChars="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专业培养具有坚定的马克思主义信仰和社会主义信念，能够坚持正确的理论方向和良好的学风，熟悉马列主义经典著作和中国化马克思主义重要文献，有良好的马克思主义理论素养和专业基础知识，能够运用马克思主义立场、观点、方法分析说明重大问题；掌握一门外国语，并能熟练地阅读本专业的外文资料；了解本学科研究的最新学术动态和研究成果，恪守学术道德和本学科的学术规范，具有一定的研究和写作能力；成为从事与马克思主义理论学科相关的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理论研究、教育教学、宣传思想政治等工作的应用研究型人才。</w:t>
      </w:r>
    </w:p>
    <w:p>
      <w:pPr>
        <w:widowControl/>
        <w:adjustRightInd w:val="0"/>
        <w:snapToGrid w:val="0"/>
        <w:spacing w:line="300" w:lineRule="auto"/>
        <w:ind w:firstLine="482"/>
        <w:jc w:val="left"/>
        <w:rPr>
          <w:rFonts w:ascii="微软雅黑" w:hAnsi="微软雅黑" w:eastAsia="微软雅黑"/>
          <w:b/>
          <w:color w:val="333333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333333"/>
          <w:sz w:val="24"/>
          <w:szCs w:val="24"/>
          <w:shd w:val="clear" w:color="auto" w:fill="FFFFFF"/>
        </w:rPr>
        <w:t>二、课程设置</w:t>
      </w:r>
    </w:p>
    <w:p>
      <w:pPr>
        <w:widowControl/>
        <w:adjustRightInd w:val="0"/>
        <w:snapToGrid w:val="0"/>
        <w:spacing w:line="360" w:lineRule="auto"/>
        <w:ind w:firstLine="482"/>
        <w:jc w:val="left"/>
        <w:rPr>
          <w:rFonts w:ascii="宋体" w:hAnsi="宋体" w:eastAsia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课程充分</w:t>
      </w:r>
      <w:r>
        <w:rPr>
          <w:rFonts w:ascii="宋体" w:hAnsi="宋体" w:eastAsia="宋体"/>
          <w:color w:val="333333"/>
          <w:sz w:val="24"/>
          <w:szCs w:val="24"/>
          <w:shd w:val="clear" w:color="auto" w:fill="FFFFFF"/>
        </w:rPr>
        <w:t>考虑在</w:t>
      </w: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教指委</w:t>
      </w:r>
      <w:r>
        <w:rPr>
          <w:rFonts w:ascii="宋体" w:hAnsi="宋体" w:eastAsia="宋体"/>
          <w:color w:val="333333"/>
          <w:sz w:val="24"/>
          <w:szCs w:val="24"/>
          <w:shd w:val="clear" w:color="auto" w:fill="FFFFFF"/>
        </w:rPr>
        <w:t>规定的核心课程基础上</w:t>
      </w: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体现西安外国语大学特色，其中包括公共必修课</w:t>
      </w:r>
      <w:r>
        <w:rPr>
          <w:rFonts w:ascii="宋体" w:hAnsi="宋体" w:eastAsia="宋体"/>
          <w:color w:val="333333"/>
          <w:sz w:val="24"/>
          <w:szCs w:val="24"/>
          <w:shd w:val="clear" w:color="auto" w:fill="FFFFFF"/>
        </w:rPr>
        <w:t>5</w:t>
      </w: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门、专业必修课</w:t>
      </w:r>
      <w:r>
        <w:rPr>
          <w:rFonts w:ascii="宋体" w:hAnsi="宋体" w:eastAsia="宋体"/>
          <w:color w:val="333333"/>
          <w:sz w:val="24"/>
          <w:szCs w:val="24"/>
          <w:shd w:val="clear" w:color="auto" w:fill="FFFFFF"/>
        </w:rPr>
        <w:t>6</w:t>
      </w: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门、专业选修课</w:t>
      </w:r>
      <w:r>
        <w:rPr>
          <w:rFonts w:ascii="宋体" w:hAnsi="宋体" w:eastAsia="宋体"/>
          <w:color w:val="333333"/>
          <w:sz w:val="24"/>
          <w:szCs w:val="24"/>
          <w:shd w:val="clear" w:color="auto" w:fill="FFFFFF"/>
        </w:rPr>
        <w:t>7</w:t>
      </w: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门。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804"/>
        <w:gridCol w:w="2446"/>
        <w:gridCol w:w="2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804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  <w:t>公共必修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（</w:t>
            </w: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5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门,</w:t>
            </w: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9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学分）</w:t>
            </w:r>
          </w:p>
        </w:tc>
        <w:tc>
          <w:tcPr>
            <w:tcW w:w="2446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  <w:t>专业必修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（</w:t>
            </w: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6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门,12学分）</w:t>
            </w:r>
          </w:p>
        </w:tc>
        <w:tc>
          <w:tcPr>
            <w:tcW w:w="2600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  <w:t>专业选修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（</w:t>
            </w: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2门，</w:t>
            </w: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任选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7门</w:t>
            </w: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，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13学分）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</w:trPr>
        <w:tc>
          <w:tcPr>
            <w:tcW w:w="1452" w:type="dxa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1.思想政治教育</w:t>
            </w:r>
          </w:p>
          <w:p>
            <w:pPr>
              <w:widowControl/>
              <w:adjustRightInd w:val="0"/>
              <w:snapToGrid w:val="0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ind w:left="315" w:hanging="315" w:hangingChars="150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2.马克思主义中国化时代化</w:t>
            </w:r>
          </w:p>
          <w:p>
            <w:pPr>
              <w:widowControl/>
              <w:adjustRightInd w:val="0"/>
              <w:snapToGrid w:val="0"/>
              <w:ind w:left="210" w:hanging="210" w:hangingChars="100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ind w:left="210" w:hanging="210" w:hangingChars="100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</w:p>
        </w:tc>
        <w:tc>
          <w:tcPr>
            <w:tcW w:w="1804" w:type="dxa"/>
            <w:vAlign w:val="center"/>
          </w:tcPr>
          <w:p>
            <w:pPr>
              <w:widowControl/>
              <w:adjustRightInd w:val="0"/>
              <w:snapToGrid w:val="0"/>
              <w:ind w:left="170" w:hanging="170" w:hangingChars="100"/>
              <w:rPr>
                <w:rFonts w:ascii="仿宋" w:hAnsi="仿宋" w:eastAsia="仿宋" w:cs="宋体"/>
                <w:color w:val="666666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666666"/>
                <w:spacing w:val="-20"/>
                <w:kern w:val="0"/>
                <w:szCs w:val="21"/>
              </w:rPr>
              <w:t>1、中国</w:t>
            </w:r>
            <w:r>
              <w:rPr>
                <w:rFonts w:ascii="仿宋" w:hAnsi="仿宋" w:eastAsia="仿宋" w:cs="宋体"/>
                <w:color w:val="666666"/>
                <w:spacing w:val="-20"/>
                <w:kern w:val="0"/>
                <w:szCs w:val="21"/>
              </w:rPr>
              <w:t>特色社会主义理论与实践研究</w:t>
            </w:r>
            <w:r>
              <w:rPr>
                <w:rFonts w:hint="eastAsia" w:ascii="仿宋" w:hAnsi="仿宋" w:eastAsia="仿宋" w:cs="宋体"/>
                <w:color w:val="666666"/>
                <w:spacing w:val="-20"/>
                <w:kern w:val="0"/>
                <w:szCs w:val="21"/>
              </w:rPr>
              <w:t>（1.5）</w:t>
            </w:r>
          </w:p>
          <w:p>
            <w:pPr>
              <w:widowControl/>
              <w:adjustRightInd w:val="0"/>
              <w:snapToGrid w:val="0"/>
              <w:ind w:left="170" w:hanging="170" w:hangingChars="100"/>
              <w:rPr>
                <w:rFonts w:ascii="仿宋" w:hAnsi="仿宋" w:eastAsia="仿宋" w:cs="宋体"/>
                <w:color w:val="666666"/>
                <w:spacing w:val="-2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666666"/>
                <w:spacing w:val="-20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color w:val="666666"/>
                <w:spacing w:val="-20"/>
                <w:kern w:val="0"/>
                <w:szCs w:val="21"/>
              </w:rPr>
              <w:t>、马克思</w:t>
            </w:r>
            <w:r>
              <w:rPr>
                <w:rFonts w:ascii="仿宋" w:hAnsi="仿宋" w:eastAsia="仿宋" w:cs="宋体"/>
                <w:color w:val="666666"/>
                <w:spacing w:val="-20"/>
                <w:kern w:val="0"/>
                <w:szCs w:val="21"/>
              </w:rPr>
              <w:t>主义与社会科学方法论（</w:t>
            </w:r>
            <w:r>
              <w:rPr>
                <w:rFonts w:hint="eastAsia" w:ascii="仿宋" w:hAnsi="仿宋" w:eastAsia="仿宋" w:cs="宋体"/>
                <w:color w:val="666666"/>
                <w:spacing w:val="-20"/>
                <w:kern w:val="0"/>
                <w:szCs w:val="21"/>
              </w:rPr>
              <w:t>1.5</w:t>
            </w:r>
            <w:r>
              <w:rPr>
                <w:rFonts w:ascii="仿宋" w:hAnsi="仿宋" w:eastAsia="仿宋" w:cs="宋体"/>
                <w:color w:val="666666"/>
                <w:spacing w:val="-20"/>
                <w:kern w:val="0"/>
                <w:szCs w:val="21"/>
              </w:rPr>
              <w:t>）</w:t>
            </w:r>
          </w:p>
          <w:p>
            <w:pPr>
              <w:widowControl/>
              <w:adjustRightInd w:val="0"/>
              <w:snapToGrid w:val="0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3、</w:t>
            </w:r>
            <w:r>
              <w:rPr>
                <w:rFonts w:hint="eastAsia" w:ascii="仿宋" w:hAnsi="仿宋" w:eastAsia="仿宋" w:cs="宋体"/>
                <w:color w:val="666666"/>
                <w:spacing w:val="-20"/>
                <w:kern w:val="0"/>
                <w:szCs w:val="21"/>
              </w:rPr>
              <w:t>英语</w:t>
            </w:r>
            <w:r>
              <w:rPr>
                <w:rFonts w:ascii="仿宋" w:hAnsi="仿宋" w:eastAsia="仿宋" w:cs="宋体"/>
                <w:color w:val="666666"/>
                <w:spacing w:val="-20"/>
                <w:kern w:val="0"/>
                <w:szCs w:val="21"/>
              </w:rPr>
              <w:t>（</w:t>
            </w:r>
            <w:r>
              <w:rPr>
                <w:rFonts w:hint="eastAsia" w:ascii="仿宋" w:hAnsi="仿宋" w:eastAsia="仿宋" w:cs="宋体"/>
                <w:color w:val="666666"/>
                <w:spacing w:val="-20"/>
                <w:kern w:val="0"/>
                <w:szCs w:val="21"/>
              </w:rPr>
              <w:t>两学期</w:t>
            </w:r>
            <w:r>
              <w:rPr>
                <w:rFonts w:ascii="仿宋" w:hAnsi="仿宋" w:eastAsia="仿宋" w:cs="宋体"/>
                <w:color w:val="666666"/>
                <w:spacing w:val="-20"/>
                <w:kern w:val="0"/>
                <w:szCs w:val="21"/>
              </w:rPr>
              <w:t>，</w:t>
            </w:r>
            <w:r>
              <w:rPr>
                <w:rFonts w:hint="eastAsia" w:ascii="仿宋" w:hAnsi="仿宋" w:eastAsia="仿宋" w:cs="宋体"/>
                <w:color w:val="666666"/>
                <w:spacing w:val="-20"/>
                <w:kern w:val="0"/>
                <w:szCs w:val="21"/>
              </w:rPr>
              <w:t>4</w:t>
            </w:r>
            <w:r>
              <w:rPr>
                <w:rFonts w:ascii="仿宋" w:hAnsi="仿宋" w:eastAsia="仿宋" w:cs="宋体"/>
                <w:color w:val="666666"/>
                <w:spacing w:val="-20"/>
                <w:kern w:val="0"/>
                <w:szCs w:val="21"/>
              </w:rPr>
              <w:t>）</w:t>
            </w:r>
          </w:p>
          <w:p>
            <w:pPr>
              <w:widowControl/>
              <w:adjustRightInd w:val="0"/>
              <w:snapToGrid w:val="0"/>
              <w:ind w:left="210" w:hanging="210" w:hangingChars="100"/>
              <w:rPr>
                <w:rFonts w:ascii="仿宋" w:hAnsi="仿宋" w:eastAsia="仿宋" w:cs="宋体"/>
                <w:color w:val="666666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4、</w:t>
            </w:r>
            <w:r>
              <w:rPr>
                <w:rFonts w:hint="eastAsia" w:ascii="仿宋" w:hAnsi="仿宋" w:eastAsia="仿宋" w:cs="宋体"/>
                <w:color w:val="666666"/>
                <w:spacing w:val="-20"/>
                <w:kern w:val="0"/>
                <w:szCs w:val="21"/>
              </w:rPr>
              <w:t>学术</w:t>
            </w:r>
            <w:r>
              <w:rPr>
                <w:rFonts w:ascii="仿宋" w:hAnsi="仿宋" w:eastAsia="仿宋" w:cs="宋体"/>
                <w:color w:val="666666"/>
                <w:spacing w:val="-20"/>
                <w:kern w:val="0"/>
                <w:szCs w:val="21"/>
              </w:rPr>
              <w:t>道德规范与心理健康</w:t>
            </w:r>
            <w:r>
              <w:rPr>
                <w:rFonts w:hint="eastAsia" w:ascii="仿宋" w:hAnsi="仿宋" w:eastAsia="仿宋" w:cs="宋体"/>
                <w:color w:val="666666"/>
                <w:spacing w:val="-20"/>
                <w:kern w:val="0"/>
                <w:szCs w:val="21"/>
              </w:rPr>
              <w:t>（1）</w:t>
            </w:r>
          </w:p>
          <w:p>
            <w:pPr>
              <w:widowControl/>
              <w:adjustRightInd w:val="0"/>
              <w:snapToGrid w:val="0"/>
              <w:ind w:left="170" w:hanging="170" w:hangingChars="100"/>
              <w:rPr>
                <w:rFonts w:ascii="仿宋" w:hAnsi="仿宋" w:eastAsia="仿宋" w:cs="宋体"/>
                <w:color w:val="666666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666666"/>
                <w:spacing w:val="-20"/>
                <w:kern w:val="0"/>
                <w:szCs w:val="21"/>
              </w:rPr>
              <w:t>5、</w:t>
            </w:r>
            <w:r>
              <w:rPr>
                <w:rFonts w:ascii="仿宋" w:hAnsi="仿宋" w:eastAsia="仿宋" w:cs="宋体"/>
                <w:color w:val="666666"/>
                <w:spacing w:val="-20"/>
                <w:kern w:val="0"/>
                <w:szCs w:val="21"/>
              </w:rPr>
              <w:t>新时代新思想研究专题（</w:t>
            </w:r>
            <w:r>
              <w:rPr>
                <w:rFonts w:hint="eastAsia" w:ascii="仿宋" w:hAnsi="仿宋" w:eastAsia="仿宋" w:cs="宋体"/>
                <w:color w:val="666666"/>
                <w:spacing w:val="-20"/>
                <w:kern w:val="0"/>
                <w:szCs w:val="21"/>
              </w:rPr>
              <w:t>1</w:t>
            </w:r>
            <w:r>
              <w:rPr>
                <w:rFonts w:ascii="仿宋" w:hAnsi="仿宋" w:eastAsia="仿宋" w:cs="宋体"/>
                <w:color w:val="666666"/>
                <w:spacing w:val="-20"/>
                <w:kern w:val="0"/>
                <w:szCs w:val="21"/>
              </w:rPr>
              <w:t>）</w:t>
            </w:r>
          </w:p>
          <w:p>
            <w:pPr>
              <w:widowControl/>
              <w:adjustRightInd w:val="0"/>
              <w:snapToGrid w:val="0"/>
              <w:ind w:left="210" w:hanging="210" w:hangingChars="100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</w:p>
        </w:tc>
        <w:tc>
          <w:tcPr>
            <w:tcW w:w="244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.马克思主义发展史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2.马克思主义中国化前沿问题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3.国外马克思主义专题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4.社会主义发展史专题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5.思想政治教育理论与方法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6.党史党建专题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</w:p>
        </w:tc>
        <w:tc>
          <w:tcPr>
            <w:tcW w:w="2600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1.习近平谈治国理政专题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2.意识形态问题研究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3.改革开放史专题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4.西方哲学专题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5.中国哲学与文化专题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6.中国共产党思想政治教育史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7.思想政治教育前沿问题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8.宣传思想工作能力培养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9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.政论文写作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10.调查研究方法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11.科研活动（1）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666666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color w:val="666666"/>
                <w:kern w:val="0"/>
                <w:szCs w:val="21"/>
              </w:rPr>
              <w:t>2.实践活动（1）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color w:val="666666"/>
                <w:kern w:val="0"/>
                <w:szCs w:val="21"/>
              </w:rPr>
            </w:pPr>
          </w:p>
        </w:tc>
      </w:tr>
    </w:tbl>
    <w:p>
      <w:pPr>
        <w:widowControl/>
        <w:adjustRightInd w:val="0"/>
        <w:snapToGrid w:val="0"/>
        <w:ind w:firstLine="482"/>
        <w:jc w:val="left"/>
        <w:rPr>
          <w:rFonts w:ascii="楷体" w:hAnsi="楷体" w:eastAsia="楷体"/>
          <w:color w:val="333333"/>
          <w:szCs w:val="21"/>
          <w:shd w:val="clear" w:color="auto" w:fill="FFFFFF"/>
        </w:rPr>
      </w:pPr>
      <w:r>
        <w:rPr>
          <w:rFonts w:hint="eastAsia" w:ascii="楷体" w:hAnsi="楷体" w:eastAsia="楷体"/>
          <w:color w:val="333333"/>
          <w:szCs w:val="21"/>
          <w:shd w:val="clear" w:color="auto" w:fill="FFFFFF"/>
        </w:rPr>
        <w:t>注</w:t>
      </w:r>
      <w:r>
        <w:rPr>
          <w:rFonts w:ascii="楷体" w:hAnsi="楷体" w:eastAsia="楷体"/>
          <w:color w:val="333333"/>
          <w:szCs w:val="21"/>
          <w:shd w:val="clear" w:color="auto" w:fill="FFFFFF"/>
        </w:rPr>
        <w:t>：表中未标学分的课程均为</w:t>
      </w:r>
      <w:r>
        <w:rPr>
          <w:rFonts w:hint="eastAsia" w:ascii="楷体" w:hAnsi="楷体" w:eastAsia="楷体"/>
          <w:color w:val="333333"/>
          <w:szCs w:val="21"/>
          <w:shd w:val="clear" w:color="auto" w:fill="FFFFFF"/>
        </w:rPr>
        <w:t>2学分；公共</w:t>
      </w:r>
      <w:r>
        <w:rPr>
          <w:rFonts w:ascii="楷体" w:hAnsi="楷体" w:eastAsia="楷体"/>
          <w:color w:val="333333"/>
          <w:szCs w:val="21"/>
          <w:shd w:val="clear" w:color="auto" w:fill="FFFFFF"/>
        </w:rPr>
        <w:t>必修课含公共选修课；</w:t>
      </w:r>
      <w:r>
        <w:rPr>
          <w:rFonts w:hint="eastAsia" w:ascii="楷体" w:hAnsi="楷体" w:eastAsia="楷体"/>
          <w:color w:val="333333"/>
          <w:szCs w:val="21"/>
          <w:shd w:val="clear" w:color="auto" w:fill="FFFFFF"/>
        </w:rPr>
        <w:t>专业</w:t>
      </w:r>
      <w:r>
        <w:rPr>
          <w:rFonts w:ascii="楷体" w:hAnsi="楷体" w:eastAsia="楷体"/>
          <w:color w:val="333333"/>
          <w:szCs w:val="21"/>
          <w:shd w:val="clear" w:color="auto" w:fill="FFFFFF"/>
        </w:rPr>
        <w:t>选修课含必修环节的科研和实践活动。</w:t>
      </w:r>
    </w:p>
    <w:p>
      <w:pPr>
        <w:widowControl/>
        <w:adjustRightInd w:val="0"/>
        <w:snapToGrid w:val="0"/>
        <w:spacing w:line="360" w:lineRule="auto"/>
        <w:ind w:firstLine="482"/>
        <w:jc w:val="left"/>
        <w:rPr>
          <w:rFonts w:ascii="微软雅黑" w:hAnsi="微软雅黑" w:eastAsia="微软雅黑"/>
          <w:b/>
          <w:color w:val="333333"/>
          <w:sz w:val="24"/>
          <w:szCs w:val="24"/>
          <w:shd w:val="clear" w:color="auto" w:fill="FFFFFF"/>
        </w:rPr>
      </w:pPr>
    </w:p>
    <w:p>
      <w:pPr>
        <w:widowControl/>
        <w:adjustRightInd w:val="0"/>
        <w:snapToGrid w:val="0"/>
        <w:spacing w:line="360" w:lineRule="auto"/>
        <w:ind w:firstLine="482"/>
        <w:jc w:val="left"/>
        <w:rPr>
          <w:rFonts w:ascii="微软雅黑" w:hAnsi="微软雅黑" w:eastAsia="微软雅黑"/>
          <w:b/>
          <w:color w:val="333333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333333"/>
          <w:sz w:val="24"/>
          <w:szCs w:val="24"/>
          <w:shd w:val="clear" w:color="auto" w:fill="FFFFFF"/>
        </w:rPr>
        <w:t>三、考核</w:t>
      </w:r>
    </w:p>
    <w:p>
      <w:pPr>
        <w:widowControl/>
        <w:adjustRightInd w:val="0"/>
        <w:snapToGrid w:val="0"/>
        <w:spacing w:line="360" w:lineRule="auto"/>
        <w:ind w:firstLine="482"/>
        <w:jc w:val="left"/>
        <w:rPr>
          <w:rFonts w:ascii="宋体" w:hAnsi="宋体" w:eastAsia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考核包括课程考试考核（考试或论文的方式）、同等学力发展</w:t>
      </w:r>
      <w:r>
        <w:rPr>
          <w:rFonts w:ascii="宋体" w:hAnsi="宋体" w:eastAsia="宋体"/>
          <w:color w:val="333333"/>
          <w:sz w:val="24"/>
          <w:szCs w:val="24"/>
          <w:shd w:val="clear" w:color="auto" w:fill="FFFFFF"/>
        </w:rPr>
        <w:t>中心</w:t>
      </w: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申请学位资格考核、教育部同等学力人员申请硕士学位外语水平和</w:t>
      </w:r>
      <w:r>
        <w:rPr>
          <w:rFonts w:ascii="宋体" w:hAnsi="宋体" w:eastAsia="宋体"/>
          <w:color w:val="333333"/>
          <w:sz w:val="24"/>
          <w:szCs w:val="24"/>
          <w:shd w:val="clear" w:color="auto" w:fill="FFFFFF"/>
        </w:rPr>
        <w:t>学科综合水平全国统一考试</w:t>
      </w: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（执行国务院</w:t>
      </w:r>
      <w:r>
        <w:rPr>
          <w:rFonts w:ascii="宋体" w:hAnsi="宋体" w:eastAsia="宋体"/>
          <w:color w:val="333333"/>
          <w:sz w:val="24"/>
          <w:szCs w:val="24"/>
          <w:shd w:val="clear" w:color="auto" w:fill="FFFFFF"/>
        </w:rPr>
        <w:t>学位办</w:t>
      </w: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当期</w:t>
      </w:r>
      <w:r>
        <w:rPr>
          <w:rFonts w:ascii="宋体" w:hAnsi="宋体" w:eastAsia="宋体"/>
          <w:color w:val="333333"/>
          <w:sz w:val="24"/>
          <w:szCs w:val="24"/>
          <w:shd w:val="clear" w:color="auto" w:fill="FFFFFF"/>
        </w:rPr>
        <w:t>文件</w:t>
      </w: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）等。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1MzY2YTAxNWUyODE1YWU0MmZiOGVkOTkxZDU1MGMifQ=="/>
  </w:docVars>
  <w:rsids>
    <w:rsidRoot w:val="00454B20"/>
    <w:rsid w:val="00043F36"/>
    <w:rsid w:val="000851ED"/>
    <w:rsid w:val="000C49AC"/>
    <w:rsid w:val="00111366"/>
    <w:rsid w:val="001125AD"/>
    <w:rsid w:val="001772B7"/>
    <w:rsid w:val="001834CE"/>
    <w:rsid w:val="002160E5"/>
    <w:rsid w:val="0023745F"/>
    <w:rsid w:val="003020A1"/>
    <w:rsid w:val="00376982"/>
    <w:rsid w:val="004152BE"/>
    <w:rsid w:val="00454B20"/>
    <w:rsid w:val="004D3DB7"/>
    <w:rsid w:val="004F5ADE"/>
    <w:rsid w:val="00542969"/>
    <w:rsid w:val="005F071A"/>
    <w:rsid w:val="00601E9C"/>
    <w:rsid w:val="00605719"/>
    <w:rsid w:val="00667256"/>
    <w:rsid w:val="006C4F79"/>
    <w:rsid w:val="006D7E33"/>
    <w:rsid w:val="00741746"/>
    <w:rsid w:val="00744630"/>
    <w:rsid w:val="00756546"/>
    <w:rsid w:val="007824E3"/>
    <w:rsid w:val="008725A3"/>
    <w:rsid w:val="008803C0"/>
    <w:rsid w:val="008A2688"/>
    <w:rsid w:val="008D5D4B"/>
    <w:rsid w:val="009107BD"/>
    <w:rsid w:val="0092483B"/>
    <w:rsid w:val="009E4DC5"/>
    <w:rsid w:val="00A110CF"/>
    <w:rsid w:val="00B23A41"/>
    <w:rsid w:val="00B74403"/>
    <w:rsid w:val="00BD14EA"/>
    <w:rsid w:val="00C64045"/>
    <w:rsid w:val="00C665CF"/>
    <w:rsid w:val="00C869F9"/>
    <w:rsid w:val="00CD5863"/>
    <w:rsid w:val="00D04BB2"/>
    <w:rsid w:val="00D1690F"/>
    <w:rsid w:val="00D70D77"/>
    <w:rsid w:val="00DD6E3F"/>
    <w:rsid w:val="00EC4B7C"/>
    <w:rsid w:val="00F05FDD"/>
    <w:rsid w:val="00FB6A76"/>
    <w:rsid w:val="00FB79C2"/>
    <w:rsid w:val="00FF23F5"/>
    <w:rsid w:val="041E5230"/>
    <w:rsid w:val="0F5B0A96"/>
    <w:rsid w:val="115672B6"/>
    <w:rsid w:val="1AEE40ED"/>
    <w:rsid w:val="43107826"/>
    <w:rsid w:val="469B51E8"/>
    <w:rsid w:val="61E6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网格型1"/>
    <w:basedOn w:val="4"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网格型2"/>
    <w:basedOn w:val="4"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3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字符"/>
    <w:basedOn w:val="6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6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167</Words>
  <Characters>957</Characters>
  <Lines>7</Lines>
  <Paragraphs>2</Paragraphs>
  <TotalTime>13</TotalTime>
  <ScaleCrop>false</ScaleCrop>
  <LinksUpToDate>false</LinksUpToDate>
  <CharactersWithSpaces>1122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2022-10-16T04:35:00Z</dcterms:created>
  <dc:creator>Administrator</dc:creator>
  <cp:lastModifiedBy>冰冰⊙▽⊙＊</cp:lastModifiedBy>
  <dcterms:modified xsi:type="dcterms:W3CDTF">2023-02-14T06:00:13Z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9AE1A1200CC24A3886A46493DD2E297C</vt:lpwstr>
  </property>
</Properties>
</file>