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80" w:firstLineChars="100"/>
        <w:jc w:val="center"/>
        <w:rPr>
          <w:rStyle w:val="5"/>
          <w:rFonts w:ascii="仿宋" w:hAnsi="仿宋" w:eastAsia="仿宋" w:cs="仿宋"/>
          <w:b w:val="0"/>
          <w:color w:val="333333"/>
          <w:kern w:val="0"/>
          <w:sz w:val="28"/>
          <w:szCs w:val="28"/>
          <w:shd w:val="clear" w:color="auto" w:fill="FFFFFF"/>
          <w:lang w:bidi="ar"/>
        </w:rPr>
      </w:pPr>
      <w:r>
        <w:rPr>
          <w:rStyle w:val="5"/>
          <w:rFonts w:hint="eastAsia" w:ascii="仿宋" w:hAnsi="仿宋" w:eastAsia="仿宋" w:cs="仿宋"/>
          <w:b w:val="0"/>
          <w:color w:val="333333"/>
          <w:kern w:val="0"/>
          <w:sz w:val="28"/>
          <w:szCs w:val="28"/>
          <w:shd w:val="clear" w:color="auto" w:fill="FFFFFF"/>
          <w:lang w:bidi="ar"/>
        </w:rPr>
        <w:t>三峡大学2022年同等学力人员申请硕士学位招生简章</w:t>
      </w:r>
    </w:p>
    <w:p>
      <w:pPr>
        <w:pStyle w:val="2"/>
        <w:widowControl/>
        <w:shd w:val="clear" w:color="auto" w:fill="FFFFFF"/>
        <w:spacing w:beforeAutospacing="0" w:afterAutospacing="0" w:line="315" w:lineRule="atLeast"/>
        <w:ind w:firstLine="555"/>
        <w:rPr>
          <w:rStyle w:val="5"/>
          <w:rFonts w:ascii="仿宋" w:hAnsi="仿宋" w:eastAsia="仿宋" w:cs="仿宋"/>
          <w:b w:val="0"/>
          <w:color w:val="333333"/>
          <w:sz w:val="28"/>
          <w:szCs w:val="28"/>
          <w:shd w:val="clear" w:color="auto" w:fill="FFFFFF"/>
        </w:rPr>
      </w:pPr>
    </w:p>
    <w:p>
      <w:pPr>
        <w:pStyle w:val="2"/>
        <w:widowControl/>
        <w:shd w:val="clear" w:color="auto" w:fill="FFFFFF"/>
        <w:spacing w:beforeAutospacing="0" w:afterAutospacing="0" w:line="315" w:lineRule="atLeast"/>
        <w:ind w:firstLine="555"/>
        <w:rPr>
          <w:rFonts w:ascii="Tahoma" w:hAnsi="Tahoma" w:eastAsia="Tahoma" w:cs="Tahoma"/>
          <w:color w:val="333333"/>
          <w:sz w:val="21"/>
          <w:szCs w:val="21"/>
        </w:rPr>
      </w:pPr>
      <w:r>
        <w:rPr>
          <w:rStyle w:val="5"/>
          <w:rFonts w:ascii="仿宋" w:hAnsi="仿宋" w:eastAsia="仿宋" w:cs="仿宋"/>
          <w:b w:val="0"/>
          <w:color w:val="333333"/>
          <w:sz w:val="28"/>
          <w:szCs w:val="28"/>
          <w:shd w:val="clear" w:color="auto" w:fill="FFFFFF"/>
        </w:rPr>
        <w:t>一、</w:t>
      </w:r>
      <w:bookmarkStart w:id="0" w:name="_Hlk117094492"/>
      <w:r>
        <w:rPr>
          <w:rStyle w:val="5"/>
          <w:rFonts w:ascii="仿宋" w:hAnsi="仿宋" w:eastAsia="仿宋" w:cs="仿宋"/>
          <w:b w:val="0"/>
          <w:color w:val="333333"/>
          <w:sz w:val="28"/>
          <w:szCs w:val="28"/>
          <w:shd w:val="clear" w:color="auto" w:fill="FFFFFF"/>
        </w:rPr>
        <w:t>学校简介</w:t>
      </w:r>
    </w:p>
    <w:p>
      <w:pPr>
        <w:pStyle w:val="2"/>
        <w:widowControl/>
        <w:shd w:val="clear" w:color="auto" w:fill="FFFFFF"/>
        <w:spacing w:beforeAutospacing="0" w:afterAutospacing="0" w:line="315" w:lineRule="atLeast"/>
        <w:ind w:firstLine="570"/>
        <w:rPr>
          <w:rFonts w:ascii="Tahoma" w:hAnsi="Tahoma" w:eastAsia="Tahoma" w:cs="Tahoma"/>
          <w:color w:val="333333"/>
          <w:sz w:val="21"/>
          <w:szCs w:val="21"/>
        </w:rPr>
      </w:pPr>
      <w:r>
        <w:rPr>
          <w:rFonts w:hint="eastAsia" w:ascii="仿宋" w:hAnsi="仿宋" w:eastAsia="仿宋" w:cs="仿宋"/>
          <w:color w:val="333333"/>
          <w:sz w:val="28"/>
          <w:szCs w:val="28"/>
          <w:shd w:val="clear" w:color="auto" w:fill="FFFFFF"/>
        </w:rPr>
        <w:t>三峡大学坐落在有“三峡明珠”、“世界水电之都”之称的宜昌市，是国家水利部和湖北省人民政府共建高校、湖北省“国内一流大学建设高校”。1996年开始培养硕士研究生，1998年开始培养博士研究生，现面向全球招收本科生、硕士和博士研究生。</w:t>
      </w:r>
    </w:p>
    <w:p>
      <w:pPr>
        <w:pStyle w:val="2"/>
        <w:widowControl/>
        <w:shd w:val="clear" w:color="auto" w:fill="FFFFFF"/>
        <w:spacing w:beforeAutospacing="0" w:afterAutospacing="0" w:line="315" w:lineRule="atLeast"/>
        <w:ind w:firstLine="57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水利工程、土木工程、电气工程等3个学科为“国内一流学科建设学科”。现有水利工程、土木工程、电气工程、管理科学与工程4个一级学科博士点，土木水利专业学位博士点，27个一级学科硕士点，22个硕士专业学位类别33个专业学位领域，水利工程、土木工程、电气工程、管理科学与工程4个博士后科研流动站。工程学、化学、临床医学、材料科学等4个学科进入ESI全球排名前1%。</w:t>
      </w:r>
    </w:p>
    <w:p>
      <w:pPr>
        <w:pStyle w:val="2"/>
        <w:widowControl/>
        <w:shd w:val="clear" w:color="auto" w:fill="FFFFFF"/>
        <w:spacing w:beforeAutospacing="0" w:afterAutospacing="0" w:line="315" w:lineRule="atLeast"/>
        <w:ind w:firstLine="570"/>
        <w:rPr>
          <w:rFonts w:ascii="仿宋" w:hAnsi="仿宋" w:eastAsia="仿宋" w:cs="仿宋"/>
          <w:color w:val="333333"/>
          <w:sz w:val="28"/>
          <w:szCs w:val="28"/>
          <w:shd w:val="clear" w:color="auto" w:fill="FFFFFF"/>
        </w:rPr>
      </w:pPr>
      <w:r>
        <w:rPr>
          <w:rFonts w:ascii="仿宋" w:hAnsi="仿宋" w:eastAsia="仿宋" w:cs="仿宋"/>
          <w:color w:val="333333"/>
          <w:sz w:val="28"/>
          <w:szCs w:val="28"/>
          <w:shd w:val="clear" w:color="auto" w:fill="FFFFFF"/>
        </w:rPr>
        <w:t>学校是</w:t>
      </w:r>
      <w:r>
        <w:rPr>
          <w:rFonts w:hint="eastAsia" w:ascii="仿宋" w:hAnsi="仿宋" w:eastAsia="仿宋" w:cs="仿宋"/>
          <w:color w:val="333333"/>
          <w:sz w:val="28"/>
          <w:szCs w:val="28"/>
          <w:shd w:val="clear" w:color="auto" w:fill="FFFFFF"/>
        </w:rPr>
        <w:t>“湖北人才工作十强高校”。现有博士生导师178人，硕士生导师1466人，国家级、省部级人才工程和专家180余人。学校聘请了包括诺贝尔奖获得者及21位院士在内的200余名专家担任兼职教授。</w:t>
      </w:r>
    </w:p>
    <w:bookmarkEnd w:id="0"/>
    <w:p>
      <w:pPr>
        <w:pStyle w:val="2"/>
        <w:widowControl/>
        <w:shd w:val="clear" w:color="auto" w:fill="FFFFFF"/>
        <w:spacing w:beforeAutospacing="0" w:afterAutospacing="0" w:line="315" w:lineRule="atLeast"/>
        <w:ind w:firstLine="570"/>
        <w:rPr>
          <w:rFonts w:ascii="仿宋" w:hAnsi="仿宋" w:eastAsia="仿宋" w:cs="仿宋"/>
          <w:color w:val="333333"/>
          <w:sz w:val="28"/>
          <w:szCs w:val="28"/>
          <w:shd w:val="clear" w:color="auto" w:fill="FFFFFF"/>
        </w:rPr>
      </w:pPr>
      <w:r>
        <w:rPr>
          <w:rFonts w:ascii="仿宋" w:hAnsi="仿宋" w:eastAsia="仿宋" w:cs="仿宋"/>
          <w:color w:val="333333"/>
          <w:sz w:val="28"/>
          <w:szCs w:val="28"/>
          <w:shd w:val="clear" w:color="auto" w:fill="FFFFFF"/>
        </w:rPr>
        <w:t>目前，三峡大学已发展成为水利电力特色与优势比较明显、综合办学实力较强、享有较高社会声誉、具有较大发展潜力的综合性大学。</w:t>
      </w:r>
    </w:p>
    <w:p>
      <w:pPr>
        <w:pStyle w:val="2"/>
        <w:widowControl/>
        <w:shd w:val="clear" w:color="auto" w:fill="FFFFFF"/>
        <w:spacing w:beforeAutospacing="0" w:afterAutospacing="0" w:line="315" w:lineRule="atLeast"/>
        <w:ind w:firstLine="555"/>
        <w:rPr>
          <w:rStyle w:val="5"/>
          <w:rFonts w:ascii="仿宋" w:hAnsi="仿宋" w:eastAsia="仿宋" w:cs="仿宋"/>
          <w:b w:val="0"/>
          <w:color w:val="333333"/>
          <w:sz w:val="28"/>
          <w:szCs w:val="28"/>
          <w:shd w:val="clear" w:color="auto" w:fill="FFFFFF"/>
        </w:rPr>
      </w:pPr>
    </w:p>
    <w:p>
      <w:pPr>
        <w:pStyle w:val="2"/>
        <w:widowControl/>
        <w:shd w:val="clear" w:color="auto" w:fill="FFFFFF"/>
        <w:spacing w:beforeAutospacing="0" w:afterAutospacing="0" w:line="315" w:lineRule="atLeast"/>
        <w:ind w:firstLine="555"/>
        <w:rPr>
          <w:rStyle w:val="5"/>
          <w:rFonts w:ascii="仿宋" w:hAnsi="仿宋" w:eastAsia="仿宋" w:cs="仿宋"/>
          <w:b w:val="0"/>
          <w:color w:val="333333"/>
          <w:sz w:val="28"/>
          <w:szCs w:val="28"/>
          <w:shd w:val="clear" w:color="auto" w:fill="FFFFFF"/>
        </w:rPr>
      </w:pPr>
    </w:p>
    <w:p>
      <w:pPr>
        <w:pStyle w:val="2"/>
        <w:widowControl/>
        <w:shd w:val="clear" w:color="auto" w:fill="FFFFFF"/>
        <w:spacing w:beforeAutospacing="0" w:afterAutospacing="0" w:line="315" w:lineRule="atLeast"/>
        <w:ind w:firstLine="555"/>
        <w:rPr>
          <w:rStyle w:val="5"/>
          <w:rFonts w:ascii="仿宋" w:hAnsi="仿宋" w:eastAsia="仿宋" w:cs="仿宋"/>
          <w:b w:val="0"/>
          <w:color w:val="333333"/>
          <w:sz w:val="28"/>
          <w:szCs w:val="28"/>
          <w:shd w:val="clear" w:color="auto" w:fill="FFFFFF"/>
        </w:rPr>
      </w:pPr>
    </w:p>
    <w:p>
      <w:pPr>
        <w:pStyle w:val="2"/>
        <w:widowControl/>
        <w:numPr>
          <w:ilvl w:val="0"/>
          <w:numId w:val="1"/>
        </w:numPr>
        <w:shd w:val="clear" w:color="auto" w:fill="FFFFFF"/>
        <w:spacing w:beforeAutospacing="0" w:afterAutospacing="0" w:line="315" w:lineRule="atLeast"/>
        <w:ind w:firstLine="555"/>
        <w:rPr>
          <w:rStyle w:val="5"/>
          <w:rFonts w:ascii="仿宋" w:hAnsi="仿宋" w:eastAsia="仿宋" w:cs="仿宋"/>
          <w:b w:val="0"/>
          <w:color w:val="333333"/>
          <w:sz w:val="28"/>
          <w:szCs w:val="28"/>
          <w:shd w:val="clear" w:color="auto" w:fill="FFFFFF"/>
        </w:rPr>
      </w:pPr>
      <w:r>
        <w:rPr>
          <w:rStyle w:val="5"/>
          <w:rFonts w:ascii="仿宋" w:hAnsi="仿宋" w:eastAsia="仿宋" w:cs="仿宋"/>
          <w:b w:val="0"/>
          <w:color w:val="333333"/>
          <w:sz w:val="28"/>
          <w:szCs w:val="28"/>
          <w:shd w:val="clear" w:color="auto" w:fill="FFFFFF"/>
        </w:rPr>
        <w:t>接收申请专业名称和国家学位水平考试科目</w:t>
      </w:r>
    </w:p>
    <w:p>
      <w:pPr>
        <w:pStyle w:val="2"/>
        <w:widowControl/>
        <w:shd w:val="clear" w:color="auto" w:fill="FFFFFF"/>
        <w:spacing w:beforeAutospacing="0" w:afterAutospacing="0" w:line="315" w:lineRule="atLeast"/>
        <w:ind w:left="555" w:firstLine="560" w:firstLineChars="200"/>
        <w:rPr>
          <w:rStyle w:val="5"/>
          <w:rFonts w:ascii="仿宋" w:hAnsi="仿宋" w:eastAsia="仿宋" w:cs="仿宋"/>
          <w:b w:val="0"/>
          <w:color w:val="333333"/>
          <w:sz w:val="28"/>
          <w:szCs w:val="28"/>
          <w:shd w:val="clear" w:color="auto" w:fill="FFFFFF"/>
        </w:rPr>
      </w:pPr>
      <w:r>
        <w:rPr>
          <w:rStyle w:val="5"/>
          <w:rFonts w:hint="eastAsia" w:ascii="仿宋" w:hAnsi="仿宋" w:eastAsia="仿宋" w:cs="仿宋"/>
          <w:b w:val="0"/>
          <w:color w:val="333333"/>
          <w:sz w:val="28"/>
          <w:szCs w:val="28"/>
          <w:shd w:val="clear" w:color="auto" w:fill="FFFFFF"/>
        </w:rPr>
        <w:t>接收申请专业：</w:t>
      </w:r>
    </w:p>
    <w:tbl>
      <w:tblPr>
        <w:tblStyle w:val="3"/>
        <w:tblpPr w:leftFromText="180" w:rightFromText="180" w:vertAnchor="text" w:horzAnchor="page" w:tblpX="2579" w:tblpY="670"/>
        <w:tblOverlap w:val="never"/>
        <w:tblW w:w="7184" w:type="dxa"/>
        <w:tblInd w:w="0" w:type="dxa"/>
        <w:tblLayout w:type="fixed"/>
        <w:tblCellMar>
          <w:top w:w="0" w:type="dxa"/>
          <w:left w:w="108" w:type="dxa"/>
          <w:bottom w:w="0" w:type="dxa"/>
          <w:right w:w="108" w:type="dxa"/>
        </w:tblCellMar>
      </w:tblPr>
      <w:tblGrid>
        <w:gridCol w:w="2641"/>
        <w:gridCol w:w="4543"/>
      </w:tblGrid>
      <w:tr>
        <w:tblPrEx>
          <w:tblCellMar>
            <w:top w:w="0" w:type="dxa"/>
            <w:left w:w="108" w:type="dxa"/>
            <w:bottom w:w="0" w:type="dxa"/>
            <w:right w:w="108" w:type="dxa"/>
          </w:tblCellMar>
        </w:tblPrEx>
        <w:trPr>
          <w:trHeight w:val="270" w:hRule="atLeast"/>
        </w:trPr>
        <w:tc>
          <w:tcPr>
            <w:tcW w:w="2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一级学科</w:t>
            </w:r>
          </w:p>
        </w:tc>
        <w:tc>
          <w:tcPr>
            <w:tcW w:w="4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二级学科</w:t>
            </w:r>
          </w:p>
        </w:tc>
      </w:tr>
      <w:tr>
        <w:tblPrEx>
          <w:tblCellMar>
            <w:top w:w="0" w:type="dxa"/>
            <w:left w:w="108" w:type="dxa"/>
            <w:bottom w:w="0" w:type="dxa"/>
            <w:right w:w="108" w:type="dxa"/>
          </w:tblCellMar>
        </w:tblPrEx>
        <w:trPr>
          <w:trHeight w:val="270" w:hRule="atLeast"/>
        </w:trPr>
        <w:tc>
          <w:tcPr>
            <w:tcW w:w="2641"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szCs w:val="22"/>
              </w:rPr>
            </w:pPr>
            <w:bookmarkStart w:id="1" w:name="_Hlk117094826"/>
            <w:r>
              <w:rPr>
                <w:rFonts w:hint="eastAsia" w:ascii="宋体" w:hAnsi="宋体" w:eastAsia="宋体" w:cs="宋体"/>
                <w:color w:val="000000"/>
                <w:kern w:val="0"/>
                <w:sz w:val="22"/>
                <w:szCs w:val="22"/>
                <w:lang w:bidi="ar"/>
              </w:rPr>
              <w:t>临床医学</w:t>
            </w:r>
          </w:p>
        </w:tc>
        <w:tc>
          <w:tcPr>
            <w:tcW w:w="4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内科学</w:t>
            </w:r>
          </w:p>
        </w:tc>
      </w:tr>
      <w:tr>
        <w:tblPrEx>
          <w:tblCellMar>
            <w:top w:w="0" w:type="dxa"/>
            <w:left w:w="108" w:type="dxa"/>
            <w:bottom w:w="0" w:type="dxa"/>
            <w:right w:w="108" w:type="dxa"/>
          </w:tblCellMar>
        </w:tblPrEx>
        <w:trPr>
          <w:trHeight w:val="270" w:hRule="atLeast"/>
        </w:trPr>
        <w:tc>
          <w:tcPr>
            <w:tcW w:w="2641" w:type="dxa"/>
            <w:vMerge w:val="continue"/>
            <w:tcBorders>
              <w:left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4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急诊医学</w:t>
            </w:r>
          </w:p>
        </w:tc>
      </w:tr>
      <w:tr>
        <w:tblPrEx>
          <w:tblCellMar>
            <w:top w:w="0" w:type="dxa"/>
            <w:left w:w="108" w:type="dxa"/>
            <w:bottom w:w="0" w:type="dxa"/>
            <w:right w:w="108" w:type="dxa"/>
          </w:tblCellMar>
        </w:tblPrEx>
        <w:trPr>
          <w:trHeight w:val="270" w:hRule="atLeast"/>
        </w:trPr>
        <w:tc>
          <w:tcPr>
            <w:tcW w:w="2641" w:type="dxa"/>
            <w:vMerge w:val="continue"/>
            <w:tcBorders>
              <w:left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4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神经病学</w:t>
            </w:r>
          </w:p>
        </w:tc>
      </w:tr>
      <w:tr>
        <w:tblPrEx>
          <w:tblCellMar>
            <w:top w:w="0" w:type="dxa"/>
            <w:left w:w="108" w:type="dxa"/>
            <w:bottom w:w="0" w:type="dxa"/>
            <w:right w:w="108" w:type="dxa"/>
          </w:tblCellMar>
        </w:tblPrEx>
        <w:trPr>
          <w:trHeight w:val="270" w:hRule="atLeast"/>
        </w:trPr>
        <w:tc>
          <w:tcPr>
            <w:tcW w:w="2641" w:type="dxa"/>
            <w:vMerge w:val="continue"/>
            <w:tcBorders>
              <w:left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4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影像医学与核医学</w:t>
            </w:r>
          </w:p>
        </w:tc>
      </w:tr>
      <w:tr>
        <w:tblPrEx>
          <w:tblCellMar>
            <w:top w:w="0" w:type="dxa"/>
            <w:left w:w="108" w:type="dxa"/>
            <w:bottom w:w="0" w:type="dxa"/>
            <w:right w:w="108" w:type="dxa"/>
          </w:tblCellMar>
        </w:tblPrEx>
        <w:trPr>
          <w:trHeight w:val="270" w:hRule="atLeast"/>
        </w:trPr>
        <w:tc>
          <w:tcPr>
            <w:tcW w:w="2641" w:type="dxa"/>
            <w:vMerge w:val="continue"/>
            <w:tcBorders>
              <w:left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4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妇产科学</w:t>
            </w:r>
          </w:p>
        </w:tc>
      </w:tr>
      <w:tr>
        <w:tblPrEx>
          <w:tblCellMar>
            <w:top w:w="0" w:type="dxa"/>
            <w:left w:w="108" w:type="dxa"/>
            <w:bottom w:w="0" w:type="dxa"/>
            <w:right w:w="108" w:type="dxa"/>
          </w:tblCellMar>
        </w:tblPrEx>
        <w:trPr>
          <w:trHeight w:val="270" w:hRule="atLeast"/>
        </w:trPr>
        <w:tc>
          <w:tcPr>
            <w:tcW w:w="2641" w:type="dxa"/>
            <w:vMerge w:val="continue"/>
            <w:tcBorders>
              <w:left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4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眼科学</w:t>
            </w:r>
          </w:p>
        </w:tc>
      </w:tr>
      <w:tr>
        <w:tblPrEx>
          <w:tblCellMar>
            <w:top w:w="0" w:type="dxa"/>
            <w:left w:w="108" w:type="dxa"/>
            <w:bottom w:w="0" w:type="dxa"/>
            <w:right w:w="108" w:type="dxa"/>
          </w:tblCellMar>
        </w:tblPrEx>
        <w:trPr>
          <w:trHeight w:val="270" w:hRule="atLeast"/>
        </w:trPr>
        <w:tc>
          <w:tcPr>
            <w:tcW w:w="2641" w:type="dxa"/>
            <w:vMerge w:val="continue"/>
            <w:tcBorders>
              <w:left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4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外科学</w:t>
            </w:r>
          </w:p>
        </w:tc>
      </w:tr>
      <w:tr>
        <w:tblPrEx>
          <w:tblCellMar>
            <w:top w:w="0" w:type="dxa"/>
            <w:left w:w="108" w:type="dxa"/>
            <w:bottom w:w="0" w:type="dxa"/>
            <w:right w:w="108" w:type="dxa"/>
          </w:tblCellMar>
        </w:tblPrEx>
        <w:trPr>
          <w:trHeight w:val="270" w:hRule="atLeast"/>
        </w:trPr>
        <w:tc>
          <w:tcPr>
            <w:tcW w:w="2641" w:type="dxa"/>
            <w:vMerge w:val="continue"/>
            <w:tcBorders>
              <w:left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4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儿科学</w:t>
            </w:r>
          </w:p>
        </w:tc>
      </w:tr>
      <w:tr>
        <w:tblPrEx>
          <w:tblCellMar>
            <w:top w:w="0" w:type="dxa"/>
            <w:left w:w="108" w:type="dxa"/>
            <w:bottom w:w="0" w:type="dxa"/>
            <w:right w:w="108" w:type="dxa"/>
          </w:tblCellMar>
        </w:tblPrEx>
        <w:trPr>
          <w:trHeight w:val="270" w:hRule="atLeast"/>
        </w:trPr>
        <w:tc>
          <w:tcPr>
            <w:tcW w:w="2641" w:type="dxa"/>
            <w:vMerge w:val="continue"/>
            <w:tcBorders>
              <w:left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4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耳鼻咽喉科学</w:t>
            </w:r>
          </w:p>
        </w:tc>
      </w:tr>
      <w:tr>
        <w:tblPrEx>
          <w:tblCellMar>
            <w:top w:w="0" w:type="dxa"/>
            <w:left w:w="108" w:type="dxa"/>
            <w:bottom w:w="0" w:type="dxa"/>
            <w:right w:w="108" w:type="dxa"/>
          </w:tblCellMar>
        </w:tblPrEx>
        <w:trPr>
          <w:trHeight w:val="270" w:hRule="atLeast"/>
        </w:trPr>
        <w:tc>
          <w:tcPr>
            <w:tcW w:w="2641" w:type="dxa"/>
            <w:vMerge w:val="continue"/>
            <w:tcBorders>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4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肿瘤学</w:t>
            </w:r>
          </w:p>
        </w:tc>
      </w:tr>
      <w:tr>
        <w:tblPrEx>
          <w:tblCellMar>
            <w:top w:w="0" w:type="dxa"/>
            <w:left w:w="108" w:type="dxa"/>
            <w:bottom w:w="0" w:type="dxa"/>
            <w:right w:w="108" w:type="dxa"/>
          </w:tblCellMar>
        </w:tblPrEx>
        <w:trPr>
          <w:trHeight w:val="270" w:hRule="atLeast"/>
        </w:trPr>
        <w:tc>
          <w:tcPr>
            <w:tcW w:w="2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护理学</w:t>
            </w:r>
          </w:p>
        </w:tc>
        <w:tc>
          <w:tcPr>
            <w:tcW w:w="4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护理学</w:t>
            </w:r>
          </w:p>
        </w:tc>
      </w:tr>
      <w:bookmarkEnd w:id="1"/>
    </w:tbl>
    <w:p>
      <w:pPr>
        <w:pStyle w:val="2"/>
        <w:widowControl/>
        <w:shd w:val="clear" w:color="auto" w:fill="FFFFFF"/>
        <w:spacing w:beforeAutospacing="0" w:afterAutospacing="0" w:line="315" w:lineRule="atLeast"/>
        <w:rPr>
          <w:rFonts w:ascii="仿宋" w:hAnsi="仿宋" w:eastAsia="仿宋" w:cs="仿宋"/>
          <w:color w:val="333333"/>
          <w:sz w:val="28"/>
          <w:szCs w:val="28"/>
          <w:shd w:val="clear" w:color="auto" w:fill="FFFFFF"/>
        </w:rPr>
      </w:pPr>
    </w:p>
    <w:p>
      <w:pPr>
        <w:ind w:firstLine="1470" w:firstLineChars="700"/>
      </w:pPr>
    </w:p>
    <w:p/>
    <w:p/>
    <w:p/>
    <w:p/>
    <w:p/>
    <w:p/>
    <w:p/>
    <w:p/>
    <w:p/>
    <w:p/>
    <w:p/>
    <w:p/>
    <w:p/>
    <w:p>
      <w:pPr>
        <w:pStyle w:val="2"/>
        <w:widowControl/>
        <w:shd w:val="clear" w:color="auto" w:fill="FFFFFF"/>
        <w:spacing w:beforeAutospacing="0" w:afterAutospacing="0" w:line="315" w:lineRule="atLeast"/>
        <w:ind w:firstLine="555"/>
        <w:rPr>
          <w:rFonts w:ascii="Tahoma" w:hAnsi="Tahoma" w:eastAsia="Tahoma" w:cs="Tahoma"/>
          <w:color w:val="333333"/>
          <w:sz w:val="21"/>
          <w:szCs w:val="21"/>
        </w:rPr>
      </w:pPr>
      <w:r>
        <w:rPr>
          <w:rStyle w:val="5"/>
          <w:rFonts w:hint="eastAsia" w:ascii="仿宋" w:hAnsi="仿宋" w:eastAsia="仿宋" w:cs="仿宋"/>
          <w:b w:val="0"/>
          <w:color w:val="333333"/>
          <w:sz w:val="28"/>
          <w:szCs w:val="28"/>
          <w:shd w:val="clear" w:color="auto" w:fill="FFFFFF"/>
        </w:rPr>
        <w:t>国家学位水平考试科目</w:t>
      </w:r>
      <w:r>
        <w:rPr>
          <w:rFonts w:hint="eastAsia" w:ascii="仿宋" w:hAnsi="仿宋" w:eastAsia="仿宋" w:cs="仿宋"/>
          <w:color w:val="333333"/>
          <w:sz w:val="28"/>
          <w:szCs w:val="28"/>
          <w:shd w:val="clear" w:color="auto" w:fill="FFFFFF"/>
        </w:rPr>
        <w:t>为英语加学科综合。</w:t>
      </w:r>
    </w:p>
    <w:p>
      <w:pPr>
        <w:pStyle w:val="2"/>
        <w:widowControl/>
        <w:shd w:val="clear" w:color="auto" w:fill="FFFFFF"/>
        <w:spacing w:beforeAutospacing="0" w:afterAutospacing="0" w:line="315" w:lineRule="atLeast"/>
        <w:ind w:firstLine="555"/>
        <w:rPr>
          <w:rFonts w:ascii="Tahoma" w:hAnsi="Tahoma" w:eastAsia="Tahoma" w:cs="Tahoma"/>
          <w:color w:val="333333"/>
          <w:sz w:val="21"/>
          <w:szCs w:val="21"/>
        </w:rPr>
      </w:pPr>
      <w:r>
        <w:rPr>
          <w:rStyle w:val="5"/>
          <w:rFonts w:hint="eastAsia" w:ascii="仿宋" w:hAnsi="仿宋" w:eastAsia="仿宋" w:cs="仿宋"/>
          <w:b w:val="0"/>
          <w:color w:val="333333"/>
          <w:sz w:val="28"/>
          <w:szCs w:val="28"/>
          <w:shd w:val="clear" w:color="auto" w:fill="FFFFFF"/>
        </w:rPr>
        <w:t>三、报名条件</w:t>
      </w:r>
    </w:p>
    <w:p>
      <w:pPr>
        <w:pStyle w:val="2"/>
        <w:widowControl/>
        <w:shd w:val="clear" w:color="auto" w:fill="FFFFFF"/>
        <w:spacing w:beforeAutospacing="0" w:afterAutospacing="0" w:line="315" w:lineRule="atLeast"/>
        <w:ind w:firstLine="555"/>
        <w:rPr>
          <w:rFonts w:ascii="Tahoma" w:hAnsi="Tahoma" w:eastAsia="Tahoma" w:cs="Tahoma"/>
          <w:color w:val="333333"/>
          <w:sz w:val="21"/>
          <w:szCs w:val="21"/>
        </w:rPr>
      </w:pPr>
      <w:r>
        <w:rPr>
          <w:rFonts w:hint="eastAsia" w:ascii="仿宋" w:hAnsi="仿宋" w:eastAsia="仿宋" w:cs="仿宋"/>
          <w:color w:val="333333"/>
          <w:sz w:val="28"/>
          <w:szCs w:val="28"/>
          <w:shd w:val="clear" w:color="auto" w:fill="FFFFFF"/>
        </w:rPr>
        <w:t>1.申请人已获得学士学位，且获得学士学位后工作三年以上；或无学士学位，但已获得硕士或博士学位。</w:t>
      </w:r>
    </w:p>
    <w:p>
      <w:pPr>
        <w:pStyle w:val="2"/>
        <w:widowControl/>
        <w:shd w:val="clear" w:color="auto" w:fill="FFFFFF"/>
        <w:spacing w:beforeAutospacing="0" w:afterAutospacing="0" w:line="315" w:lineRule="atLeast"/>
        <w:ind w:firstLine="555"/>
        <w:rPr>
          <w:rFonts w:ascii="Tahoma" w:hAnsi="Tahoma" w:eastAsia="Tahoma" w:cs="Tahoma"/>
          <w:color w:val="333333"/>
          <w:sz w:val="21"/>
          <w:szCs w:val="21"/>
        </w:rPr>
      </w:pPr>
      <w:r>
        <w:rPr>
          <w:rFonts w:hint="eastAsia" w:ascii="仿宋" w:hAnsi="仿宋" w:eastAsia="仿宋" w:cs="仿宋"/>
          <w:color w:val="333333"/>
          <w:sz w:val="28"/>
          <w:szCs w:val="28"/>
          <w:shd w:val="clear" w:color="auto" w:fill="FFFFFF"/>
        </w:rPr>
        <w:t>2.申请人在教学、科研、专门技术、管理等方面做出成绩。</w:t>
      </w:r>
    </w:p>
    <w:p>
      <w:pPr>
        <w:pStyle w:val="2"/>
        <w:widowControl/>
        <w:shd w:val="clear" w:color="auto" w:fill="FFFFFF"/>
        <w:spacing w:beforeAutospacing="0" w:afterAutospacing="0" w:line="315" w:lineRule="atLeast"/>
        <w:ind w:firstLine="555"/>
        <w:rPr>
          <w:rFonts w:ascii="Tahoma" w:hAnsi="Tahoma" w:eastAsia="Tahoma" w:cs="Tahoma"/>
          <w:color w:val="333333"/>
          <w:sz w:val="21"/>
          <w:szCs w:val="21"/>
        </w:rPr>
      </w:pPr>
      <w:r>
        <w:rPr>
          <w:rFonts w:hint="eastAsia" w:ascii="仿宋" w:hAnsi="仿宋" w:eastAsia="仿宋" w:cs="仿宋"/>
          <w:color w:val="333333"/>
          <w:sz w:val="28"/>
          <w:szCs w:val="28"/>
          <w:shd w:val="clear" w:color="auto" w:fill="FFFFFF"/>
        </w:rPr>
        <w:t>3.以同等学力申请临床医学、中医硕士专业学位的考生资格不受以上第1、2条限制，但须具备以下条件：</w:t>
      </w:r>
    </w:p>
    <w:p>
      <w:pPr>
        <w:pStyle w:val="2"/>
        <w:widowControl/>
        <w:shd w:val="clear" w:color="auto" w:fill="FFFFFF"/>
        <w:spacing w:beforeAutospacing="0" w:afterAutospacing="0" w:line="315" w:lineRule="atLeast"/>
        <w:ind w:firstLine="555"/>
        <w:rPr>
          <w:rFonts w:ascii="Tahoma" w:hAnsi="Tahoma" w:eastAsia="Tahoma" w:cs="Tahoma"/>
          <w:color w:val="333333"/>
          <w:sz w:val="21"/>
          <w:szCs w:val="21"/>
        </w:rPr>
      </w:pPr>
      <w:r>
        <w:rPr>
          <w:rFonts w:hint="eastAsia" w:ascii="仿宋" w:hAnsi="仿宋" w:eastAsia="仿宋" w:cs="仿宋"/>
          <w:color w:val="333333"/>
          <w:sz w:val="28"/>
          <w:szCs w:val="28"/>
          <w:shd w:val="clear" w:color="auto" w:fill="FFFFFF"/>
        </w:rPr>
        <w:t>（1）临床医学类、中医学类本科毕业生并获得学士学位。</w:t>
      </w:r>
    </w:p>
    <w:p>
      <w:pPr>
        <w:pStyle w:val="2"/>
        <w:widowControl/>
        <w:shd w:val="clear" w:color="auto" w:fill="FFFFFF"/>
        <w:spacing w:beforeAutospacing="0" w:afterAutospacing="0" w:line="315" w:lineRule="atLeast"/>
        <w:ind w:firstLine="555"/>
        <w:rPr>
          <w:rFonts w:ascii="Tahoma" w:hAnsi="Tahoma" w:eastAsia="Tahoma" w:cs="Tahoma"/>
          <w:color w:val="333333"/>
          <w:sz w:val="21"/>
          <w:szCs w:val="21"/>
        </w:rPr>
      </w:pPr>
      <w:r>
        <w:rPr>
          <w:rFonts w:hint="eastAsia" w:ascii="仿宋" w:hAnsi="仿宋" w:eastAsia="仿宋" w:cs="仿宋"/>
          <w:color w:val="333333"/>
          <w:sz w:val="28"/>
          <w:szCs w:val="28"/>
          <w:shd w:val="clear" w:color="auto" w:fill="FFFFFF"/>
        </w:rPr>
        <w:t>（2）正在接受住院医师规范化培训的住院医师或已获得《住院医师规范化培训合格证书》的临床医师。</w:t>
      </w:r>
    </w:p>
    <w:p>
      <w:pPr>
        <w:pStyle w:val="2"/>
        <w:widowControl/>
        <w:shd w:val="clear" w:color="auto" w:fill="FFFFFF"/>
        <w:spacing w:beforeAutospacing="0" w:afterAutospacing="0" w:line="315" w:lineRule="atLeast"/>
        <w:ind w:firstLine="555"/>
        <w:rPr>
          <w:rFonts w:ascii="Tahoma" w:hAnsi="Tahoma" w:eastAsia="Tahoma" w:cs="Tahoma"/>
          <w:color w:val="333333"/>
          <w:sz w:val="21"/>
          <w:szCs w:val="21"/>
        </w:rPr>
      </w:pPr>
      <w:r>
        <w:rPr>
          <w:rFonts w:hint="eastAsia" w:ascii="仿宋" w:hAnsi="仿宋" w:eastAsia="仿宋" w:cs="仿宋"/>
          <w:color w:val="333333"/>
          <w:sz w:val="28"/>
          <w:szCs w:val="28"/>
          <w:shd w:val="clear" w:color="auto" w:fill="FFFFFF"/>
        </w:rPr>
        <w:t>（3）申请人申请的专业学位类别应与住院医师规范化招收专业相对应。</w:t>
      </w:r>
    </w:p>
    <w:p>
      <w:pPr>
        <w:pStyle w:val="2"/>
        <w:widowControl/>
        <w:shd w:val="clear" w:color="auto" w:fill="FFFFFF"/>
        <w:spacing w:beforeAutospacing="0" w:afterAutospacing="0" w:line="315" w:lineRule="atLeast"/>
        <w:ind w:firstLine="555"/>
        <w:rPr>
          <w:rStyle w:val="5"/>
          <w:rFonts w:ascii="仿宋" w:hAnsi="仿宋" w:eastAsia="仿宋" w:cs="仿宋"/>
          <w:b w:val="0"/>
          <w:color w:val="333333"/>
          <w:sz w:val="28"/>
          <w:szCs w:val="28"/>
          <w:shd w:val="clear" w:color="auto" w:fill="FFFFFF"/>
        </w:rPr>
      </w:pPr>
      <w:r>
        <w:rPr>
          <w:rStyle w:val="5"/>
          <w:rFonts w:hint="eastAsia" w:ascii="仿宋" w:hAnsi="仿宋" w:eastAsia="仿宋" w:cs="仿宋"/>
          <w:b w:val="0"/>
          <w:color w:val="333333"/>
          <w:sz w:val="28"/>
          <w:szCs w:val="28"/>
          <w:shd w:val="clear" w:color="auto" w:fill="FFFFFF"/>
        </w:rPr>
        <w:t>四、报名材料</w:t>
      </w:r>
    </w:p>
    <w:p>
      <w:pPr>
        <w:pStyle w:val="2"/>
        <w:widowControl/>
        <w:shd w:val="clear" w:color="auto" w:fill="FFFFFF"/>
        <w:spacing w:beforeAutospacing="0" w:afterAutospacing="0" w:line="315" w:lineRule="atLeast"/>
        <w:ind w:firstLine="555"/>
        <w:rPr>
          <w:rFonts w:ascii="Tahoma" w:hAnsi="Tahoma" w:eastAsia="Tahoma" w:cs="Tahoma"/>
          <w:color w:val="333333"/>
          <w:sz w:val="21"/>
          <w:szCs w:val="21"/>
        </w:rPr>
      </w:pPr>
      <w:r>
        <w:rPr>
          <w:rFonts w:ascii="仿宋" w:hAnsi="仿宋" w:eastAsia="仿宋" w:cs="仿宋"/>
          <w:color w:val="333333"/>
          <w:sz w:val="28"/>
          <w:szCs w:val="28"/>
          <w:shd w:val="clear" w:color="auto" w:fill="FFFFFF"/>
        </w:rPr>
        <w:t>我校常年接受报名，申请人需</w:t>
      </w:r>
      <w:r>
        <w:rPr>
          <w:rFonts w:hint="eastAsia" w:ascii="仿宋" w:hAnsi="仿宋" w:eastAsia="仿宋" w:cs="仿宋"/>
          <w:color w:val="333333"/>
          <w:sz w:val="28"/>
          <w:szCs w:val="28"/>
          <w:shd w:val="clear" w:color="auto" w:fill="FFFFFF"/>
        </w:rPr>
        <w:t>提交以下材料：</w:t>
      </w:r>
    </w:p>
    <w:p>
      <w:pPr>
        <w:pStyle w:val="2"/>
        <w:widowControl/>
        <w:shd w:val="clear" w:color="auto" w:fill="FFFFFF"/>
        <w:spacing w:beforeAutospacing="0" w:afterAutospacing="0" w:line="315" w:lineRule="atLeast"/>
        <w:ind w:firstLine="555"/>
        <w:rPr>
          <w:rFonts w:ascii="Tahoma" w:hAnsi="Tahoma" w:eastAsia="Tahoma" w:cs="Tahoma"/>
          <w:color w:val="333333"/>
          <w:sz w:val="21"/>
          <w:szCs w:val="21"/>
        </w:rPr>
      </w:pPr>
      <w:r>
        <w:rPr>
          <w:rFonts w:hint="eastAsia" w:ascii="仿宋" w:hAnsi="仿宋" w:eastAsia="仿宋" w:cs="仿宋"/>
          <w:color w:val="333333"/>
          <w:sz w:val="28"/>
          <w:szCs w:val="28"/>
          <w:shd w:val="clear" w:color="auto" w:fill="FFFFFF"/>
        </w:rPr>
        <w:t>1.有效身份证件。</w:t>
      </w:r>
    </w:p>
    <w:p>
      <w:pPr>
        <w:pStyle w:val="2"/>
        <w:widowControl/>
        <w:shd w:val="clear" w:color="auto" w:fill="FFFFFF"/>
        <w:spacing w:beforeAutospacing="0" w:afterAutospacing="0" w:line="315" w:lineRule="atLeast"/>
        <w:ind w:firstLine="555"/>
        <w:rPr>
          <w:rFonts w:ascii="Tahoma" w:hAnsi="Tahoma" w:eastAsia="Tahoma" w:cs="Tahoma"/>
          <w:color w:val="333333"/>
          <w:sz w:val="21"/>
          <w:szCs w:val="21"/>
        </w:rPr>
      </w:pPr>
      <w:r>
        <w:rPr>
          <w:rFonts w:hint="eastAsia" w:ascii="仿宋" w:hAnsi="仿宋" w:eastAsia="仿宋" w:cs="仿宋"/>
          <w:color w:val="333333"/>
          <w:sz w:val="28"/>
          <w:szCs w:val="28"/>
          <w:shd w:val="clear" w:color="auto" w:fill="FFFFFF"/>
        </w:rPr>
        <w:t>2.最后学历、学位证件,以及学历认证报告和学士学位认证报告。国（境）外学历、学位，需经教育部留学服务中心认证。</w:t>
      </w:r>
    </w:p>
    <w:p>
      <w:pPr>
        <w:pStyle w:val="2"/>
        <w:widowControl/>
        <w:shd w:val="clear" w:color="auto" w:fill="FFFFFF"/>
        <w:spacing w:beforeAutospacing="0" w:afterAutospacing="0" w:line="315" w:lineRule="atLeast"/>
        <w:ind w:firstLine="555"/>
        <w:rPr>
          <w:rFonts w:ascii="Tahoma" w:hAnsi="Tahoma" w:eastAsia="Tahoma" w:cs="Tahoma"/>
          <w:color w:val="333333"/>
          <w:sz w:val="21"/>
          <w:szCs w:val="21"/>
        </w:rPr>
      </w:pPr>
      <w:r>
        <w:rPr>
          <w:rFonts w:hint="eastAsia" w:ascii="仿宋" w:hAnsi="仿宋" w:eastAsia="仿宋" w:cs="仿宋"/>
          <w:color w:val="333333"/>
          <w:sz w:val="28"/>
          <w:szCs w:val="28"/>
          <w:shd w:val="clear" w:color="auto" w:fill="FFFFFF"/>
        </w:rPr>
        <w:t>3.报考临床医学类、中医学类专业学位的，还需提供《住院医师规范化培训合格证书》或住院医师规范化培训基地的培训证明。</w:t>
      </w:r>
    </w:p>
    <w:p>
      <w:pPr>
        <w:pStyle w:val="2"/>
        <w:widowControl/>
        <w:shd w:val="clear" w:color="auto" w:fill="FFFFFF"/>
        <w:spacing w:beforeAutospacing="0" w:afterAutospacing="0" w:line="315" w:lineRule="atLeast"/>
        <w:ind w:firstLine="555"/>
        <w:rPr>
          <w:rFonts w:ascii="Tahoma" w:hAnsi="Tahoma" w:eastAsia="Tahoma" w:cs="Tahoma"/>
          <w:color w:val="333333"/>
          <w:sz w:val="21"/>
          <w:szCs w:val="21"/>
        </w:rPr>
      </w:pPr>
      <w:r>
        <w:rPr>
          <w:rFonts w:hint="eastAsia" w:ascii="仿宋" w:hAnsi="仿宋" w:eastAsia="仿宋" w:cs="仿宋"/>
          <w:color w:val="333333"/>
          <w:sz w:val="28"/>
          <w:szCs w:val="28"/>
          <w:shd w:val="clear" w:color="auto" w:fill="FFFFFF"/>
        </w:rPr>
        <w:t>4.申请人在教学、科研、专门技术、管理等方面做出成绩的有关材料。（第3条所列专业申请人无需提交）</w:t>
      </w:r>
    </w:p>
    <w:p>
      <w:pPr>
        <w:pStyle w:val="2"/>
        <w:widowControl/>
        <w:shd w:val="clear" w:color="auto" w:fill="FFFFFF"/>
        <w:spacing w:beforeAutospacing="0" w:afterAutospacing="0" w:line="315" w:lineRule="atLeast"/>
        <w:ind w:firstLine="555"/>
        <w:rPr>
          <w:rFonts w:ascii="Tahoma" w:hAnsi="Tahoma" w:eastAsia="Tahoma" w:cs="Tahoma"/>
          <w:color w:val="333333"/>
          <w:sz w:val="21"/>
          <w:szCs w:val="21"/>
        </w:rPr>
      </w:pPr>
      <w:r>
        <w:rPr>
          <w:rFonts w:hint="eastAsia" w:ascii="仿宋" w:hAnsi="仿宋" w:eastAsia="仿宋" w:cs="仿宋"/>
          <w:color w:val="333333"/>
          <w:sz w:val="28"/>
          <w:szCs w:val="28"/>
          <w:shd w:val="clear" w:color="auto" w:fill="FFFFFF"/>
        </w:rPr>
        <w:t>5.以上材料需提供复印件。</w:t>
      </w:r>
    </w:p>
    <w:p>
      <w:pPr>
        <w:pStyle w:val="2"/>
        <w:widowControl/>
        <w:shd w:val="clear" w:color="auto" w:fill="FFFFFF"/>
        <w:spacing w:beforeAutospacing="0" w:afterAutospacing="0" w:line="315" w:lineRule="atLeast"/>
        <w:ind w:firstLine="555"/>
        <w:rPr>
          <w:rFonts w:ascii="Tahoma" w:hAnsi="Tahoma" w:eastAsia="Tahoma" w:cs="Tahoma"/>
          <w:color w:val="333333"/>
          <w:sz w:val="21"/>
          <w:szCs w:val="21"/>
        </w:rPr>
      </w:pPr>
      <w:r>
        <w:rPr>
          <w:rStyle w:val="5"/>
          <w:rFonts w:hint="eastAsia" w:ascii="仿宋" w:hAnsi="仿宋" w:eastAsia="仿宋" w:cs="仿宋"/>
          <w:b w:val="0"/>
          <w:color w:val="333333"/>
          <w:sz w:val="28"/>
          <w:szCs w:val="28"/>
          <w:shd w:val="clear" w:color="auto" w:fill="FFFFFF"/>
        </w:rPr>
        <w:t>五</w:t>
      </w:r>
      <w:r>
        <w:rPr>
          <w:rStyle w:val="5"/>
          <w:rFonts w:ascii="仿宋" w:hAnsi="仿宋" w:eastAsia="仿宋" w:cs="仿宋"/>
          <w:b w:val="0"/>
          <w:color w:val="333333"/>
          <w:sz w:val="28"/>
          <w:szCs w:val="28"/>
          <w:shd w:val="clear" w:color="auto" w:fill="FFFFFF"/>
        </w:rPr>
        <w:t>、课程学习与考试</w:t>
      </w:r>
    </w:p>
    <w:p>
      <w:pPr>
        <w:pStyle w:val="2"/>
        <w:widowControl/>
        <w:shd w:val="clear" w:color="auto" w:fill="FFFFFF"/>
        <w:spacing w:beforeAutospacing="0" w:afterAutospacing="0" w:line="315" w:lineRule="atLeast"/>
        <w:ind w:firstLine="555"/>
        <w:rPr>
          <w:rFonts w:ascii="Tahoma" w:hAnsi="Tahoma" w:eastAsia="Tahoma" w:cs="Tahoma"/>
          <w:color w:val="333333"/>
          <w:sz w:val="21"/>
          <w:szCs w:val="21"/>
        </w:rPr>
      </w:pPr>
      <w:r>
        <w:rPr>
          <w:rFonts w:hint="eastAsia" w:ascii="仿宋" w:hAnsi="仿宋" w:eastAsia="仿宋" w:cs="仿宋"/>
          <w:color w:val="333333"/>
          <w:sz w:val="28"/>
          <w:szCs w:val="28"/>
          <w:shd w:val="clear" w:color="auto" w:fill="FFFFFF"/>
        </w:rPr>
        <w:t>1.课程学习</w:t>
      </w:r>
    </w:p>
    <w:p>
      <w:pPr>
        <w:pStyle w:val="2"/>
        <w:widowControl/>
        <w:shd w:val="clear" w:color="auto" w:fill="FFFFFF"/>
        <w:spacing w:beforeAutospacing="0" w:afterAutospacing="0" w:line="315" w:lineRule="atLeast"/>
        <w:ind w:firstLine="555"/>
        <w:rPr>
          <w:rFonts w:ascii="Tahoma" w:hAnsi="Tahoma" w:eastAsia="Tahoma" w:cs="Tahoma"/>
          <w:color w:val="333333"/>
          <w:sz w:val="21"/>
          <w:szCs w:val="21"/>
        </w:rPr>
      </w:pPr>
      <w:r>
        <w:rPr>
          <w:rFonts w:hint="eastAsia" w:ascii="仿宋" w:hAnsi="仿宋" w:eastAsia="仿宋" w:cs="仿宋"/>
          <w:color w:val="333333"/>
          <w:sz w:val="28"/>
          <w:szCs w:val="28"/>
          <w:shd w:val="clear" w:color="auto" w:fill="FFFFFF"/>
        </w:rPr>
        <w:t>采用线上学习和线下学习相结合的方式，按照在校研究生相同专业培养方案开设课程，申请人应在规定年限内修完培养方案规定的全部</w:t>
      </w:r>
      <w:bookmarkStart w:id="2" w:name="_GoBack"/>
      <w:r>
        <w:rPr>
          <w:rFonts w:hint="eastAsia" w:ascii="仿宋" w:hAnsi="仿宋" w:eastAsia="仿宋" w:cs="仿宋"/>
          <w:color w:val="333333"/>
          <w:sz w:val="28"/>
          <w:szCs w:val="28"/>
          <w:shd w:val="clear" w:color="auto" w:fill="FFFFFF"/>
        </w:rPr>
        <w:t>课程</w:t>
      </w:r>
      <w:bookmarkEnd w:id="2"/>
      <w:r>
        <w:rPr>
          <w:rFonts w:hint="eastAsia" w:ascii="仿宋" w:hAnsi="仿宋" w:eastAsia="仿宋" w:cs="仿宋"/>
          <w:color w:val="333333"/>
          <w:sz w:val="28"/>
          <w:szCs w:val="28"/>
          <w:shd w:val="clear" w:color="auto" w:fill="FFFFFF"/>
        </w:rPr>
        <w:t>并考试合格，且达到规定学分，可颁发研究生课程结业证书。</w:t>
      </w:r>
    </w:p>
    <w:p>
      <w:pPr>
        <w:pStyle w:val="2"/>
        <w:widowControl/>
        <w:shd w:val="clear" w:color="auto" w:fill="FFFFFF"/>
        <w:spacing w:beforeAutospacing="0" w:afterAutospacing="0" w:line="315" w:lineRule="atLeast"/>
        <w:ind w:firstLine="555"/>
        <w:rPr>
          <w:rFonts w:ascii="Tahoma" w:hAnsi="Tahoma" w:eastAsia="Tahoma" w:cs="Tahoma"/>
          <w:color w:val="333333"/>
          <w:sz w:val="21"/>
          <w:szCs w:val="21"/>
        </w:rPr>
      </w:pPr>
      <w:r>
        <w:rPr>
          <w:rFonts w:hint="eastAsia" w:ascii="仿宋" w:hAnsi="仿宋" w:eastAsia="仿宋" w:cs="仿宋"/>
          <w:color w:val="333333"/>
          <w:sz w:val="28"/>
          <w:szCs w:val="28"/>
          <w:shd w:val="clear" w:color="auto" w:fill="FFFFFF"/>
        </w:rPr>
        <w:t>2.国家学位水平考试</w:t>
      </w:r>
    </w:p>
    <w:p>
      <w:pPr>
        <w:pStyle w:val="2"/>
        <w:widowControl/>
        <w:shd w:val="clear" w:color="auto" w:fill="FFFFFF"/>
        <w:spacing w:beforeAutospacing="0" w:afterAutospacing="0" w:line="315" w:lineRule="atLeast"/>
        <w:ind w:firstLine="555"/>
        <w:rPr>
          <w:rFonts w:ascii="Tahoma" w:hAnsi="Tahoma" w:eastAsia="Tahoma" w:cs="Tahoma"/>
          <w:color w:val="333333"/>
          <w:sz w:val="21"/>
          <w:szCs w:val="21"/>
        </w:rPr>
      </w:pPr>
      <w:r>
        <w:rPr>
          <w:rFonts w:hint="eastAsia" w:ascii="仿宋" w:hAnsi="仿宋" w:eastAsia="仿宋" w:cs="仿宋"/>
          <w:color w:val="333333"/>
          <w:sz w:val="28"/>
          <w:szCs w:val="28"/>
          <w:shd w:val="clear" w:color="auto" w:fill="FFFFFF"/>
        </w:rPr>
        <w:t>通过学校资格审查并转入在册库的申请人，在学习期间可报名参加国家组织的学位外语水平和学科综合水平考试，并获取成绩单。</w:t>
      </w:r>
    </w:p>
    <w:p>
      <w:pPr>
        <w:pStyle w:val="2"/>
        <w:widowControl/>
        <w:shd w:val="clear" w:color="auto" w:fill="FFFFFF"/>
        <w:spacing w:beforeAutospacing="0" w:afterAutospacing="0" w:line="315" w:lineRule="atLeast"/>
        <w:ind w:firstLine="555"/>
        <w:rPr>
          <w:rFonts w:ascii="Tahoma" w:hAnsi="Tahoma" w:eastAsia="Tahoma" w:cs="Tahoma"/>
          <w:color w:val="333333"/>
          <w:sz w:val="21"/>
          <w:szCs w:val="21"/>
        </w:rPr>
      </w:pPr>
      <w:r>
        <w:rPr>
          <w:rStyle w:val="5"/>
          <w:rFonts w:hint="eastAsia" w:ascii="仿宋" w:hAnsi="仿宋" w:eastAsia="仿宋" w:cs="仿宋"/>
          <w:b w:val="0"/>
          <w:color w:val="333333"/>
          <w:sz w:val="28"/>
          <w:szCs w:val="28"/>
          <w:shd w:val="clear" w:color="auto" w:fill="FFFFFF"/>
        </w:rPr>
        <w:t>六、学位申请条件</w:t>
      </w:r>
    </w:p>
    <w:p>
      <w:pPr>
        <w:pStyle w:val="2"/>
        <w:widowControl/>
        <w:shd w:val="clear" w:color="auto" w:fill="FFFFFF"/>
        <w:spacing w:beforeAutospacing="0" w:afterAutospacing="0" w:line="315" w:lineRule="atLeast"/>
        <w:ind w:firstLine="555"/>
        <w:rPr>
          <w:rFonts w:ascii="Tahoma" w:hAnsi="Tahoma" w:eastAsia="Tahoma" w:cs="Tahoma"/>
          <w:color w:val="333333"/>
          <w:sz w:val="21"/>
          <w:szCs w:val="21"/>
        </w:rPr>
      </w:pPr>
      <w:r>
        <w:rPr>
          <w:rFonts w:hint="eastAsia" w:ascii="仿宋" w:hAnsi="仿宋" w:eastAsia="仿宋" w:cs="仿宋"/>
          <w:color w:val="333333"/>
          <w:sz w:val="28"/>
          <w:szCs w:val="28"/>
          <w:shd w:val="clear" w:color="auto" w:fill="FFFFFF"/>
        </w:rPr>
        <w:t>1.申请人在规定年限内，获得申请专业研究生课程结业证书，并通过国家学位水平考试。</w:t>
      </w:r>
    </w:p>
    <w:p>
      <w:pPr>
        <w:pStyle w:val="2"/>
        <w:widowControl/>
        <w:shd w:val="clear" w:color="auto" w:fill="FFFFFF"/>
        <w:spacing w:beforeAutospacing="0" w:afterAutospacing="0" w:line="315" w:lineRule="atLeast"/>
        <w:ind w:firstLine="555"/>
        <w:rPr>
          <w:rFonts w:ascii="Tahoma" w:hAnsi="Tahoma" w:eastAsia="Tahoma" w:cs="Tahoma"/>
          <w:color w:val="333333"/>
          <w:sz w:val="21"/>
          <w:szCs w:val="21"/>
        </w:rPr>
      </w:pPr>
      <w:r>
        <w:rPr>
          <w:rFonts w:hint="eastAsia" w:ascii="仿宋" w:hAnsi="仿宋" w:eastAsia="仿宋" w:cs="仿宋"/>
          <w:color w:val="333333"/>
          <w:sz w:val="28"/>
          <w:szCs w:val="28"/>
          <w:shd w:val="clear" w:color="auto" w:fill="FFFFFF"/>
        </w:rPr>
        <w:t>2.申请人在规定年限内，撰写论文并通过答辩。</w:t>
      </w:r>
    </w:p>
    <w:p>
      <w:pPr>
        <w:pStyle w:val="2"/>
        <w:widowControl/>
        <w:shd w:val="clear" w:color="auto" w:fill="FFFFFF"/>
        <w:spacing w:beforeAutospacing="0" w:afterAutospacing="0" w:line="315" w:lineRule="atLeast"/>
        <w:ind w:firstLine="555"/>
        <w:rPr>
          <w:rFonts w:ascii="Tahoma" w:hAnsi="Tahoma" w:eastAsia="Tahoma" w:cs="Tahoma"/>
          <w:color w:val="333333"/>
          <w:sz w:val="21"/>
          <w:szCs w:val="21"/>
        </w:rPr>
      </w:pPr>
      <w:r>
        <w:rPr>
          <w:rStyle w:val="5"/>
          <w:rFonts w:hint="eastAsia" w:ascii="仿宋" w:hAnsi="仿宋" w:eastAsia="仿宋" w:cs="仿宋"/>
          <w:b w:val="0"/>
          <w:color w:val="333333"/>
          <w:sz w:val="28"/>
          <w:szCs w:val="28"/>
          <w:shd w:val="clear" w:color="auto" w:fill="FFFFFF"/>
        </w:rPr>
        <w:t>七、同等学力人员申请硕士学位流程</w:t>
      </w:r>
    </w:p>
    <w:p>
      <w:pPr>
        <w:pStyle w:val="2"/>
        <w:widowControl/>
        <w:shd w:val="clear" w:color="auto" w:fill="FFFFFF"/>
        <w:spacing w:beforeAutospacing="0" w:afterAutospacing="0" w:line="315" w:lineRule="atLeast"/>
        <w:ind w:firstLine="555"/>
        <w:rPr>
          <w:rFonts w:ascii="Tahoma" w:hAnsi="Tahoma" w:eastAsia="Tahoma" w:cs="Tahoma"/>
          <w:color w:val="333333"/>
          <w:sz w:val="21"/>
          <w:szCs w:val="21"/>
        </w:rPr>
      </w:pPr>
      <w:r>
        <w:rPr>
          <w:rFonts w:hint="eastAsia" w:ascii="仿宋" w:hAnsi="仿宋" w:eastAsia="仿宋" w:cs="仿宋"/>
          <w:color w:val="333333"/>
          <w:sz w:val="28"/>
          <w:szCs w:val="28"/>
          <w:shd w:val="clear" w:color="auto" w:fill="FFFFFF"/>
        </w:rPr>
        <w:t>1.符合条件的申请人申请攻读硕士学位，通过“全国同等学力人员申请硕士学位统一管理平台”注册，并提交报名材料进行现场确认。</w:t>
      </w:r>
    </w:p>
    <w:p>
      <w:pPr>
        <w:pStyle w:val="2"/>
        <w:widowControl/>
        <w:shd w:val="clear" w:color="auto" w:fill="FFFFFF"/>
        <w:spacing w:beforeAutospacing="0" w:afterAutospacing="0" w:line="315" w:lineRule="atLeast"/>
        <w:ind w:firstLine="555"/>
        <w:rPr>
          <w:rFonts w:ascii="Tahoma" w:hAnsi="Tahoma" w:eastAsia="Tahoma" w:cs="Tahoma"/>
          <w:color w:val="333333"/>
          <w:sz w:val="21"/>
          <w:szCs w:val="21"/>
        </w:rPr>
      </w:pPr>
      <w:r>
        <w:rPr>
          <w:rFonts w:hint="eastAsia" w:ascii="仿宋" w:hAnsi="仿宋" w:eastAsia="仿宋" w:cs="仿宋"/>
          <w:color w:val="333333"/>
          <w:sz w:val="28"/>
          <w:szCs w:val="28"/>
          <w:shd w:val="clear" w:color="auto" w:fill="FFFFFF"/>
        </w:rPr>
        <w:t>2.报名资格审核通过后，在学校规定的时间内，通过学校组织的课程考试和国家组织的学位水平考试。</w:t>
      </w:r>
    </w:p>
    <w:p>
      <w:pPr>
        <w:pStyle w:val="2"/>
        <w:widowControl/>
        <w:shd w:val="clear" w:color="auto" w:fill="FFFFFF"/>
        <w:spacing w:beforeAutospacing="0" w:afterAutospacing="0" w:line="315" w:lineRule="atLeast"/>
        <w:ind w:firstLine="555"/>
        <w:rPr>
          <w:rFonts w:ascii="Tahoma" w:hAnsi="Tahoma" w:eastAsia="Tahoma" w:cs="Tahoma"/>
          <w:color w:val="333333"/>
          <w:sz w:val="21"/>
          <w:szCs w:val="21"/>
        </w:rPr>
      </w:pPr>
      <w:r>
        <w:rPr>
          <w:rFonts w:hint="eastAsia" w:ascii="仿宋" w:hAnsi="仿宋" w:eastAsia="仿宋" w:cs="仿宋"/>
          <w:color w:val="333333"/>
          <w:sz w:val="28"/>
          <w:szCs w:val="28"/>
          <w:shd w:val="clear" w:color="auto" w:fill="FFFFFF"/>
        </w:rPr>
        <w:t>3.在课程考试和国家学位水平考试全部考试通过后，一年内提交硕士学位论文，提出论文答辩申请；</w:t>
      </w:r>
    </w:p>
    <w:p>
      <w:pPr>
        <w:pStyle w:val="2"/>
        <w:widowControl/>
        <w:shd w:val="clear" w:color="auto" w:fill="FFFFFF"/>
        <w:spacing w:beforeAutospacing="0" w:afterAutospacing="0" w:line="315" w:lineRule="atLeast"/>
        <w:ind w:firstLine="555"/>
        <w:rPr>
          <w:rFonts w:ascii="Tahoma" w:hAnsi="Tahoma" w:eastAsia="Tahoma" w:cs="Tahoma"/>
          <w:color w:val="333333"/>
          <w:sz w:val="21"/>
          <w:szCs w:val="21"/>
        </w:rPr>
      </w:pPr>
      <w:r>
        <w:rPr>
          <w:rFonts w:hint="eastAsia" w:ascii="仿宋" w:hAnsi="仿宋" w:eastAsia="仿宋" w:cs="仿宋"/>
          <w:color w:val="333333"/>
          <w:sz w:val="28"/>
          <w:szCs w:val="28"/>
          <w:shd w:val="clear" w:color="auto" w:fill="FFFFFF"/>
        </w:rPr>
        <w:t>4.在提交论文后半年内进行论文答辩；</w:t>
      </w:r>
    </w:p>
    <w:p>
      <w:pPr>
        <w:pStyle w:val="2"/>
        <w:widowControl/>
        <w:shd w:val="clear" w:color="auto" w:fill="FFFFFF"/>
        <w:spacing w:beforeAutospacing="0" w:afterAutospacing="0" w:line="315" w:lineRule="atLeast"/>
        <w:ind w:firstLine="555"/>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5.论文答辩通过后，按规定程序授予硕士学位。</w:t>
      </w:r>
    </w:p>
    <w:p>
      <w:pPr>
        <w:pStyle w:val="2"/>
        <w:widowControl/>
        <w:shd w:val="clear" w:color="auto" w:fill="FFFFFF"/>
        <w:spacing w:beforeAutospacing="0" w:afterAutospacing="0" w:line="315" w:lineRule="atLeast"/>
        <w:ind w:firstLine="555"/>
        <w:rPr>
          <w:rFonts w:ascii="Tahoma" w:hAnsi="Tahoma" w:eastAsia="Tahoma" w:cs="Tahoma"/>
          <w:color w:val="333333"/>
          <w:sz w:val="21"/>
          <w:szCs w:val="21"/>
        </w:rPr>
      </w:pPr>
      <w:r>
        <w:rPr>
          <w:rStyle w:val="5"/>
          <w:rFonts w:hint="eastAsia" w:ascii="仿宋" w:hAnsi="仿宋" w:eastAsia="仿宋" w:cs="仿宋"/>
          <w:b w:val="0"/>
          <w:color w:val="333333"/>
          <w:sz w:val="28"/>
          <w:szCs w:val="28"/>
          <w:shd w:val="clear" w:color="auto" w:fill="FFFFFF"/>
        </w:rPr>
        <w:t>八</w:t>
      </w:r>
      <w:r>
        <w:rPr>
          <w:rStyle w:val="5"/>
          <w:rFonts w:ascii="仿宋" w:hAnsi="仿宋" w:eastAsia="仿宋" w:cs="仿宋"/>
          <w:b w:val="0"/>
          <w:color w:val="333333"/>
          <w:sz w:val="28"/>
          <w:szCs w:val="28"/>
          <w:shd w:val="clear" w:color="auto" w:fill="FFFFFF"/>
        </w:rPr>
        <w:t>、学习年限与学费</w:t>
      </w:r>
    </w:p>
    <w:p>
      <w:pPr>
        <w:pStyle w:val="2"/>
        <w:widowControl/>
        <w:shd w:val="clear" w:color="auto" w:fill="FFFFFF"/>
        <w:spacing w:beforeAutospacing="0" w:afterAutospacing="0" w:line="315" w:lineRule="atLeast"/>
        <w:ind w:firstLine="555"/>
        <w:rPr>
          <w:rFonts w:ascii="Tahoma" w:hAnsi="Tahoma" w:eastAsia="Tahoma" w:cs="Tahoma"/>
          <w:color w:val="333333"/>
          <w:sz w:val="21"/>
          <w:szCs w:val="21"/>
        </w:rPr>
      </w:pPr>
      <w:r>
        <w:rPr>
          <w:rFonts w:hint="eastAsia" w:ascii="仿宋" w:hAnsi="仿宋" w:eastAsia="仿宋" w:cs="仿宋"/>
          <w:color w:val="333333"/>
          <w:sz w:val="28"/>
          <w:szCs w:val="28"/>
          <w:shd w:val="clear" w:color="auto" w:fill="FFFFFF"/>
        </w:rPr>
        <w:t>我校采取滚动开班模式，满员开班。学习年限一般为3年，最长学习年限为7年。培养过程一般分为两个阶段，第一阶段为课程学习阶段，第二阶段为学位论文阶段。</w:t>
      </w:r>
    </w:p>
    <w:p>
      <w:pPr>
        <w:pStyle w:val="2"/>
        <w:widowControl/>
        <w:shd w:val="clear" w:color="auto" w:fill="FFFFFF"/>
        <w:spacing w:beforeAutospacing="0" w:afterAutospacing="0" w:line="315" w:lineRule="atLeast"/>
        <w:ind w:firstLine="555"/>
        <w:rPr>
          <w:rFonts w:ascii="Tahoma" w:hAnsi="Tahoma" w:eastAsia="Tahoma" w:cs="Tahoma"/>
          <w:color w:val="333333"/>
          <w:sz w:val="21"/>
          <w:szCs w:val="21"/>
        </w:rPr>
      </w:pPr>
      <w:r>
        <w:rPr>
          <w:rStyle w:val="5"/>
          <w:rFonts w:hint="eastAsia" w:ascii="仿宋" w:hAnsi="仿宋" w:eastAsia="仿宋" w:cs="仿宋"/>
          <w:b w:val="0"/>
          <w:color w:val="333333"/>
          <w:sz w:val="28"/>
          <w:szCs w:val="28"/>
          <w:shd w:val="clear" w:color="auto" w:fill="FFFFFF"/>
        </w:rPr>
        <w:t>1.课程学习阶段：</w:t>
      </w:r>
      <w:r>
        <w:rPr>
          <w:rFonts w:hint="eastAsia" w:ascii="仿宋" w:hAnsi="仿宋" w:eastAsia="仿宋" w:cs="仿宋"/>
          <w:color w:val="333333"/>
          <w:sz w:val="28"/>
          <w:szCs w:val="28"/>
          <w:shd w:val="clear" w:color="auto" w:fill="FFFFFF"/>
        </w:rPr>
        <w:t>课程学习年限一般为2年，最长为5年，包括课程学习和国家学位水平考试。课程学费2.6万元/人，申请人自通过报名资格审核之日起4年内应完成课程学习且考试全部合格。因故不能按时完成学习和通过考试需延长1年者，应提交申请并按学校规定缴纳延长费用。否则本次申请无效。</w:t>
      </w:r>
    </w:p>
    <w:p>
      <w:pPr>
        <w:pStyle w:val="2"/>
        <w:widowControl/>
        <w:shd w:val="clear" w:color="auto" w:fill="FFFFFF"/>
        <w:spacing w:beforeAutospacing="0" w:afterAutospacing="0" w:line="315" w:lineRule="atLeast"/>
        <w:ind w:firstLine="555"/>
        <w:rPr>
          <w:rFonts w:ascii="仿宋" w:hAnsi="仿宋" w:eastAsia="仿宋" w:cs="仿宋"/>
          <w:color w:val="333333"/>
          <w:sz w:val="28"/>
          <w:szCs w:val="28"/>
          <w:shd w:val="clear" w:color="auto" w:fill="FFFFFF"/>
        </w:rPr>
      </w:pPr>
      <w:r>
        <w:rPr>
          <w:rStyle w:val="5"/>
          <w:rFonts w:hint="eastAsia" w:ascii="仿宋" w:hAnsi="仿宋" w:eastAsia="仿宋" w:cs="仿宋"/>
          <w:b w:val="0"/>
          <w:color w:val="333333"/>
          <w:sz w:val="28"/>
          <w:szCs w:val="28"/>
          <w:shd w:val="clear" w:color="auto" w:fill="FFFFFF"/>
        </w:rPr>
        <w:t>2.学位论文阶段：</w:t>
      </w:r>
      <w:r>
        <w:rPr>
          <w:rFonts w:hint="eastAsia" w:ascii="仿宋" w:hAnsi="仿宋" w:eastAsia="仿宋" w:cs="仿宋"/>
          <w:color w:val="333333"/>
          <w:sz w:val="28"/>
          <w:szCs w:val="28"/>
          <w:shd w:val="clear" w:color="auto" w:fill="FFFFFF"/>
        </w:rPr>
        <w:t>学位论文年限一般为1年，最长为2年（包括重新答辩），费用1万元/人。申请人原则上应在全部考试合格后一年内完成论文开题、中期检查、检测、评阅和答辩等，答辩通过者授予学位。论文答辩未通过者，本次申请无效；若答辩委员会建议修改后重新答辩，可在半年后至一年内重新答辩一次，仍未通过者，本次申请无效。</w:t>
      </w:r>
    </w:p>
    <w:p>
      <w:pPr>
        <w:pStyle w:val="2"/>
        <w:widowControl/>
        <w:shd w:val="clear" w:color="auto" w:fill="FFFFFF"/>
        <w:spacing w:beforeAutospacing="0" w:afterAutospacing="0" w:line="315" w:lineRule="atLeast"/>
        <w:ind w:firstLine="555"/>
        <w:rPr>
          <w:rFonts w:ascii="仿宋" w:hAnsi="仿宋" w:eastAsia="仿宋" w:cs="仿宋"/>
          <w:color w:val="333333"/>
          <w:sz w:val="28"/>
          <w:szCs w:val="28"/>
          <w:shd w:val="clear" w:color="auto" w:fill="FFFFFF"/>
        </w:rPr>
      </w:pPr>
    </w:p>
    <w:p>
      <w:pPr>
        <w:pStyle w:val="2"/>
        <w:widowControl/>
        <w:shd w:val="clear" w:color="auto" w:fill="FFFFFF"/>
        <w:spacing w:beforeAutospacing="0" w:afterAutospacing="0" w:line="315" w:lineRule="atLeast"/>
        <w:ind w:firstLine="555"/>
        <w:rPr>
          <w:rFonts w:ascii="仿宋" w:hAnsi="仿宋" w:eastAsia="仿宋" w:cs="仿宋"/>
          <w:color w:val="333333"/>
          <w:sz w:val="28"/>
          <w:szCs w:val="28"/>
          <w:shd w:val="clear" w:color="auto" w:fill="FFFFFF"/>
        </w:rPr>
      </w:pPr>
    </w:p>
    <w:p>
      <w:pPr>
        <w:pStyle w:val="2"/>
        <w:widowControl/>
        <w:shd w:val="clear" w:color="auto" w:fill="FFFFFF"/>
        <w:spacing w:beforeAutospacing="0" w:afterAutospacing="0" w:line="315" w:lineRule="atLeast"/>
        <w:ind w:firstLine="555"/>
        <w:rPr>
          <w:rStyle w:val="5"/>
          <w:rFonts w:ascii="仿宋" w:hAnsi="仿宋" w:eastAsia="仿宋" w:cs="仿宋"/>
          <w:b w:val="0"/>
          <w:color w:val="333333"/>
          <w:sz w:val="28"/>
          <w:szCs w:val="28"/>
          <w:shd w:val="clear" w:color="auto" w:fill="FFFFFF"/>
        </w:rPr>
      </w:pPr>
    </w:p>
    <w:p>
      <w:pPr>
        <w:ind w:firstLine="537"/>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6EC7C4"/>
    <w:multiLevelType w:val="singleLevel"/>
    <w:tmpl w:val="696EC7C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yYWU3OWJmMjVhYWExMDJhYTQwZDkyZTU5MDY5NGIifQ=="/>
  </w:docVars>
  <w:rsids>
    <w:rsidRoot w:val="00500702"/>
    <w:rsid w:val="001A1B5D"/>
    <w:rsid w:val="00500702"/>
    <w:rsid w:val="00B54F10"/>
    <w:rsid w:val="00D9782B"/>
    <w:rsid w:val="0F0E7B3C"/>
    <w:rsid w:val="17E458DD"/>
    <w:rsid w:val="329779E8"/>
    <w:rsid w:val="560A7259"/>
    <w:rsid w:val="60720D50"/>
    <w:rsid w:val="75F26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iPriority w:val="0"/>
    <w:pPr>
      <w:spacing w:beforeAutospacing="1" w:afterAutospacing="1"/>
      <w:jc w:val="left"/>
    </w:pPr>
    <w:rPr>
      <w:rFonts w:cs="Times New Roman"/>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290</Words>
  <Characters>1653</Characters>
  <Lines>13</Lines>
  <Paragraphs>3</Paragraphs>
  <TotalTime>258</TotalTime>
  <ScaleCrop>false</ScaleCrop>
  <LinksUpToDate>false</LinksUpToDate>
  <CharactersWithSpaces>1940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2022-10-19T06:40:00Z</dcterms:created>
  <dc:creator>Administrator</dc:creator>
  <cp:lastModifiedBy>冰冰⊙▽⊙＊</cp:lastModifiedBy>
  <dcterms:modified xsi:type="dcterms:W3CDTF">2022-10-20T09:22:53Z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7E7CAA207B3A458EB356BE2FB14D7E10</vt:lpwstr>
  </property>
</Properties>
</file>