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6"/>
          <w:szCs w:val="36"/>
        </w:rPr>
        <w:t>大学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生物学同等学力申请硕士学位</w:t>
      </w:r>
      <w:r>
        <w:rPr>
          <w:rFonts w:asciiTheme="majorEastAsia" w:hAnsiTheme="majorEastAsia" w:eastAsiaTheme="majorEastAsia"/>
          <w:b/>
          <w:sz w:val="36"/>
          <w:szCs w:val="36"/>
        </w:rPr>
        <w:t>招生简章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生命科学与技术学院拥有生物学、药学2个一级学科硕士点，药学、生物与医药二个专业硕士学位点。学院坚持以学生为中心，构建了应用型创新人才和复合型人才的培养模式，坚持开放办学，先后与德国、英国、日本等十几个国家的10余所高校和科研院所建立了人才培养、学术交流与科研合作关系。现招收2022年现招收生物学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生物学基础理论和知识，掌握本学科基础理论和系统的专业知识以及必要的实践技能，了解学科发展现状和动向，培养具强烈事业心和社会责任感，积极为社会主义现代化建设服务的，能在生物学学科科领域从事科学研究、教学工作和相关实际工作的高层次专门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生物学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高级生物化学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生命科学研究进展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现代微生物学专论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细胞生物学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高级动物生理学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高级计算机网络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微生物代谢工程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知识产权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国学概率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3ECE6E3A"/>
    <w:rsid w:val="01797A49"/>
    <w:rsid w:val="22721B2C"/>
    <w:rsid w:val="31C71345"/>
    <w:rsid w:val="33BD52AE"/>
    <w:rsid w:val="3BD96051"/>
    <w:rsid w:val="3ECE6E3A"/>
    <w:rsid w:val="40CB5A7A"/>
    <w:rsid w:val="47B32AD2"/>
    <w:rsid w:val="49C37F7C"/>
    <w:rsid w:val="4A0D4904"/>
    <w:rsid w:val="4DF24E06"/>
    <w:rsid w:val="5FE92FD3"/>
    <w:rsid w:val="625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1700</Words>
  <Characters>1733</Characters>
  <Lines>0</Lines>
  <Paragraphs>0</Paragraphs>
  <TotalTime>143</TotalTime>
  <ScaleCrop>false</ScaleCrop>
  <LinksUpToDate>false</LinksUpToDate>
  <CharactersWithSpaces>1740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2022-09-22T03:49:42Z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5CF6B256137B46509E2984EAE5973CF6</vt:lpwstr>
  </property>
</Properties>
</file>