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2C" w:rsidRDefault="0030329B">
      <w:pPr>
        <w:widowControl/>
        <w:spacing w:before="240" w:line="540" w:lineRule="atLeast"/>
        <w:jc w:val="center"/>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首都经济贸易大学</w:t>
      </w:r>
    </w:p>
    <w:p w:rsidR="0051032C" w:rsidRDefault="0030329B">
      <w:pPr>
        <w:widowControl/>
        <w:spacing w:line="540" w:lineRule="atLeast"/>
        <w:jc w:val="center"/>
        <w:rPr>
          <w:rFonts w:ascii="黑体" w:eastAsia="黑体" w:hAnsi="黑体" w:cs="黑体"/>
          <w:b/>
          <w:color w:val="000000"/>
          <w:sz w:val="32"/>
          <w:szCs w:val="32"/>
          <w:shd w:val="clear" w:color="auto" w:fill="FFFFFF"/>
        </w:rPr>
      </w:pPr>
      <w:r>
        <w:rPr>
          <w:rFonts w:ascii="黑体" w:eastAsia="黑体" w:hAnsi="黑体" w:cs="黑体" w:hint="eastAsia"/>
          <w:b/>
          <w:color w:val="000000"/>
          <w:sz w:val="32"/>
          <w:szCs w:val="32"/>
          <w:shd w:val="clear" w:color="auto" w:fill="FFFFFF"/>
        </w:rPr>
        <w:t>公共管理学社会保障专业高级研修班招生简章</w:t>
      </w:r>
    </w:p>
    <w:p w:rsidR="0051032C" w:rsidRDefault="0030329B">
      <w:pPr>
        <w:pStyle w:val="a6"/>
        <w:shd w:val="clear" w:color="auto" w:fill="FFFFFF"/>
        <w:spacing w:before="0" w:beforeAutospacing="0" w:after="0" w:afterAutospacing="0" w:line="360" w:lineRule="auto"/>
        <w:ind w:firstLineChars="200" w:firstLine="420"/>
        <w:rPr>
          <w:rFonts w:ascii="Tahoma" w:eastAsiaTheme="minorEastAsia" w:hAnsi="Tahoma" w:cs="Tahoma"/>
          <w:color w:val="000000"/>
          <w:kern w:val="2"/>
          <w:sz w:val="21"/>
          <w:szCs w:val="21"/>
          <w:shd w:val="clear" w:color="auto" w:fill="FFFFFF"/>
        </w:rPr>
      </w:pPr>
      <w:r>
        <w:rPr>
          <w:rFonts w:ascii="Tahoma" w:eastAsiaTheme="minorEastAsia" w:hAnsi="Tahoma" w:cs="Tahoma" w:hint="eastAsia"/>
          <w:color w:val="000000"/>
          <w:kern w:val="2"/>
          <w:sz w:val="21"/>
          <w:szCs w:val="21"/>
          <w:shd w:val="clear" w:color="auto" w:fill="FFFFFF"/>
        </w:rPr>
        <w:t>首都经济贸易大学</w:t>
      </w:r>
      <w:r>
        <w:rPr>
          <w:rFonts w:asciiTheme="majorHAnsi" w:eastAsiaTheme="minorEastAsia" w:hAnsi="Tahoma" w:cs="Tahoma" w:hint="eastAsia"/>
          <w:color w:val="000000"/>
          <w:kern w:val="2"/>
          <w:sz w:val="21"/>
          <w:szCs w:val="21"/>
          <w:shd w:val="clear" w:color="auto" w:fill="FFFFFF"/>
        </w:rPr>
        <w:t>（</w:t>
      </w:r>
      <w:r>
        <w:rPr>
          <w:rFonts w:asciiTheme="majorHAnsi" w:eastAsiaTheme="minorEastAsia" w:hAnsi="Tahoma" w:cs="Tahoma" w:hint="eastAsia"/>
          <w:color w:val="000000"/>
          <w:kern w:val="2"/>
          <w:sz w:val="21"/>
          <w:szCs w:val="21"/>
          <w:shd w:val="clear" w:color="auto" w:fill="FFFFFF"/>
        </w:rPr>
        <w:t>Capital University of Economics and Business</w:t>
      </w:r>
      <w:r>
        <w:rPr>
          <w:rFonts w:asciiTheme="majorHAnsi" w:eastAsiaTheme="minorEastAsia" w:hAnsi="Tahoma" w:cs="Tahoma" w:hint="eastAsia"/>
          <w:color w:val="000000"/>
          <w:kern w:val="2"/>
          <w:sz w:val="21"/>
          <w:szCs w:val="21"/>
          <w:shd w:val="clear" w:color="auto" w:fill="FFFFFF"/>
        </w:rPr>
        <w:t>，</w:t>
      </w:r>
      <w:r>
        <w:rPr>
          <w:rFonts w:ascii="Tahoma" w:eastAsiaTheme="minorEastAsia" w:hAnsi="Tahoma" w:cs="Tahoma" w:hint="eastAsia"/>
          <w:color w:val="000000"/>
          <w:kern w:val="2"/>
          <w:sz w:val="21"/>
          <w:szCs w:val="21"/>
          <w:shd w:val="clear" w:color="auto" w:fill="FFFFFF"/>
        </w:rPr>
        <w:t>简称</w:t>
      </w:r>
      <w:r>
        <w:rPr>
          <w:rFonts w:ascii="Tahoma" w:eastAsiaTheme="minorEastAsia" w:hAnsi="Tahoma" w:cs="Tahoma" w:hint="eastAsia"/>
          <w:color w:val="000000"/>
          <w:kern w:val="2"/>
          <w:sz w:val="21"/>
          <w:szCs w:val="21"/>
          <w:shd w:val="clear" w:color="auto" w:fill="FFFFFF"/>
        </w:rPr>
        <w:t>CUEB</w:t>
      </w:r>
      <w:r>
        <w:rPr>
          <w:rFonts w:ascii="Tahoma" w:eastAsiaTheme="minorEastAsia" w:hAnsi="Tahoma" w:cs="Tahoma" w:hint="eastAsia"/>
          <w:color w:val="000000"/>
          <w:kern w:val="2"/>
          <w:sz w:val="21"/>
          <w:szCs w:val="21"/>
          <w:shd w:val="clear" w:color="auto" w:fill="FFFFFF"/>
        </w:rPr>
        <w:t>）创建于</w:t>
      </w:r>
      <w:r>
        <w:rPr>
          <w:rFonts w:ascii="Tahoma" w:eastAsiaTheme="minorEastAsia" w:hAnsi="Tahoma" w:cs="Tahoma" w:hint="eastAsia"/>
          <w:color w:val="000000"/>
          <w:kern w:val="2"/>
          <w:sz w:val="21"/>
          <w:szCs w:val="21"/>
          <w:shd w:val="clear" w:color="auto" w:fill="FFFFFF"/>
        </w:rPr>
        <w:t>1956</w:t>
      </w:r>
      <w:r>
        <w:rPr>
          <w:rFonts w:ascii="Tahoma" w:eastAsiaTheme="minorEastAsia" w:hAnsi="Tahoma" w:cs="Tahoma" w:hint="eastAsia"/>
          <w:color w:val="000000"/>
          <w:kern w:val="2"/>
          <w:sz w:val="21"/>
          <w:szCs w:val="21"/>
          <w:shd w:val="clear" w:color="auto" w:fill="FFFFFF"/>
        </w:rPr>
        <w:t>年，是以经济学、管理学为重点学科专业培养的财经类大学，在财经类院校中位列全国专业学科水平第七。</w:t>
      </w:r>
    </w:p>
    <w:p w:rsidR="0051032C" w:rsidRDefault="0030329B">
      <w:pPr>
        <w:pStyle w:val="aa"/>
        <w:widowControl/>
        <w:spacing w:line="360" w:lineRule="auto"/>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 </w:t>
      </w:r>
      <w:r>
        <w:rPr>
          <w:rFonts w:ascii="Tahoma" w:hAnsi="Tahoma" w:cs="Tahoma" w:hint="eastAsia"/>
          <w:color w:val="000000"/>
          <w:szCs w:val="21"/>
          <w:shd w:val="clear" w:color="auto" w:fill="FFFFFF"/>
        </w:rPr>
        <w:t>劳动经济学科作为国家重点学科获批近百项国家重点科研项目。</w:t>
      </w:r>
      <w:r>
        <w:rPr>
          <w:rFonts w:ascii="Tahoma" w:hAnsi="Tahoma" w:cs="Tahoma"/>
          <w:color w:val="000000"/>
          <w:szCs w:val="21"/>
          <w:shd w:val="clear" w:color="auto" w:fill="FFFFFF"/>
        </w:rPr>
        <w:t>2002</w:t>
      </w:r>
      <w:r>
        <w:rPr>
          <w:rFonts w:ascii="Tahoma" w:hAnsi="Tahoma" w:cs="Tahoma" w:hint="eastAsia"/>
          <w:color w:val="000000"/>
          <w:szCs w:val="21"/>
          <w:shd w:val="clear" w:color="auto" w:fill="FFFFFF"/>
        </w:rPr>
        <w:t>年成为北京市首批重点学科单位之一。</w:t>
      </w:r>
      <w:r>
        <w:rPr>
          <w:rFonts w:ascii="Tahoma" w:hAnsi="Tahoma" w:cs="Tahoma" w:hint="eastAsia"/>
          <w:color w:val="000000"/>
          <w:szCs w:val="21"/>
          <w:shd w:val="clear" w:color="auto" w:fill="FFFFFF"/>
        </w:rPr>
        <w:t>2007</w:t>
      </w:r>
      <w:r>
        <w:rPr>
          <w:rFonts w:ascii="Tahoma" w:hAnsi="Tahoma" w:cs="Tahoma" w:hint="eastAsia"/>
          <w:color w:val="000000"/>
          <w:szCs w:val="21"/>
          <w:shd w:val="clear" w:color="auto" w:fill="FFFFFF"/>
        </w:rPr>
        <w:t>年成为国家重点学科（全国</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个），</w:t>
      </w:r>
      <w:r>
        <w:rPr>
          <w:rFonts w:ascii="Tahoma" w:hAnsi="Tahoma" w:cs="Tahoma" w:hint="eastAsia"/>
          <w:color w:val="000000"/>
          <w:szCs w:val="21"/>
          <w:shd w:val="clear" w:color="auto" w:fill="FFFFFF"/>
        </w:rPr>
        <w:t>2010</w:t>
      </w:r>
      <w:r>
        <w:rPr>
          <w:rFonts w:ascii="Tahoma" w:hAnsi="Tahoma" w:cs="Tahoma" w:hint="eastAsia"/>
          <w:color w:val="000000"/>
          <w:szCs w:val="21"/>
          <w:shd w:val="clear" w:color="auto" w:fill="FFFFFF"/>
        </w:rPr>
        <w:t>年获批成为国家特色重点学科。劳动经济学院是新中国最早成立的劳动科学教学研究与人才培养基地。是我国最早建立劳动经济专业</w:t>
      </w:r>
      <w:r>
        <w:rPr>
          <w:rFonts w:ascii="Tahoma" w:hAnsi="Tahoma" w:cs="Tahoma" w:hint="eastAsia"/>
          <w:color w:val="000000"/>
          <w:szCs w:val="21"/>
          <w:shd w:val="clear" w:color="auto" w:fill="FFFFFF"/>
        </w:rPr>
        <w:t>(1955</w:t>
      </w:r>
      <w:r>
        <w:rPr>
          <w:rFonts w:ascii="Tahoma" w:hAnsi="Tahoma" w:cs="Tahoma" w:hint="eastAsia"/>
          <w:color w:val="000000"/>
          <w:szCs w:val="21"/>
          <w:shd w:val="clear" w:color="auto" w:fill="FFFFFF"/>
        </w:rPr>
        <w:t>年</w:t>
      </w:r>
      <w:r>
        <w:rPr>
          <w:rFonts w:ascii="Tahoma" w:hAnsi="Tahoma" w:cs="Tahoma"/>
          <w:color w:val="000000"/>
          <w:szCs w:val="21"/>
          <w:shd w:val="clear" w:color="auto" w:fill="FFFFFF"/>
        </w:rPr>
        <w:t>)</w:t>
      </w:r>
      <w:r>
        <w:rPr>
          <w:rFonts w:ascii="Tahoma" w:hAnsi="Tahoma" w:cs="Tahoma" w:hint="eastAsia"/>
          <w:color w:val="000000"/>
          <w:szCs w:val="21"/>
          <w:shd w:val="clear" w:color="auto" w:fill="FFFFFF"/>
        </w:rPr>
        <w:t>、人事管理专业</w:t>
      </w:r>
      <w:r>
        <w:rPr>
          <w:rFonts w:ascii="Tahoma" w:hAnsi="Tahoma" w:cs="Tahoma"/>
          <w:color w:val="000000"/>
          <w:szCs w:val="21"/>
          <w:shd w:val="clear" w:color="auto" w:fill="FFFFFF"/>
        </w:rPr>
        <w:t>(1984</w:t>
      </w:r>
      <w:r>
        <w:rPr>
          <w:rFonts w:ascii="Tahoma" w:hAnsi="Tahoma" w:cs="Tahoma" w:hint="eastAsia"/>
          <w:color w:val="000000"/>
          <w:szCs w:val="21"/>
          <w:shd w:val="clear" w:color="auto" w:fill="FFFFFF"/>
        </w:rPr>
        <w:t>年</w:t>
      </w:r>
      <w:r>
        <w:rPr>
          <w:rFonts w:ascii="Tahoma" w:hAnsi="Tahoma" w:cs="Tahoma"/>
          <w:color w:val="000000"/>
          <w:szCs w:val="21"/>
          <w:shd w:val="clear" w:color="auto" w:fill="FFFFFF"/>
        </w:rPr>
        <w:t>)</w:t>
      </w:r>
      <w:r>
        <w:rPr>
          <w:rFonts w:ascii="Tahoma" w:hAnsi="Tahoma" w:cs="Tahoma" w:hint="eastAsia"/>
          <w:color w:val="000000"/>
          <w:szCs w:val="21"/>
          <w:shd w:val="clear" w:color="auto" w:fill="FFFFFF"/>
        </w:rPr>
        <w:t>、人力资源管理专业</w:t>
      </w:r>
      <w:r>
        <w:rPr>
          <w:rFonts w:ascii="Tahoma" w:hAnsi="Tahoma" w:cs="Tahoma"/>
          <w:color w:val="000000"/>
          <w:szCs w:val="21"/>
          <w:shd w:val="clear" w:color="auto" w:fill="FFFFFF"/>
        </w:rPr>
        <w:t>(199</w:t>
      </w:r>
      <w:r>
        <w:rPr>
          <w:rFonts w:ascii="Tahoma" w:hAnsi="Tahoma" w:cs="Tahoma" w:hint="eastAsia"/>
          <w:color w:val="000000"/>
          <w:szCs w:val="21"/>
          <w:shd w:val="clear" w:color="auto" w:fill="FFFFFF"/>
        </w:rPr>
        <w:t>3)</w:t>
      </w:r>
      <w:r>
        <w:rPr>
          <w:rFonts w:ascii="Tahoma" w:hAnsi="Tahoma" w:cs="Tahoma" w:hint="eastAsia"/>
          <w:color w:val="000000"/>
          <w:szCs w:val="21"/>
          <w:shd w:val="clear" w:color="auto" w:fill="FFFFFF"/>
        </w:rPr>
        <w:t>、劳动与社会保障专业</w:t>
      </w:r>
      <w:r>
        <w:rPr>
          <w:rFonts w:ascii="Tahoma" w:hAnsi="Tahoma" w:cs="Tahoma" w:hint="eastAsia"/>
          <w:color w:val="000000"/>
          <w:szCs w:val="21"/>
          <w:shd w:val="clear" w:color="auto" w:fill="FFFFFF"/>
        </w:rPr>
        <w:t>(1998</w:t>
      </w:r>
      <w:r>
        <w:rPr>
          <w:rFonts w:ascii="Tahoma" w:hAnsi="Tahoma" w:cs="Tahoma"/>
          <w:color w:val="000000"/>
          <w:szCs w:val="21"/>
          <w:shd w:val="clear" w:color="auto" w:fill="FFFFFF"/>
        </w:rPr>
        <w:t>年</w:t>
      </w:r>
      <w:r>
        <w:rPr>
          <w:rFonts w:ascii="Tahoma" w:hAnsi="Tahoma" w:cs="Tahoma"/>
          <w:color w:val="000000"/>
          <w:szCs w:val="21"/>
          <w:shd w:val="clear" w:color="auto" w:fill="FFFFFF"/>
        </w:rPr>
        <w:t>)</w:t>
      </w:r>
      <w:r>
        <w:rPr>
          <w:rFonts w:ascii="Tahoma" w:hAnsi="Tahoma" w:cs="Tahoma"/>
          <w:color w:val="000000"/>
          <w:szCs w:val="21"/>
          <w:shd w:val="clear" w:color="auto" w:fill="FFFFFF"/>
        </w:rPr>
        <w:t>的单位</w:t>
      </w:r>
      <w:r>
        <w:rPr>
          <w:rFonts w:ascii="Tahoma" w:hAnsi="Tahoma" w:cs="Tahoma" w:hint="eastAsia"/>
          <w:color w:val="000000"/>
          <w:szCs w:val="21"/>
          <w:shd w:val="clear" w:color="auto" w:fill="FFFFFF"/>
        </w:rPr>
        <w:t>。</w:t>
      </w:r>
    </w:p>
    <w:p w:rsidR="0051032C" w:rsidRDefault="0030329B">
      <w:pPr>
        <w:pStyle w:val="aa"/>
        <w:widowControl/>
        <w:spacing w:line="360" w:lineRule="auto"/>
        <w:ind w:firstLine="422"/>
        <w:jc w:val="left"/>
        <w:rPr>
          <w:rFonts w:ascii="Tahoma" w:hAnsi="Tahoma" w:cs="Tahoma"/>
          <w:b/>
          <w:bCs/>
          <w:szCs w:val="21"/>
          <w:shd w:val="clear" w:color="auto" w:fill="FFFFFF"/>
        </w:rPr>
      </w:pPr>
      <w:r>
        <w:rPr>
          <w:rFonts w:ascii="Tahoma" w:hAnsi="Tahoma" w:cs="Tahoma" w:hint="eastAsia"/>
          <w:b/>
          <w:szCs w:val="21"/>
          <w:shd w:val="clear" w:color="auto" w:fill="FFFFFF"/>
        </w:rPr>
        <w:t>2008</w:t>
      </w:r>
      <w:r>
        <w:rPr>
          <w:rFonts w:ascii="Tahoma" w:hAnsi="Tahoma" w:cs="Tahoma" w:hint="eastAsia"/>
          <w:b/>
          <w:szCs w:val="21"/>
          <w:shd w:val="clear" w:color="auto" w:fill="FFFFFF"/>
        </w:rPr>
        <w:t>年劳动与社会保障专业获批国家特色专业（全国唯一）</w:t>
      </w:r>
      <w:r>
        <w:rPr>
          <w:rFonts w:ascii="Tahoma" w:hAnsi="Tahoma" w:cs="Tahoma" w:hint="eastAsia"/>
          <w:color w:val="000000"/>
          <w:szCs w:val="21"/>
          <w:shd w:val="clear" w:color="auto" w:fill="FFFFFF"/>
        </w:rPr>
        <w:t>并与国家发改委社会发展所共同组建（首都经济贸易大学）中国人力资源与社会保障研究所；</w:t>
      </w:r>
      <w:r>
        <w:rPr>
          <w:rFonts w:ascii="Tahoma" w:hAnsi="Tahoma" w:cs="Tahoma" w:hint="eastAsia"/>
          <w:color w:val="000000"/>
          <w:szCs w:val="21"/>
          <w:shd w:val="clear" w:color="auto" w:fill="FFFFFF"/>
        </w:rPr>
        <w:t>2009</w:t>
      </w:r>
      <w:r>
        <w:rPr>
          <w:rFonts w:ascii="Tahoma" w:hAnsi="Tahoma" w:cs="Tahoma" w:hint="eastAsia"/>
          <w:color w:val="000000"/>
          <w:szCs w:val="21"/>
          <w:shd w:val="clear" w:color="auto" w:fill="FFFFFF"/>
        </w:rPr>
        <w:t>年“社会保障学”被评</w:t>
      </w:r>
      <w:r>
        <w:rPr>
          <w:rFonts w:ascii="Tahoma" w:hAnsi="Tahoma" w:cs="Tahoma" w:hint="eastAsia"/>
          <w:b/>
          <w:bCs/>
          <w:szCs w:val="21"/>
          <w:shd w:val="clear" w:color="auto" w:fill="FFFFFF"/>
        </w:rPr>
        <w:t>为国家级精品课程。</w:t>
      </w:r>
    </w:p>
    <w:p w:rsidR="0051032C" w:rsidRDefault="0051032C">
      <w:pPr>
        <w:widowControl/>
        <w:spacing w:line="360" w:lineRule="auto"/>
        <w:jc w:val="left"/>
        <w:rPr>
          <w:rFonts w:ascii="Tahoma" w:hAnsi="Tahoma" w:cs="Tahoma"/>
          <w:b/>
          <w:color w:val="C00000"/>
          <w:szCs w:val="21"/>
          <w:shd w:val="clear" w:color="auto" w:fill="FFFFFF"/>
        </w:rPr>
      </w:pPr>
    </w:p>
    <w:p w:rsidR="0051032C" w:rsidRDefault="0030329B">
      <w:pPr>
        <w:widowControl/>
        <w:spacing w:line="360" w:lineRule="auto"/>
        <w:jc w:val="left"/>
        <w:rPr>
          <w:rFonts w:ascii="Tahoma" w:hAnsi="Tahoma" w:cs="Tahoma"/>
          <w:b/>
          <w:color w:val="C00000"/>
          <w:szCs w:val="21"/>
          <w:shd w:val="clear" w:color="auto" w:fill="FFFFFF"/>
        </w:rPr>
      </w:pPr>
      <w:r>
        <w:rPr>
          <w:rFonts w:ascii="Tahoma" w:hAnsi="Tahoma" w:cs="Tahoma"/>
          <w:b/>
          <w:color w:val="C00000"/>
          <w:szCs w:val="21"/>
          <w:shd w:val="clear" w:color="auto" w:fill="FFFFFF"/>
        </w:rPr>
        <w:t>【培养目标】</w:t>
      </w:r>
    </w:p>
    <w:p w:rsidR="0051032C" w:rsidRDefault="0030329B">
      <w:pPr>
        <w:widowControl/>
        <w:spacing w:line="360" w:lineRule="auto"/>
        <w:ind w:firstLineChars="200" w:firstLine="420"/>
        <w:jc w:val="left"/>
        <w:rPr>
          <w:rFonts w:ascii="Tahoma" w:hAnsi="Tahoma" w:cs="Tahoma"/>
          <w:b/>
          <w:color w:val="C00000"/>
          <w:szCs w:val="21"/>
          <w:shd w:val="clear" w:color="auto" w:fill="FFFFFF"/>
        </w:rPr>
      </w:pPr>
      <w:r>
        <w:rPr>
          <w:rFonts w:ascii="Tahoma" w:hAnsi="Tahoma" w:cs="Tahoma" w:hint="eastAsia"/>
          <w:color w:val="000000"/>
          <w:szCs w:val="21"/>
          <w:shd w:val="clear" w:color="auto" w:fill="FFFFFF"/>
        </w:rPr>
        <w:t>公共管理学</w:t>
      </w:r>
      <w:r>
        <w:rPr>
          <w:rFonts w:ascii="Tahoma" w:hAnsi="Tahoma" w:cs="Tahoma"/>
          <w:color w:val="000000"/>
          <w:szCs w:val="21"/>
          <w:shd w:val="clear" w:color="auto" w:fill="FFFFFF"/>
        </w:rPr>
        <w:t>社会保障专业培养适应社会经济发展需要，有扎实的经济与管理理论基础和宽广的知识面，掌握现代管理技术与方法，有较强的社会适应性、组织实践能力和协作创新精神，并具有较熟练的外语水平，能够在国家劳动与社会保障管理与政策研究部门、民政管理部门、医疗卫生组织、大型企事业单位人力资源部门、科研机构、高等院校以及保险公司从事社会保障理论与政策研究、社会保障事务管理、以及教学工作，德、智、体全面发展的应用型、复合型高级专门人才。</w:t>
      </w:r>
    </w:p>
    <w:p w:rsidR="0051032C" w:rsidRDefault="0030329B">
      <w:pPr>
        <w:widowControl/>
        <w:spacing w:line="360" w:lineRule="auto"/>
        <w:jc w:val="left"/>
        <w:rPr>
          <w:rFonts w:ascii="Tahoma" w:hAnsi="Tahoma" w:cs="Tahoma"/>
          <w:b/>
          <w:color w:val="000000"/>
          <w:szCs w:val="21"/>
          <w:shd w:val="clear" w:color="auto" w:fill="FFFFFF"/>
        </w:rPr>
      </w:pPr>
      <w:r>
        <w:rPr>
          <w:rFonts w:ascii="Tahoma" w:hAnsi="Tahoma" w:cs="Tahoma" w:hint="eastAsia"/>
          <w:b/>
          <w:color w:val="C00000"/>
          <w:szCs w:val="21"/>
          <w:shd w:val="clear" w:color="auto" w:fill="FFFFFF"/>
        </w:rPr>
        <w:t>【研究方向】</w:t>
      </w:r>
    </w:p>
    <w:p w:rsidR="0051032C" w:rsidRDefault="0030329B">
      <w:pPr>
        <w:widowControl/>
        <w:spacing w:after="240" w:line="360" w:lineRule="auto"/>
        <w:jc w:val="left"/>
      </w:pPr>
      <w:r>
        <w:rPr>
          <w:rFonts w:hint="eastAsia"/>
        </w:rPr>
        <w:t>◆人力资源与社会保障研究</w:t>
      </w:r>
      <w:r>
        <w:rPr>
          <w:rFonts w:hint="eastAsia"/>
        </w:rPr>
        <w:t xml:space="preserve">          </w:t>
      </w:r>
      <w:r>
        <w:rPr>
          <w:rFonts w:hint="eastAsia"/>
        </w:rPr>
        <w:t>◆养老保障研究</w:t>
      </w:r>
      <w:r>
        <w:rPr>
          <w:rFonts w:hint="eastAsia"/>
        </w:rPr>
        <w:t xml:space="preserve">          </w:t>
      </w:r>
      <w:r>
        <w:rPr>
          <w:rFonts w:hint="eastAsia"/>
        </w:rPr>
        <w:t>◆健康与医疗保障研究</w:t>
      </w:r>
    </w:p>
    <w:p w:rsidR="0051032C" w:rsidRDefault="0030329B">
      <w:pPr>
        <w:widowControl/>
        <w:spacing w:line="360" w:lineRule="auto"/>
        <w:jc w:val="left"/>
      </w:pPr>
      <w:r>
        <w:rPr>
          <w:rFonts w:hint="eastAsia"/>
        </w:rPr>
        <w:t>◆失业保险研究</w:t>
      </w:r>
      <w:r>
        <w:rPr>
          <w:rFonts w:hint="eastAsia"/>
        </w:rPr>
        <w:t xml:space="preserve">                    </w:t>
      </w:r>
      <w:r>
        <w:rPr>
          <w:rFonts w:hint="eastAsia"/>
        </w:rPr>
        <w:t>◆就业保障研究</w:t>
      </w:r>
      <w:r>
        <w:rPr>
          <w:rFonts w:hint="eastAsia"/>
        </w:rPr>
        <w:t xml:space="preserve">          </w:t>
      </w:r>
      <w:r>
        <w:rPr>
          <w:rFonts w:hint="eastAsia"/>
        </w:rPr>
        <w:t>◆老年社会保障研究</w:t>
      </w:r>
    </w:p>
    <w:p w:rsidR="0051032C" w:rsidRDefault="0030329B">
      <w:pPr>
        <w:widowControl/>
        <w:spacing w:line="360" w:lineRule="auto"/>
        <w:jc w:val="left"/>
        <w:rPr>
          <w:rFonts w:ascii="Tahoma" w:hAnsi="Tahoma" w:cs="Tahoma"/>
          <w:b/>
          <w:color w:val="C00000"/>
          <w:szCs w:val="21"/>
          <w:shd w:val="clear" w:color="auto" w:fill="FFFFFF"/>
        </w:rPr>
      </w:pPr>
      <w:r>
        <w:rPr>
          <w:rFonts w:ascii="Tahoma" w:hAnsi="Tahoma" w:cs="Tahoma"/>
          <w:b/>
          <w:color w:val="C00000"/>
          <w:szCs w:val="21"/>
          <w:shd w:val="clear" w:color="auto" w:fill="FFFFFF"/>
        </w:rPr>
        <w:t>【项目优势</w:t>
      </w:r>
      <w:r>
        <w:rPr>
          <w:rFonts w:ascii="Tahoma" w:hAnsi="Tahoma" w:cs="Tahoma" w:hint="eastAsia"/>
          <w:b/>
          <w:color w:val="C00000"/>
          <w:szCs w:val="21"/>
          <w:shd w:val="clear" w:color="auto" w:fill="FFFFFF"/>
        </w:rPr>
        <w:t>】</w:t>
      </w:r>
    </w:p>
    <w:p w:rsidR="0051032C" w:rsidRDefault="008657BA">
      <w:pPr>
        <w:pStyle w:val="aa"/>
        <w:widowControl/>
        <w:spacing w:line="360" w:lineRule="auto"/>
        <w:ind w:firstLineChars="0" w:firstLine="0"/>
        <w:jc w:val="left"/>
        <w:rPr>
          <w:rFonts w:ascii="Tahoma" w:hAnsi="Tahoma" w:cs="Tahoma"/>
          <w:b/>
          <w:color w:val="C00000"/>
          <w:szCs w:val="21"/>
          <w:shd w:val="clear" w:color="auto" w:fill="FFFFFF"/>
        </w:rPr>
      </w:pPr>
      <w:r>
        <w:rPr>
          <w:rFonts w:ascii="Helvetica" w:hAnsi="Helvetica" w:cs="Helvetica"/>
          <w:color w:val="000000"/>
        </w:rPr>
        <w:fldChar w:fldCharType="begin"/>
      </w:r>
      <w:r w:rsidR="0030329B">
        <w:rPr>
          <w:rFonts w:ascii="Helvetica" w:hAnsi="Helvetica" w:cs="Helvetica"/>
          <w:color w:val="000000"/>
        </w:rPr>
        <w:instrText xml:space="preserve"> = 1 \* Arabic \* MERGEFORMAT </w:instrText>
      </w:r>
      <w:r>
        <w:rPr>
          <w:rFonts w:ascii="Helvetica" w:hAnsi="Helvetica" w:cs="Helvetica"/>
          <w:color w:val="000000"/>
        </w:rPr>
        <w:fldChar w:fldCharType="separate"/>
      </w:r>
      <w:r w:rsidR="0030329B">
        <w:t>1</w:t>
      </w:r>
      <w:r>
        <w:rPr>
          <w:rFonts w:ascii="Helvetica" w:hAnsi="Helvetica" w:cs="Helvetica"/>
          <w:color w:val="000000"/>
        </w:rPr>
        <w:fldChar w:fldCharType="end"/>
      </w:r>
      <w:r w:rsidR="0030329B">
        <w:rPr>
          <w:rFonts w:ascii="Helvetica" w:hAnsi="Helvetica" w:cs="Helvetica" w:hint="eastAsia"/>
          <w:color w:val="000000"/>
        </w:rPr>
        <w:t xml:space="preserve">.  </w:t>
      </w:r>
      <w:r w:rsidR="0030329B">
        <w:rPr>
          <w:rFonts w:ascii="Helvetica" w:hAnsi="Helvetica" w:cs="Helvetica"/>
          <w:color w:val="000000"/>
        </w:rPr>
        <w:t>2008</w:t>
      </w:r>
      <w:r w:rsidR="0030329B">
        <w:rPr>
          <w:rFonts w:ascii="Helvetica" w:hAnsi="Helvetica" w:cs="Helvetica"/>
          <w:color w:val="000000"/>
        </w:rPr>
        <w:t>年劳动与社会保障专业获批成为国家特色专业</w:t>
      </w:r>
      <w:r w:rsidR="0030329B">
        <w:rPr>
          <w:rFonts w:ascii="Helvetica" w:hAnsi="Helvetica" w:cs="Helvetica"/>
          <w:b/>
          <w:bCs/>
          <w:color w:val="000000"/>
        </w:rPr>
        <w:t>（全国唯一）</w:t>
      </w:r>
      <w:r w:rsidR="0030329B">
        <w:rPr>
          <w:rFonts w:ascii="Helvetica" w:hAnsi="Helvetica" w:cs="Helvetica"/>
          <w:color w:val="000000"/>
        </w:rPr>
        <w:t>并与国家发改委社会发展所共同组建了（首都经济贸易大学）中国人力资源与社会保障研究所；</w:t>
      </w:r>
    </w:p>
    <w:p w:rsidR="0051032C" w:rsidRDefault="0030329B">
      <w:pPr>
        <w:pStyle w:val="aa"/>
        <w:widowControl/>
        <w:spacing w:line="360" w:lineRule="auto"/>
        <w:ind w:firstLineChars="0" w:firstLine="0"/>
        <w:jc w:val="left"/>
        <w:rPr>
          <w:rFonts w:ascii="Tahoma" w:hAnsi="Tahoma" w:cs="Tahoma"/>
          <w:b/>
          <w:szCs w:val="21"/>
          <w:shd w:val="clear" w:color="auto" w:fill="FFFFFF"/>
        </w:rPr>
      </w:pPr>
      <w:r>
        <w:rPr>
          <w:rFonts w:ascii="Tahoma" w:hAnsi="Tahoma" w:cs="Tahoma" w:hint="eastAsia"/>
          <w:bCs/>
          <w:szCs w:val="21"/>
          <w:shd w:val="clear" w:color="auto" w:fill="FFFFFF"/>
        </w:rPr>
        <w:t xml:space="preserve">2.  </w:t>
      </w:r>
      <w:r>
        <w:rPr>
          <w:rFonts w:ascii="Tahoma" w:hAnsi="Tahoma" w:cs="Tahoma" w:hint="eastAsia"/>
          <w:b/>
          <w:szCs w:val="21"/>
          <w:shd w:val="clear" w:color="auto" w:fill="FFFFFF"/>
        </w:rPr>
        <w:t>同等学力国家统考专业课只考两门（公共管理学、社会保障学）</w:t>
      </w:r>
    </w:p>
    <w:p w:rsidR="0051032C" w:rsidRDefault="0030329B">
      <w:pPr>
        <w:pStyle w:val="aa"/>
        <w:widowControl/>
        <w:spacing w:line="360" w:lineRule="auto"/>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 xml:space="preserve">3.  </w:t>
      </w:r>
      <w:r>
        <w:rPr>
          <w:rFonts w:ascii="Tahoma" w:hAnsi="Tahoma" w:cs="Tahoma" w:hint="eastAsia"/>
          <w:color w:val="000000"/>
          <w:szCs w:val="21"/>
          <w:shd w:val="clear" w:color="auto" w:fill="FFFFFF"/>
        </w:rPr>
        <w:t>案例教学，</w:t>
      </w:r>
      <w:r>
        <w:rPr>
          <w:rFonts w:ascii="Tahoma" w:hAnsi="Tahoma" w:cs="Tahoma"/>
          <w:color w:val="000000"/>
          <w:szCs w:val="21"/>
          <w:shd w:val="clear" w:color="auto" w:fill="FFFFFF"/>
        </w:rPr>
        <w:t>采用课堂讲授、研讨、模拟训练、案例分析、社会调查和实习等多种形式，注重理论联系实际，强调培养学生分析和解决问题的能力。</w:t>
      </w:r>
    </w:p>
    <w:p w:rsidR="0051032C" w:rsidRDefault="0030329B">
      <w:pPr>
        <w:pStyle w:val="aa"/>
        <w:widowControl/>
        <w:spacing w:line="360" w:lineRule="auto"/>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 xml:space="preserve">4.  </w:t>
      </w:r>
      <w:r>
        <w:rPr>
          <w:rFonts w:ascii="Tahoma" w:hAnsi="Tahoma" w:cs="Tahoma" w:hint="eastAsia"/>
          <w:color w:val="000000"/>
          <w:szCs w:val="21"/>
          <w:shd w:val="clear" w:color="auto" w:fill="FFFFFF"/>
        </w:rPr>
        <w:t>完善的班务管理制度，为学员提供开放的学习资源和行业沟通平台。</w:t>
      </w:r>
    </w:p>
    <w:p w:rsidR="0051032C" w:rsidRDefault="0030329B">
      <w:pPr>
        <w:pStyle w:val="a6"/>
        <w:shd w:val="clear" w:color="auto" w:fill="FFFFFF"/>
        <w:spacing w:before="0" w:beforeAutospacing="0" w:after="0" w:afterAutospacing="0" w:line="480" w:lineRule="exact"/>
        <w:rPr>
          <w:rFonts w:ascii="Tahoma" w:eastAsiaTheme="minorEastAsia" w:hAnsi="Tahoma" w:cs="Tahoma"/>
          <w:color w:val="000000"/>
          <w:kern w:val="2"/>
          <w:sz w:val="21"/>
          <w:szCs w:val="21"/>
          <w:shd w:val="clear" w:color="auto" w:fill="FFFFFF"/>
        </w:rPr>
      </w:pPr>
      <w:r>
        <w:rPr>
          <w:rFonts w:ascii="Tahoma" w:eastAsiaTheme="minorEastAsia" w:hAnsi="Tahoma" w:cs="Tahoma" w:hint="eastAsia"/>
          <w:color w:val="000000"/>
          <w:kern w:val="2"/>
          <w:sz w:val="21"/>
          <w:szCs w:val="21"/>
          <w:shd w:val="clear" w:color="auto" w:fill="FFFFFF"/>
        </w:rPr>
        <w:lastRenderedPageBreak/>
        <w:t xml:space="preserve">5.  </w:t>
      </w:r>
      <w:r>
        <w:rPr>
          <w:rFonts w:ascii="Tahoma" w:eastAsiaTheme="minorEastAsia" w:hAnsi="Tahoma" w:cs="Tahoma"/>
          <w:color w:val="000000"/>
          <w:kern w:val="2"/>
          <w:sz w:val="21"/>
          <w:szCs w:val="21"/>
          <w:shd w:val="clear" w:color="auto" w:fill="FFFFFF"/>
        </w:rPr>
        <w:t>首都经贸大学高级课程研修班由</w:t>
      </w:r>
      <w:r>
        <w:rPr>
          <w:rFonts w:ascii="Tahoma" w:eastAsiaTheme="minorEastAsia" w:hAnsi="Tahoma" w:cs="Tahoma" w:hint="eastAsia"/>
          <w:color w:val="000000"/>
          <w:kern w:val="2"/>
          <w:sz w:val="21"/>
          <w:szCs w:val="21"/>
          <w:shd w:val="clear" w:color="auto" w:fill="FFFFFF"/>
        </w:rPr>
        <w:t>培训</w:t>
      </w:r>
      <w:r>
        <w:rPr>
          <w:rFonts w:ascii="Tahoma" w:eastAsiaTheme="minorEastAsia" w:hAnsi="Tahoma" w:cs="Tahoma"/>
          <w:color w:val="000000"/>
          <w:kern w:val="2"/>
          <w:sz w:val="21"/>
          <w:szCs w:val="21"/>
          <w:shd w:val="clear" w:color="auto" w:fill="FFFFFF"/>
        </w:rPr>
        <w:t>中心统一负责招生</w:t>
      </w:r>
      <w:r>
        <w:rPr>
          <w:rFonts w:ascii="Tahoma" w:eastAsiaTheme="minorEastAsia" w:hAnsi="Tahoma" w:cs="Tahoma" w:hint="eastAsia"/>
          <w:color w:val="000000"/>
          <w:kern w:val="2"/>
          <w:sz w:val="21"/>
          <w:szCs w:val="21"/>
          <w:shd w:val="clear" w:color="auto" w:fill="FFFFFF"/>
        </w:rPr>
        <w:t>，</w:t>
      </w:r>
      <w:r>
        <w:rPr>
          <w:rFonts w:ascii="Tahoma" w:eastAsiaTheme="minorEastAsia" w:hAnsi="Tahoma" w:cs="Tahoma"/>
          <w:color w:val="000000"/>
          <w:kern w:val="2"/>
          <w:sz w:val="21"/>
          <w:szCs w:val="21"/>
          <w:shd w:val="clear" w:color="auto" w:fill="FFFFFF"/>
        </w:rPr>
        <w:t>课程资源整合。定期组织相关的实践拓展活动，方便人脉拓展。</w:t>
      </w:r>
    </w:p>
    <w:p w:rsidR="0051032C" w:rsidRDefault="0030329B">
      <w:pPr>
        <w:pStyle w:val="a6"/>
        <w:shd w:val="clear" w:color="auto" w:fill="FFFFFF"/>
        <w:spacing w:before="0" w:beforeAutospacing="0" w:after="0" w:afterAutospacing="0" w:line="480" w:lineRule="exact"/>
        <w:rPr>
          <w:rFonts w:ascii="Tahoma" w:eastAsiaTheme="minorEastAsia" w:hAnsi="Tahoma" w:cs="Tahoma"/>
          <w:color w:val="000000"/>
          <w:kern w:val="2"/>
          <w:sz w:val="21"/>
          <w:szCs w:val="21"/>
          <w:shd w:val="clear" w:color="auto" w:fill="FFFFFF"/>
        </w:rPr>
      </w:pPr>
      <w:r>
        <w:rPr>
          <w:rFonts w:ascii="Tahoma" w:eastAsiaTheme="minorEastAsia" w:hAnsi="Tahoma" w:cs="Tahoma" w:hint="eastAsia"/>
          <w:color w:val="000000"/>
          <w:kern w:val="2"/>
          <w:sz w:val="21"/>
          <w:szCs w:val="21"/>
          <w:shd w:val="clear" w:color="auto" w:fill="FFFFFF"/>
        </w:rPr>
        <w:t xml:space="preserve">6.  </w:t>
      </w:r>
      <w:r>
        <w:rPr>
          <w:rFonts w:ascii="Tahoma" w:eastAsiaTheme="minorEastAsia" w:hAnsi="Tahoma" w:cs="Tahoma" w:hint="eastAsia"/>
          <w:color w:val="000000"/>
          <w:kern w:val="2"/>
          <w:sz w:val="21"/>
          <w:szCs w:val="21"/>
          <w:shd w:val="clear" w:color="auto" w:fill="FFFFFF"/>
        </w:rPr>
        <w:t>政策优势：国考单科成绩有效期较长，共计五年，利于在职人员安排考试。论文答辩统一安排论文指导老师。</w:t>
      </w:r>
    </w:p>
    <w:p w:rsidR="0051032C" w:rsidRDefault="0030329B">
      <w:pPr>
        <w:pStyle w:val="aa"/>
        <w:widowControl/>
        <w:spacing w:line="440" w:lineRule="atLeast"/>
        <w:ind w:firstLineChars="0" w:firstLine="0"/>
        <w:jc w:val="left"/>
        <w:rPr>
          <w:rFonts w:ascii="Tahoma" w:hAnsi="Tahoma" w:cs="Tahoma"/>
          <w:color w:val="000000"/>
          <w:szCs w:val="21"/>
          <w:shd w:val="clear" w:color="auto" w:fill="FFFFFF"/>
        </w:rPr>
      </w:pPr>
      <w:r>
        <w:rPr>
          <w:rFonts w:ascii="Tahoma" w:hAnsi="Tahoma" w:cs="Tahoma" w:hint="eastAsia"/>
          <w:b/>
          <w:color w:val="C00000"/>
          <w:szCs w:val="21"/>
          <w:shd w:val="clear" w:color="auto" w:fill="FFFFFF"/>
        </w:rPr>
        <w:t>【课程设置】</w:t>
      </w:r>
      <w:r>
        <w:rPr>
          <w:rFonts w:ascii="Tahoma" w:hAnsi="Tahoma" w:cs="Tahoma" w:hint="eastAsia"/>
          <w:color w:val="000000"/>
          <w:szCs w:val="21"/>
          <w:shd w:val="clear" w:color="auto" w:fill="FFFFFF"/>
        </w:rPr>
        <w:t>（每年按我校最新“研究生培养方案”及行业趋势调整。）</w:t>
      </w:r>
    </w:p>
    <w:p w:rsidR="0051032C" w:rsidRDefault="0030329B">
      <w:pPr>
        <w:pStyle w:val="aa"/>
        <w:widowControl/>
        <w:spacing w:line="380" w:lineRule="atLeast"/>
        <w:ind w:firstLineChars="0" w:firstLine="0"/>
        <w:jc w:val="left"/>
        <w:rPr>
          <w:rFonts w:ascii="Tahoma" w:hAnsi="Tahoma" w:cs="Tahoma"/>
          <w:color w:val="000000"/>
          <w:szCs w:val="21"/>
          <w:shd w:val="clear" w:color="auto" w:fill="FFFFFF"/>
        </w:rPr>
      </w:pPr>
      <w:r>
        <w:rPr>
          <w:rFonts w:ascii="Tahoma" w:hAnsi="Tahoma" w:cs="Tahoma" w:hint="eastAsia"/>
          <w:b/>
          <w:bCs/>
          <w:color w:val="C00000"/>
          <w:szCs w:val="21"/>
          <w:shd w:val="clear" w:color="auto" w:fill="FFFFFF"/>
        </w:rPr>
        <w:t>【学</w:t>
      </w:r>
      <w:r>
        <w:rPr>
          <w:rFonts w:ascii="Tahoma" w:hAnsi="Tahoma" w:cs="Tahoma" w:hint="eastAsia"/>
          <w:b/>
          <w:bCs/>
          <w:color w:val="C00000"/>
          <w:szCs w:val="21"/>
          <w:shd w:val="clear" w:color="auto" w:fill="FFFFFF"/>
        </w:rPr>
        <w:t xml:space="preserve">    </w:t>
      </w:r>
      <w:r>
        <w:rPr>
          <w:rFonts w:ascii="Tahoma" w:hAnsi="Tahoma" w:cs="Tahoma" w:hint="eastAsia"/>
          <w:b/>
          <w:bCs/>
          <w:color w:val="C00000"/>
          <w:szCs w:val="21"/>
          <w:shd w:val="clear" w:color="auto" w:fill="FFFFFF"/>
        </w:rPr>
        <w:t>制】</w:t>
      </w:r>
      <w:r>
        <w:rPr>
          <w:rFonts w:ascii="Tahoma" w:hAnsi="Tahoma" w:cs="Tahoma" w:hint="eastAsia"/>
          <w:color w:val="000000"/>
          <w:szCs w:val="21"/>
          <w:shd w:val="clear" w:color="auto" w:fill="FFFFFF"/>
        </w:rPr>
        <w:t>1.5</w:t>
      </w:r>
      <w:r>
        <w:rPr>
          <w:rFonts w:ascii="Tahoma" w:hAnsi="Tahoma" w:cs="Tahoma" w:hint="eastAsia"/>
          <w:color w:val="000000"/>
          <w:szCs w:val="21"/>
          <w:shd w:val="clear" w:color="auto" w:fill="FFFFFF"/>
        </w:rPr>
        <w:t>年</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年</w:t>
      </w:r>
    </w:p>
    <w:p w:rsidR="0051032C" w:rsidRDefault="0030329B">
      <w:pPr>
        <w:pStyle w:val="aa"/>
        <w:widowControl/>
        <w:spacing w:line="360" w:lineRule="auto"/>
        <w:ind w:firstLineChars="0" w:firstLine="0"/>
        <w:jc w:val="left"/>
        <w:rPr>
          <w:rFonts w:ascii="Tahoma" w:hAnsi="Tahoma" w:cs="Tahoma"/>
          <w:color w:val="000000"/>
          <w:szCs w:val="21"/>
          <w:shd w:val="clear" w:color="auto" w:fill="FFFFFF"/>
        </w:rPr>
      </w:pPr>
      <w:r>
        <w:rPr>
          <w:rFonts w:ascii="Tahoma" w:hAnsi="Tahoma" w:cs="Tahoma" w:hint="eastAsia"/>
          <w:b/>
          <w:bCs/>
          <w:color w:val="C00000"/>
          <w:szCs w:val="21"/>
          <w:shd w:val="clear" w:color="auto" w:fill="FFFFFF"/>
        </w:rPr>
        <w:t>【上课方式</w:t>
      </w:r>
      <w:r>
        <w:rPr>
          <w:rFonts w:ascii="Tahoma" w:hAnsi="Tahoma" w:cs="Tahoma" w:hint="eastAsia"/>
          <w:color w:val="C00000"/>
          <w:szCs w:val="21"/>
          <w:shd w:val="clear" w:color="auto" w:fill="FFFFFF"/>
        </w:rPr>
        <w:t>】</w:t>
      </w:r>
      <w:r>
        <w:rPr>
          <w:rFonts w:ascii="Tahoma" w:hAnsi="Tahoma" w:cs="Tahoma" w:hint="eastAsia"/>
          <w:color w:val="000000"/>
          <w:szCs w:val="21"/>
          <w:shd w:val="clear" w:color="auto" w:fill="FFFFFF"/>
        </w:rPr>
        <w:t>周末</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网络远程</w:t>
      </w:r>
    </w:p>
    <w:tbl>
      <w:tblPr>
        <w:tblW w:w="9414" w:type="dxa"/>
        <w:tblInd w:w="93" w:type="dxa"/>
        <w:tblLayout w:type="fixed"/>
        <w:tblLook w:val="04A0"/>
      </w:tblPr>
      <w:tblGrid>
        <w:gridCol w:w="2364"/>
        <w:gridCol w:w="7050"/>
      </w:tblGrid>
      <w:tr w:rsidR="0051032C">
        <w:trPr>
          <w:trHeight w:val="480"/>
        </w:trPr>
        <w:tc>
          <w:tcPr>
            <w:tcW w:w="2364" w:type="dxa"/>
            <w:tcBorders>
              <w:top w:val="single" w:sz="8" w:space="0" w:color="auto"/>
              <w:left w:val="single" w:sz="8" w:space="0" w:color="auto"/>
              <w:bottom w:val="single" w:sz="8" w:space="0" w:color="auto"/>
              <w:right w:val="single" w:sz="8" w:space="0" w:color="auto"/>
            </w:tcBorders>
            <w:shd w:val="clear" w:color="000000" w:fill="C4BD97"/>
            <w:vAlign w:val="center"/>
          </w:tcPr>
          <w:p w:rsidR="0051032C" w:rsidRDefault="0030329B">
            <w:pPr>
              <w:spacing w:before="100" w:beforeAutospacing="1" w:after="100" w:afterAutospacing="1" w:line="306" w:lineRule="atLeast"/>
              <w:rPr>
                <w:rFonts w:ascii="宋体" w:eastAsia="宋体" w:hAnsi="宋体" w:cs="宋体"/>
                <w:sz w:val="24"/>
                <w:szCs w:val="24"/>
              </w:rPr>
            </w:pPr>
            <w:r>
              <w:rPr>
                <w:rFonts w:hint="eastAsia"/>
                <w:b/>
                <w:bCs/>
              </w:rPr>
              <w:t>课程名称</w:t>
            </w:r>
          </w:p>
        </w:tc>
        <w:tc>
          <w:tcPr>
            <w:tcW w:w="7050" w:type="dxa"/>
            <w:tcBorders>
              <w:top w:val="single" w:sz="8" w:space="0" w:color="auto"/>
              <w:left w:val="nil"/>
              <w:bottom w:val="single" w:sz="8" w:space="0" w:color="000000"/>
              <w:right w:val="single" w:sz="8" w:space="0" w:color="auto"/>
            </w:tcBorders>
            <w:shd w:val="clear" w:color="000000" w:fill="C4BD97"/>
            <w:vAlign w:val="center"/>
          </w:tcPr>
          <w:p w:rsidR="0051032C" w:rsidRDefault="0030329B">
            <w:pPr>
              <w:spacing w:before="100" w:beforeAutospacing="1" w:after="100" w:afterAutospacing="1" w:line="306" w:lineRule="atLeast"/>
              <w:rPr>
                <w:rFonts w:ascii="宋体" w:eastAsia="宋体" w:hAnsi="宋体" w:cs="宋体"/>
                <w:sz w:val="24"/>
                <w:szCs w:val="24"/>
              </w:rPr>
            </w:pPr>
            <w:r>
              <w:rPr>
                <w:rFonts w:hint="eastAsia"/>
                <w:b/>
                <w:bCs/>
              </w:rPr>
              <w:t>主要内容</w:t>
            </w:r>
          </w:p>
        </w:tc>
      </w:tr>
      <w:tr w:rsidR="0051032C">
        <w:trPr>
          <w:trHeight w:val="566"/>
        </w:trPr>
        <w:tc>
          <w:tcPr>
            <w:tcW w:w="2364" w:type="dxa"/>
            <w:tcBorders>
              <w:top w:val="single" w:sz="8" w:space="0" w:color="auto"/>
              <w:left w:val="single" w:sz="8" w:space="0" w:color="auto"/>
              <w:bottom w:val="single" w:sz="8" w:space="0" w:color="auto"/>
              <w:right w:val="single" w:sz="8" w:space="0" w:color="000000"/>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公共管理学</w:t>
            </w:r>
          </w:p>
        </w:tc>
        <w:tc>
          <w:tcPr>
            <w:tcW w:w="7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政府改革与治理、政府间关系、政府作用、政府工具、公共政策、人力资源管理、公共预算与财政、部门管理、战略管理、绩效管理、公共管理伦理</w:t>
            </w:r>
          </w:p>
        </w:tc>
      </w:tr>
      <w:tr w:rsidR="0051032C">
        <w:trPr>
          <w:trHeight w:val="566"/>
        </w:trPr>
        <w:tc>
          <w:tcPr>
            <w:tcW w:w="2364" w:type="dxa"/>
            <w:tcBorders>
              <w:top w:val="single" w:sz="8" w:space="0" w:color="auto"/>
              <w:left w:val="single" w:sz="8" w:space="0" w:color="auto"/>
              <w:bottom w:val="single" w:sz="8" w:space="0" w:color="auto"/>
              <w:right w:val="single" w:sz="8" w:space="0" w:color="000000"/>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社会保障学</w:t>
            </w:r>
          </w:p>
        </w:tc>
        <w:tc>
          <w:tcPr>
            <w:tcW w:w="7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社会保障的发展、社会保障理论基石、社会保障相关关系、社会保障体系与模式、社会保障基金、社会保障立法与管理、社会救助、社会保险、社会福利、军人保障、补充保障、</w:t>
            </w:r>
          </w:p>
        </w:tc>
      </w:tr>
      <w:tr w:rsidR="0051032C">
        <w:trPr>
          <w:trHeight w:val="566"/>
        </w:trPr>
        <w:tc>
          <w:tcPr>
            <w:tcW w:w="2364" w:type="dxa"/>
            <w:tcBorders>
              <w:top w:val="single" w:sz="8" w:space="0" w:color="auto"/>
              <w:left w:val="single" w:sz="8" w:space="0" w:color="auto"/>
              <w:bottom w:val="single" w:sz="8" w:space="0" w:color="auto"/>
              <w:right w:val="single" w:sz="8" w:space="0" w:color="000000"/>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人力资源管理与开发</w:t>
            </w:r>
          </w:p>
        </w:tc>
        <w:tc>
          <w:tcPr>
            <w:tcW w:w="7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培训需求评估、</w:t>
            </w:r>
            <w:r>
              <w:t>    </w:t>
            </w:r>
            <w:r>
              <w:t>培训规划制定、培训的实施、</w:t>
            </w:r>
            <w:r>
              <w:t>  </w:t>
            </w:r>
            <w:r>
              <w:t>培训效果评估。</w:t>
            </w:r>
          </w:p>
        </w:tc>
      </w:tr>
      <w:tr w:rsidR="0051032C">
        <w:trPr>
          <w:trHeight w:val="566"/>
        </w:trPr>
        <w:tc>
          <w:tcPr>
            <w:tcW w:w="2364" w:type="dxa"/>
            <w:tcBorders>
              <w:top w:val="single" w:sz="8" w:space="0" w:color="auto"/>
              <w:left w:val="single" w:sz="8" w:space="0" w:color="auto"/>
              <w:bottom w:val="single" w:sz="8" w:space="0" w:color="auto"/>
              <w:right w:val="single" w:sz="8" w:space="0" w:color="000000"/>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薪酬管理</w:t>
            </w:r>
          </w:p>
        </w:tc>
        <w:tc>
          <w:tcPr>
            <w:tcW w:w="7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职位薪酬体系、薪酬水平、绩效奖励</w:t>
            </w:r>
            <w:r>
              <w:t>   </w:t>
            </w:r>
            <w:r>
              <w:t>员工福利管理</w:t>
            </w:r>
            <w:r>
              <w:t>  </w:t>
            </w:r>
            <w:r>
              <w:t>特殊员工群体薪酬管理</w:t>
            </w:r>
            <w:r>
              <w:t>    </w:t>
            </w:r>
            <w:r>
              <w:t>薪酬预算、控制与沟通</w:t>
            </w:r>
            <w:r>
              <w:t>    </w:t>
            </w:r>
            <w:r>
              <w:t>技能及能力薪酬体系</w:t>
            </w:r>
          </w:p>
        </w:tc>
      </w:tr>
      <w:tr w:rsidR="0051032C">
        <w:trPr>
          <w:trHeight w:val="566"/>
        </w:trPr>
        <w:tc>
          <w:tcPr>
            <w:tcW w:w="2364" w:type="dxa"/>
            <w:tcBorders>
              <w:top w:val="single" w:sz="8" w:space="0" w:color="auto"/>
              <w:left w:val="single" w:sz="8" w:space="0" w:color="auto"/>
              <w:bottom w:val="single" w:sz="8" w:space="0" w:color="auto"/>
              <w:right w:val="single" w:sz="8" w:space="0" w:color="000000"/>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劳动关系学</w:t>
            </w:r>
          </w:p>
        </w:tc>
        <w:tc>
          <w:tcPr>
            <w:tcW w:w="7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032C" w:rsidRDefault="0030329B">
            <w:pPr>
              <w:spacing w:before="100" w:beforeAutospacing="1" w:after="100" w:afterAutospacing="1" w:line="306" w:lineRule="atLeast"/>
              <w:rPr>
                <w:rFonts w:ascii="宋体" w:eastAsia="宋体" w:hAnsi="宋体" w:cs="宋体"/>
                <w:sz w:val="24"/>
                <w:szCs w:val="24"/>
              </w:rPr>
            </w:pPr>
            <w:r>
              <w:rPr>
                <w:rFonts w:hint="eastAsia"/>
              </w:rPr>
              <w:t>劳动关系的当事人</w:t>
            </w:r>
            <w:r>
              <w:rPr>
                <w:rFonts w:hint="eastAsia"/>
              </w:rPr>
              <w:t>   </w:t>
            </w:r>
            <w:r>
              <w:rPr>
                <w:rFonts w:hint="eastAsia"/>
              </w:rPr>
              <w:t>劳动关系运行法律规范</w:t>
            </w:r>
            <w:r>
              <w:rPr>
                <w:rFonts w:hint="eastAsia"/>
              </w:rPr>
              <w:t>   </w:t>
            </w:r>
            <w:r>
              <w:rPr>
                <w:rFonts w:hint="eastAsia"/>
              </w:rPr>
              <w:t>集体谈判和集体合同</w:t>
            </w:r>
            <w:r>
              <w:rPr>
                <w:rFonts w:hint="eastAsia"/>
              </w:rPr>
              <w:t>  </w:t>
            </w:r>
            <w:r>
              <w:rPr>
                <w:rFonts w:hint="eastAsia"/>
              </w:rPr>
              <w:t>企业规章制度</w:t>
            </w:r>
            <w:r>
              <w:rPr>
                <w:rFonts w:hint="eastAsia"/>
              </w:rPr>
              <w:t>    </w:t>
            </w:r>
            <w:r>
              <w:rPr>
                <w:rFonts w:hint="eastAsia"/>
              </w:rPr>
              <w:t>劳动关系矛盾处理（劳动争议、冲突、社会安全）</w:t>
            </w:r>
          </w:p>
        </w:tc>
      </w:tr>
      <w:tr w:rsidR="0051032C">
        <w:trPr>
          <w:trHeight w:val="566"/>
        </w:trPr>
        <w:tc>
          <w:tcPr>
            <w:tcW w:w="2364" w:type="dxa"/>
            <w:tcBorders>
              <w:top w:val="single" w:sz="8" w:space="0" w:color="auto"/>
              <w:left w:val="single" w:sz="8" w:space="0" w:color="auto"/>
              <w:bottom w:val="single" w:sz="8" w:space="0" w:color="auto"/>
              <w:right w:val="single" w:sz="8" w:space="0" w:color="000000"/>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保险学研究专题</w:t>
            </w:r>
          </w:p>
        </w:tc>
        <w:tc>
          <w:tcPr>
            <w:tcW w:w="7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社会保险概述、社会保险制度的产生与发展、社会保险的制度效应</w:t>
            </w:r>
            <w:r>
              <w:t>   </w:t>
            </w:r>
            <w:r>
              <w:t>社会保险管理、社会保险基金、养老保险、医疗保险、失业保险、工伤保险、生育保险</w:t>
            </w:r>
          </w:p>
        </w:tc>
      </w:tr>
      <w:tr w:rsidR="0051032C">
        <w:trPr>
          <w:trHeight w:val="566"/>
        </w:trPr>
        <w:tc>
          <w:tcPr>
            <w:tcW w:w="2364" w:type="dxa"/>
            <w:tcBorders>
              <w:top w:val="single" w:sz="8" w:space="0" w:color="auto"/>
              <w:left w:val="single" w:sz="8" w:space="0" w:color="auto"/>
              <w:bottom w:val="single" w:sz="8" w:space="0" w:color="auto"/>
              <w:right w:val="single" w:sz="8" w:space="0" w:color="000000"/>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管理心理学</w:t>
            </w:r>
          </w:p>
        </w:tc>
        <w:tc>
          <w:tcPr>
            <w:tcW w:w="7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探讨个体、群体以及结构对组织内部行为的影响，以便应用这些知识来改善组织的有效性</w:t>
            </w:r>
          </w:p>
        </w:tc>
      </w:tr>
      <w:tr w:rsidR="0051032C">
        <w:trPr>
          <w:trHeight w:val="566"/>
        </w:trPr>
        <w:tc>
          <w:tcPr>
            <w:tcW w:w="2364" w:type="dxa"/>
            <w:tcBorders>
              <w:top w:val="single" w:sz="8" w:space="0" w:color="auto"/>
              <w:left w:val="single" w:sz="8" w:space="0" w:color="auto"/>
              <w:bottom w:val="single" w:sz="8" w:space="0" w:color="auto"/>
              <w:right w:val="single" w:sz="8" w:space="0" w:color="000000"/>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社会保障热点与前沿问题研究</w:t>
            </w:r>
          </w:p>
        </w:tc>
        <w:tc>
          <w:tcPr>
            <w:tcW w:w="7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农民工社会保障、最低生活保障、和谐社会医疗保障、社会保险关系接续、其他社会保障问题</w:t>
            </w:r>
          </w:p>
        </w:tc>
      </w:tr>
      <w:tr w:rsidR="0051032C">
        <w:trPr>
          <w:trHeight w:val="566"/>
        </w:trPr>
        <w:tc>
          <w:tcPr>
            <w:tcW w:w="2364" w:type="dxa"/>
            <w:tcBorders>
              <w:top w:val="single" w:sz="8" w:space="0" w:color="auto"/>
              <w:left w:val="single" w:sz="8" w:space="0" w:color="auto"/>
              <w:bottom w:val="single" w:sz="8" w:space="0" w:color="auto"/>
              <w:right w:val="single" w:sz="8" w:space="0" w:color="000000"/>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社会保障基金管理研究专题</w:t>
            </w:r>
          </w:p>
        </w:tc>
        <w:tc>
          <w:tcPr>
            <w:tcW w:w="7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032C" w:rsidRDefault="0030329B">
            <w:pPr>
              <w:spacing w:before="100" w:beforeAutospacing="1" w:after="100" w:afterAutospacing="1"/>
              <w:rPr>
                <w:rFonts w:ascii="宋体" w:eastAsia="宋体" w:hAnsi="宋体" w:cs="宋体"/>
                <w:sz w:val="24"/>
                <w:szCs w:val="24"/>
              </w:rPr>
            </w:pPr>
            <w:r>
              <w:rPr>
                <w:rFonts w:hint="eastAsia"/>
              </w:rPr>
              <w:t>社会保险基金管理、社会保险基金的筹集管理、社会保险基金的支付管理、社会保险基金监管、我国社会保险基金的投资运营、社会保险基金与资本市场、社会保险基金财务管理</w:t>
            </w:r>
          </w:p>
        </w:tc>
      </w:tr>
      <w:tr w:rsidR="0051032C">
        <w:trPr>
          <w:trHeight w:val="566"/>
        </w:trPr>
        <w:tc>
          <w:tcPr>
            <w:tcW w:w="2364" w:type="dxa"/>
            <w:tcBorders>
              <w:top w:val="single" w:sz="8" w:space="0" w:color="auto"/>
              <w:left w:val="single" w:sz="8" w:space="0" w:color="auto"/>
              <w:bottom w:val="single" w:sz="8" w:space="0" w:color="auto"/>
              <w:right w:val="single" w:sz="8" w:space="0" w:color="000000"/>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员工职业生涯规划</w:t>
            </w:r>
          </w:p>
        </w:tc>
        <w:tc>
          <w:tcPr>
            <w:tcW w:w="70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1032C" w:rsidRDefault="0030329B">
            <w:pPr>
              <w:spacing w:before="100" w:beforeAutospacing="1" w:after="100" w:afterAutospacing="1" w:line="240" w:lineRule="atLeast"/>
              <w:rPr>
                <w:rFonts w:ascii="宋体" w:eastAsia="宋体" w:hAnsi="宋体" w:cs="宋体"/>
                <w:sz w:val="24"/>
                <w:szCs w:val="24"/>
              </w:rPr>
            </w:pPr>
            <w:r>
              <w:t>职业生涯规划是何方神圣、如何帮助员工规划未来、奠基</w:t>
            </w:r>
            <w:r>
              <w:t>——</w:t>
            </w:r>
            <w:r>
              <w:t>企业人力资源发展计划、测评</w:t>
            </w:r>
            <w:r>
              <w:t>——</w:t>
            </w:r>
            <w:r>
              <w:t>了解你的员工、定位</w:t>
            </w:r>
            <w:r>
              <w:t>——</w:t>
            </w:r>
            <w:r>
              <w:t>寻找职业锚、导向</w:t>
            </w:r>
            <w:r>
              <w:t>——</w:t>
            </w:r>
            <w:r>
              <w:t>铺设职业发展通道、拓展</w:t>
            </w:r>
            <w:r>
              <w:t>——</w:t>
            </w:r>
            <w:r>
              <w:t>职业生涯开发和管理、反馈</w:t>
            </w:r>
            <w:r>
              <w:t>——</w:t>
            </w:r>
            <w:r>
              <w:t>实施效果评估、不同类型企业的职业生涯规划</w:t>
            </w:r>
          </w:p>
        </w:tc>
      </w:tr>
      <w:tr w:rsidR="0051032C">
        <w:trPr>
          <w:trHeight w:val="566"/>
        </w:trPr>
        <w:tc>
          <w:tcPr>
            <w:tcW w:w="2364" w:type="dxa"/>
            <w:tcBorders>
              <w:top w:val="single" w:sz="8" w:space="0" w:color="auto"/>
              <w:left w:val="single" w:sz="8" w:space="0" w:color="auto"/>
              <w:bottom w:val="single" w:sz="8" w:space="0" w:color="auto"/>
              <w:right w:val="single" w:sz="8" w:space="0" w:color="auto"/>
            </w:tcBorders>
            <w:shd w:val="clear" w:color="000000" w:fill="auto"/>
            <w:vAlign w:val="center"/>
          </w:tcPr>
          <w:p w:rsidR="0051032C" w:rsidRDefault="0030329B">
            <w:pPr>
              <w:spacing w:before="100" w:beforeAutospacing="1" w:after="100" w:afterAutospacing="1" w:line="240" w:lineRule="atLeast"/>
              <w:rPr>
                <w:rFonts w:ascii="宋体" w:eastAsia="宋体" w:hAnsi="宋体" w:cs="宋体"/>
                <w:sz w:val="24"/>
                <w:szCs w:val="24"/>
              </w:rPr>
            </w:pPr>
            <w:r>
              <w:t>劳动法与劳动争议处理</w:t>
            </w:r>
          </w:p>
        </w:tc>
        <w:tc>
          <w:tcPr>
            <w:tcW w:w="7050" w:type="dxa"/>
            <w:tcBorders>
              <w:top w:val="single" w:sz="8" w:space="0" w:color="000000"/>
              <w:left w:val="nil"/>
              <w:bottom w:val="single" w:sz="8" w:space="0" w:color="000000"/>
              <w:right w:val="single" w:sz="8" w:space="0" w:color="auto"/>
            </w:tcBorders>
            <w:shd w:val="clear" w:color="000000" w:fill="FFFFFF"/>
            <w:vAlign w:val="center"/>
          </w:tcPr>
          <w:p w:rsidR="0051032C" w:rsidRDefault="0030329B">
            <w:pPr>
              <w:spacing w:before="100" w:beforeAutospacing="1" w:after="100" w:afterAutospacing="1" w:line="240" w:lineRule="atLeast"/>
              <w:rPr>
                <w:rFonts w:ascii="宋体" w:eastAsia="宋体" w:hAnsi="宋体" w:cs="宋体"/>
                <w:sz w:val="24"/>
                <w:szCs w:val="24"/>
              </w:rPr>
            </w:pPr>
            <w:r>
              <w:t>劳动合同的订立、劳动合同的履行和变更、劳动合同解除和终止、</w:t>
            </w:r>
            <w:r>
              <w:t> </w:t>
            </w:r>
            <w:r>
              <w:t>劳务派遣和非全日制用工、</w:t>
            </w:r>
            <w:r>
              <w:t> </w:t>
            </w:r>
            <w:r>
              <w:t>集体合同、劳动争议的预防和处理、</w:t>
            </w:r>
            <w:r>
              <w:t> </w:t>
            </w:r>
            <w:r>
              <w:t>劳动保障监察、违反《劳动合同法》的法律责任</w:t>
            </w:r>
          </w:p>
        </w:tc>
      </w:tr>
    </w:tbl>
    <w:p w:rsidR="0051032C" w:rsidRDefault="0030329B">
      <w:pPr>
        <w:widowControl/>
        <w:spacing w:line="360" w:lineRule="auto"/>
        <w:jc w:val="left"/>
        <w:rPr>
          <w:rFonts w:ascii="Tahoma" w:hAnsi="Tahoma" w:cs="Tahoma"/>
          <w:b/>
          <w:color w:val="C00000"/>
          <w:szCs w:val="21"/>
          <w:shd w:val="clear" w:color="auto" w:fill="FFFFFF"/>
        </w:rPr>
      </w:pPr>
      <w:r>
        <w:rPr>
          <w:rFonts w:ascii="Tahoma" w:hAnsi="Tahoma" w:cs="Tahoma"/>
          <w:b/>
          <w:color w:val="C00000"/>
          <w:szCs w:val="21"/>
          <w:shd w:val="clear" w:color="auto" w:fill="FFFFFF"/>
        </w:rPr>
        <w:t>【申请</w:t>
      </w:r>
      <w:r>
        <w:rPr>
          <w:rFonts w:ascii="Tahoma" w:hAnsi="Tahoma" w:cs="Tahoma" w:hint="eastAsia"/>
          <w:b/>
          <w:color w:val="C00000"/>
          <w:szCs w:val="21"/>
          <w:shd w:val="clear" w:color="auto" w:fill="FFFFFF"/>
        </w:rPr>
        <w:t>入学】</w:t>
      </w:r>
    </w:p>
    <w:p w:rsidR="0051032C" w:rsidRDefault="0030329B">
      <w:pPr>
        <w:pStyle w:val="aa"/>
        <w:widowControl/>
        <w:numPr>
          <w:ilvl w:val="0"/>
          <w:numId w:val="1"/>
        </w:numPr>
        <w:spacing w:line="360" w:lineRule="auto"/>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大专及以上学历在职人员</w:t>
      </w:r>
    </w:p>
    <w:p w:rsidR="0051032C" w:rsidRDefault="0030329B">
      <w:pPr>
        <w:pStyle w:val="aa"/>
        <w:widowControl/>
        <w:numPr>
          <w:ilvl w:val="0"/>
          <w:numId w:val="1"/>
        </w:numPr>
        <w:spacing w:line="360" w:lineRule="auto"/>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填写入学就读申请表</w:t>
      </w:r>
    </w:p>
    <w:p w:rsidR="0051032C" w:rsidRDefault="0030329B">
      <w:pPr>
        <w:pStyle w:val="aa"/>
        <w:widowControl/>
        <w:numPr>
          <w:ilvl w:val="0"/>
          <w:numId w:val="1"/>
        </w:numPr>
        <w:spacing w:line="360" w:lineRule="auto"/>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lastRenderedPageBreak/>
        <w:t>最高学历学位证书复印件</w:t>
      </w:r>
      <w:r>
        <w:rPr>
          <w:rFonts w:ascii="Tahoma" w:hAnsi="Tahoma" w:cs="Tahoma"/>
          <w:color w:val="000000"/>
          <w:szCs w:val="21"/>
          <w:shd w:val="clear" w:color="auto" w:fill="FFFFFF"/>
        </w:rPr>
        <w:t>各</w:t>
      </w:r>
      <w:r>
        <w:rPr>
          <w:rFonts w:ascii="Tahoma" w:hAnsi="Tahoma" w:cs="Tahoma" w:hint="eastAsia"/>
          <w:color w:val="000000"/>
          <w:szCs w:val="21"/>
          <w:shd w:val="clear" w:color="auto" w:fill="FFFFFF"/>
        </w:rPr>
        <w:t>2</w:t>
      </w:r>
      <w:r>
        <w:rPr>
          <w:rFonts w:ascii="Tahoma" w:hAnsi="Tahoma" w:cs="Tahoma"/>
          <w:color w:val="000000"/>
          <w:szCs w:val="21"/>
          <w:shd w:val="clear" w:color="auto" w:fill="FFFFFF"/>
        </w:rPr>
        <w:t>份</w:t>
      </w:r>
    </w:p>
    <w:p w:rsidR="0051032C" w:rsidRDefault="0030329B">
      <w:pPr>
        <w:pStyle w:val="aa"/>
        <w:widowControl/>
        <w:numPr>
          <w:ilvl w:val="0"/>
          <w:numId w:val="1"/>
        </w:numPr>
        <w:spacing w:line="360" w:lineRule="auto"/>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身份证复印件</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份（中国学生）</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护照复印件</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份（国际学生）</w:t>
      </w:r>
      <w:r>
        <w:rPr>
          <w:rFonts w:ascii="Tahoma" w:hAnsi="Tahoma" w:cs="Tahoma" w:hint="eastAsia"/>
          <w:color w:val="000000"/>
          <w:szCs w:val="21"/>
          <w:shd w:val="clear" w:color="auto" w:fill="FFFFFF"/>
        </w:rPr>
        <w:t xml:space="preserve">   </w:t>
      </w:r>
    </w:p>
    <w:p w:rsidR="0051032C" w:rsidRDefault="0030329B">
      <w:pPr>
        <w:pStyle w:val="aa"/>
        <w:widowControl/>
        <w:numPr>
          <w:ilvl w:val="0"/>
          <w:numId w:val="1"/>
        </w:numPr>
        <w:spacing w:line="360" w:lineRule="auto"/>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1</w:t>
      </w:r>
      <w:r>
        <w:rPr>
          <w:rFonts w:ascii="Tahoma" w:hAnsi="Tahoma" w:cs="Tahoma" w:hint="eastAsia"/>
          <w:color w:val="000000"/>
          <w:szCs w:val="21"/>
          <w:shd w:val="clear" w:color="auto" w:fill="FFFFFF"/>
        </w:rPr>
        <w:t>寸免冠彩照</w:t>
      </w:r>
      <w:r>
        <w:rPr>
          <w:rFonts w:ascii="Tahoma" w:hAnsi="Tahoma" w:cs="Tahoma" w:hint="eastAsia"/>
          <w:color w:val="000000"/>
          <w:szCs w:val="21"/>
          <w:shd w:val="clear" w:color="auto" w:fill="FFFFFF"/>
        </w:rPr>
        <w:t>5</w:t>
      </w:r>
      <w:r>
        <w:rPr>
          <w:rFonts w:ascii="Tahoma" w:hAnsi="Tahoma" w:cs="Tahoma" w:hint="eastAsia"/>
          <w:color w:val="000000"/>
          <w:szCs w:val="21"/>
          <w:shd w:val="clear" w:color="auto" w:fill="FFFFFF"/>
        </w:rPr>
        <w:t>张，</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寸免冠彩照</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张（蓝白底均可）</w:t>
      </w:r>
    </w:p>
    <w:p w:rsidR="0051032C" w:rsidRDefault="0030329B">
      <w:pPr>
        <w:pStyle w:val="aa"/>
        <w:widowControl/>
        <w:numPr>
          <w:ilvl w:val="0"/>
          <w:numId w:val="1"/>
        </w:numPr>
        <w:spacing w:line="360" w:lineRule="auto"/>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学费</w:t>
      </w:r>
      <w:r>
        <w:rPr>
          <w:rFonts w:ascii="Tahoma" w:hAnsi="Tahoma" w:cs="Tahoma" w:hint="eastAsia"/>
          <w:color w:val="000000"/>
          <w:szCs w:val="21"/>
          <w:shd w:val="clear" w:color="auto" w:fill="FFFFFF"/>
        </w:rPr>
        <w:t>20000</w:t>
      </w:r>
      <w:r>
        <w:rPr>
          <w:rFonts w:ascii="Tahoma" w:hAnsi="Tahoma" w:cs="Tahoma" w:hint="eastAsia"/>
          <w:color w:val="000000"/>
          <w:szCs w:val="21"/>
          <w:shd w:val="clear" w:color="auto" w:fill="FFFFFF"/>
        </w:rPr>
        <w:t>元</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年，报名费</w:t>
      </w:r>
      <w:r>
        <w:rPr>
          <w:rFonts w:ascii="Tahoma" w:hAnsi="Tahoma" w:cs="Tahoma" w:hint="eastAsia"/>
          <w:color w:val="000000"/>
          <w:szCs w:val="21"/>
          <w:shd w:val="clear" w:color="auto" w:fill="FFFFFF"/>
        </w:rPr>
        <w:t>200</w:t>
      </w:r>
      <w:r>
        <w:rPr>
          <w:rFonts w:ascii="Tahoma" w:hAnsi="Tahoma" w:cs="Tahoma" w:hint="eastAsia"/>
          <w:color w:val="000000"/>
          <w:szCs w:val="21"/>
          <w:shd w:val="clear" w:color="auto" w:fill="FFFFFF"/>
        </w:rPr>
        <w:t>元。</w:t>
      </w:r>
    </w:p>
    <w:p w:rsidR="0051032C" w:rsidRDefault="0030329B">
      <w:pPr>
        <w:widowControl/>
        <w:spacing w:line="360" w:lineRule="auto"/>
        <w:jc w:val="left"/>
        <w:rPr>
          <w:rFonts w:ascii="Tahoma" w:hAnsi="Tahoma" w:cs="Tahoma"/>
          <w:b/>
          <w:color w:val="C00000"/>
          <w:szCs w:val="21"/>
          <w:shd w:val="clear" w:color="auto" w:fill="FFFFFF"/>
        </w:rPr>
      </w:pPr>
      <w:r>
        <w:rPr>
          <w:rFonts w:ascii="Tahoma" w:hAnsi="Tahoma" w:cs="Tahoma"/>
          <w:b/>
          <w:color w:val="C00000"/>
          <w:szCs w:val="21"/>
          <w:shd w:val="clear" w:color="auto" w:fill="FFFFFF"/>
        </w:rPr>
        <w:t>【证书授予</w:t>
      </w:r>
      <w:r>
        <w:rPr>
          <w:rFonts w:ascii="Tahoma" w:hAnsi="Tahoma" w:cs="Tahoma" w:hint="eastAsia"/>
          <w:b/>
          <w:color w:val="C00000"/>
          <w:szCs w:val="21"/>
          <w:shd w:val="clear" w:color="auto" w:fill="FFFFFF"/>
        </w:rPr>
        <w:t>】</w:t>
      </w:r>
    </w:p>
    <w:p w:rsidR="0051032C" w:rsidRDefault="0030329B">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按照国务院学位委员会（</w:t>
      </w:r>
      <w:r>
        <w:rPr>
          <w:rFonts w:ascii="Tahoma" w:hAnsi="Tahoma" w:cs="Tahoma" w:hint="eastAsia"/>
          <w:color w:val="000000"/>
          <w:szCs w:val="21"/>
          <w:shd w:val="clear" w:color="auto" w:fill="FFFFFF"/>
        </w:rPr>
        <w:t>1998</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54</w:t>
      </w:r>
      <w:r>
        <w:rPr>
          <w:rFonts w:ascii="Tahoma" w:hAnsi="Tahoma" w:cs="Tahoma" w:hint="eastAsia"/>
          <w:color w:val="000000"/>
          <w:szCs w:val="21"/>
          <w:shd w:val="clear" w:color="auto" w:fill="FFFFFF"/>
        </w:rPr>
        <w:t>号文件及首都经济贸易大学《关于在职人员以研究生同等学力申请硕士学位工作实施细则》有关规定：</w:t>
      </w:r>
    </w:p>
    <w:p w:rsidR="0051032C" w:rsidRDefault="0030329B">
      <w:pPr>
        <w:spacing w:line="440" w:lineRule="exact"/>
        <w:rPr>
          <w:b/>
          <w:szCs w:val="21"/>
        </w:rPr>
      </w:pPr>
      <w:r>
        <w:rPr>
          <w:rFonts w:ascii="Tahoma" w:hAnsi="Tahoma" w:cs="Tahoma" w:hint="eastAsia"/>
          <w:color w:val="000000"/>
          <w:szCs w:val="21"/>
          <w:shd w:val="clear" w:color="auto" w:fill="FFFFFF"/>
        </w:rPr>
        <w:t>1</w:t>
      </w:r>
      <w:r>
        <w:rPr>
          <w:rFonts w:ascii="Tahoma" w:hAnsi="Tahoma" w:cs="Tahoma" w:hint="eastAsia"/>
          <w:color w:val="000000"/>
          <w:szCs w:val="21"/>
          <w:shd w:val="clear" w:color="auto" w:fill="FFFFFF"/>
        </w:rPr>
        <w:t>、学完规定课程并考试合格，由</w:t>
      </w:r>
      <w:bookmarkStart w:id="0" w:name="_GoBack"/>
      <w:bookmarkEnd w:id="0"/>
      <w:r>
        <w:rPr>
          <w:rFonts w:ascii="Tahoma" w:hAnsi="Tahoma" w:cs="Tahoma" w:hint="eastAsia"/>
          <w:color w:val="000000"/>
          <w:szCs w:val="21"/>
          <w:shd w:val="clear" w:color="auto" w:fill="FFFFFF"/>
        </w:rPr>
        <w:t>首都经济贸易大学研究生院颁发</w:t>
      </w:r>
      <w:r>
        <w:rPr>
          <w:rFonts w:ascii="Tahoma" w:hAnsi="Tahoma" w:cs="Tahoma" w:hint="eastAsia"/>
          <w:b/>
          <w:bCs/>
          <w:color w:val="000000"/>
          <w:szCs w:val="21"/>
          <w:shd w:val="clear" w:color="auto" w:fill="FFFFFF"/>
        </w:rPr>
        <w:t>《高级课程研修班》结业证书</w:t>
      </w:r>
      <w:r>
        <w:rPr>
          <w:rFonts w:ascii="Tahoma" w:hAnsi="Tahoma" w:cs="Tahoma" w:hint="eastAsia"/>
          <w:color w:val="000000"/>
          <w:szCs w:val="21"/>
          <w:shd w:val="clear" w:color="auto" w:fill="FFFFFF"/>
        </w:rPr>
        <w:t>；</w:t>
      </w:r>
    </w:p>
    <w:p w:rsidR="0051032C" w:rsidRDefault="0030329B">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、同等学力硕士申请有关规定：符合申请同等学力硕士学位资格的学员，可获得</w:t>
      </w:r>
      <w:r>
        <w:rPr>
          <w:rFonts w:ascii="Tahoma" w:hAnsi="Tahoma" w:cs="Tahoma" w:hint="eastAsia"/>
          <w:b/>
          <w:bCs/>
          <w:color w:val="000000"/>
          <w:szCs w:val="21"/>
          <w:shd w:val="clear" w:color="auto" w:fill="FFFFFF"/>
        </w:rPr>
        <w:t>首都经济贸易大学社会保障专业公共管理学硕士学位</w:t>
      </w:r>
      <w:r>
        <w:rPr>
          <w:rFonts w:ascii="Tahoma" w:hAnsi="Tahoma" w:cs="Tahoma" w:hint="eastAsia"/>
          <w:color w:val="000000"/>
          <w:szCs w:val="21"/>
          <w:shd w:val="clear" w:color="auto" w:fill="FFFFFF"/>
        </w:rPr>
        <w:t>。</w:t>
      </w:r>
    </w:p>
    <w:p w:rsidR="0051032C" w:rsidRDefault="0030329B">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（①通过研究生院五门校考；②通过国家</w:t>
      </w:r>
      <w:r>
        <w:rPr>
          <w:rFonts w:ascii="Tahoma" w:hAnsi="Tahoma" w:cs="Tahoma" w:hint="eastAsia"/>
          <w:color w:val="000000"/>
          <w:szCs w:val="21"/>
          <w:shd w:val="clear" w:color="auto" w:fill="FFFFFF"/>
        </w:rPr>
        <w:t>5</w:t>
      </w:r>
      <w:r>
        <w:rPr>
          <w:rFonts w:ascii="Tahoma" w:hAnsi="Tahoma" w:cs="Tahoma" w:hint="eastAsia"/>
          <w:color w:val="000000"/>
          <w:szCs w:val="21"/>
          <w:shd w:val="clear" w:color="auto" w:fill="FFFFFF"/>
        </w:rPr>
        <w:t>月同等学力两科（外语、专业综合）统一联考；</w:t>
      </w:r>
      <w:r>
        <w:rPr>
          <w:rFonts w:ascii="宋体" w:eastAsia="宋体" w:hAnsi="宋体" w:cs="宋体" w:hint="eastAsia"/>
          <w:color w:val="000000"/>
          <w:szCs w:val="21"/>
          <w:shd w:val="clear" w:color="auto" w:fill="FFFFFF"/>
        </w:rPr>
        <w:t>③</w:t>
      </w:r>
      <w:r>
        <w:rPr>
          <w:rFonts w:ascii="Tahoma" w:hAnsi="Tahoma" w:cs="Tahoma" w:hint="eastAsia"/>
          <w:color w:val="000000"/>
          <w:szCs w:val="21"/>
          <w:shd w:val="clear" w:color="auto" w:fill="FFFFFF"/>
        </w:rPr>
        <w:t>通过论文答辩。）</w:t>
      </w:r>
    </w:p>
    <w:p w:rsidR="0051032C" w:rsidRDefault="0030329B">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（国家教育部学位网网址</w:t>
      </w:r>
      <w:hyperlink r:id="rId8" w:history="1">
        <w:r>
          <w:rPr>
            <w:rStyle w:val="a9"/>
            <w:rFonts w:hAnsi="Tahoma" w:cs="Tahoma" w:hint="eastAsia"/>
            <w:szCs w:val="21"/>
            <w:shd w:val="clear" w:color="auto" w:fill="FFFFFF"/>
          </w:rPr>
          <w:t>http://www.cdgdc.edu.cn</w:t>
        </w:r>
      </w:hyperlink>
      <w:r>
        <w:rPr>
          <w:rFonts w:ascii="Tahoma" w:hAnsi="Tahoma" w:cs="Tahoma" w:hint="eastAsia"/>
          <w:color w:val="000000"/>
          <w:szCs w:val="21"/>
          <w:shd w:val="clear" w:color="auto" w:fill="FFFFFF"/>
        </w:rPr>
        <w:t>统一可查询</w:t>
      </w:r>
      <w:r>
        <w:rPr>
          <w:rFonts w:hAnsi="Tahoma" w:cs="Tahoma" w:hint="eastAsia"/>
          <w:color w:val="000000"/>
          <w:szCs w:val="21"/>
          <w:shd w:val="clear" w:color="auto" w:fill="FFFFFF"/>
        </w:rPr>
        <w:t>）</w:t>
      </w:r>
    </w:p>
    <w:p w:rsidR="0051032C" w:rsidRDefault="0030329B">
      <w:pPr>
        <w:widowControl/>
        <w:spacing w:line="360" w:lineRule="auto"/>
        <w:jc w:val="left"/>
        <w:rPr>
          <w:rFonts w:ascii="Tahoma" w:hAnsi="Tahoma" w:cs="Tahoma"/>
          <w:b/>
          <w:color w:val="C00000"/>
          <w:szCs w:val="21"/>
          <w:shd w:val="clear" w:color="auto" w:fill="FFFFFF"/>
        </w:rPr>
      </w:pPr>
      <w:r>
        <w:rPr>
          <w:rFonts w:ascii="Tahoma" w:hAnsi="Tahoma" w:cs="Tahoma" w:hint="eastAsia"/>
          <w:b/>
          <w:color w:val="C00000"/>
          <w:szCs w:val="21"/>
          <w:shd w:val="clear" w:color="auto" w:fill="FFFFFF"/>
        </w:rPr>
        <w:t>【汇款学校对公账号信息】</w:t>
      </w:r>
    </w:p>
    <w:p w:rsidR="0051032C" w:rsidRPr="00C534DF" w:rsidRDefault="0030329B">
      <w:pPr>
        <w:widowControl/>
        <w:spacing w:line="440" w:lineRule="atLeast"/>
        <w:jc w:val="left"/>
        <w:rPr>
          <w:rFonts w:ascii="Tahoma" w:hAnsi="Tahoma" w:cs="Tahoma"/>
          <w:color w:val="000000"/>
          <w:szCs w:val="21"/>
          <w:shd w:val="clear" w:color="auto" w:fill="FFFFFF"/>
        </w:rPr>
      </w:pPr>
      <w:r w:rsidRPr="00C534DF">
        <w:rPr>
          <w:rFonts w:ascii="Tahoma" w:hAnsi="Tahoma" w:cs="Tahoma" w:hint="eastAsia"/>
          <w:bCs/>
          <w:color w:val="000000"/>
          <w:szCs w:val="21"/>
          <w:shd w:val="clear" w:color="auto" w:fill="FFFFFF"/>
        </w:rPr>
        <w:t>户</w:t>
      </w:r>
      <w:r w:rsidRPr="00C534DF">
        <w:rPr>
          <w:rFonts w:ascii="Tahoma" w:hAnsi="Tahoma" w:cs="Tahoma"/>
          <w:bCs/>
          <w:color w:val="000000"/>
          <w:szCs w:val="21"/>
          <w:shd w:val="clear" w:color="auto" w:fill="FFFFFF"/>
        </w:rPr>
        <w:t>    </w:t>
      </w:r>
      <w:r w:rsidRPr="00C534DF">
        <w:rPr>
          <w:rFonts w:ascii="Tahoma" w:hAnsi="Tahoma" w:cs="Tahoma" w:hint="eastAsia"/>
          <w:bCs/>
          <w:color w:val="000000"/>
          <w:szCs w:val="21"/>
          <w:shd w:val="clear" w:color="auto" w:fill="FFFFFF"/>
        </w:rPr>
        <w:t>名：</w:t>
      </w:r>
      <w:r w:rsidRPr="00C534DF">
        <w:rPr>
          <w:rFonts w:ascii="Tahoma" w:hAnsi="Tahoma" w:cs="Tahoma" w:hint="eastAsia"/>
          <w:color w:val="000000"/>
          <w:szCs w:val="21"/>
          <w:shd w:val="clear" w:color="auto" w:fill="FFFFFF"/>
        </w:rPr>
        <w:t>首都经济贸易大学培训中心</w:t>
      </w:r>
    </w:p>
    <w:p w:rsidR="0051032C" w:rsidRPr="00C534DF" w:rsidRDefault="0030329B">
      <w:pPr>
        <w:widowControl/>
        <w:spacing w:line="440" w:lineRule="atLeast"/>
        <w:jc w:val="left"/>
        <w:rPr>
          <w:rFonts w:ascii="Tahoma" w:hAnsi="Tahoma" w:cs="Tahoma"/>
          <w:color w:val="000000"/>
          <w:szCs w:val="21"/>
          <w:shd w:val="clear" w:color="auto" w:fill="FFFFFF"/>
        </w:rPr>
      </w:pPr>
      <w:r w:rsidRPr="00C534DF">
        <w:rPr>
          <w:rFonts w:ascii="Tahoma" w:hAnsi="Tahoma" w:cs="Tahoma" w:hint="eastAsia"/>
          <w:bCs/>
          <w:color w:val="000000"/>
          <w:szCs w:val="21"/>
          <w:shd w:val="clear" w:color="auto" w:fill="FFFFFF"/>
        </w:rPr>
        <w:t>账</w:t>
      </w:r>
      <w:r w:rsidRPr="00C534DF">
        <w:rPr>
          <w:rFonts w:ascii="Tahoma" w:hAnsi="Tahoma" w:cs="Tahoma"/>
          <w:bCs/>
          <w:color w:val="000000"/>
          <w:szCs w:val="21"/>
          <w:shd w:val="clear" w:color="auto" w:fill="FFFFFF"/>
        </w:rPr>
        <w:t>    </w:t>
      </w:r>
      <w:r w:rsidRPr="00C534DF">
        <w:rPr>
          <w:rFonts w:ascii="Tahoma" w:hAnsi="Tahoma" w:cs="Tahoma" w:hint="eastAsia"/>
          <w:bCs/>
          <w:color w:val="000000"/>
          <w:szCs w:val="21"/>
          <w:shd w:val="clear" w:color="auto" w:fill="FFFFFF"/>
        </w:rPr>
        <w:t>号：</w:t>
      </w:r>
      <w:r w:rsidRPr="00C534DF">
        <w:rPr>
          <w:rFonts w:ascii="Tahoma" w:hAnsi="Tahoma" w:cs="Tahoma" w:hint="eastAsia"/>
          <w:color w:val="000000"/>
          <w:szCs w:val="21"/>
          <w:shd w:val="clear" w:color="auto" w:fill="FFFFFF"/>
        </w:rPr>
        <w:t>0200  0202  0901  4433  184</w:t>
      </w:r>
    </w:p>
    <w:p w:rsidR="0051032C" w:rsidRPr="00C534DF" w:rsidRDefault="0030329B">
      <w:pPr>
        <w:widowControl/>
        <w:spacing w:line="440" w:lineRule="atLeast"/>
        <w:jc w:val="left"/>
        <w:rPr>
          <w:rFonts w:ascii="Tahoma" w:hAnsi="Tahoma" w:cs="Tahoma"/>
          <w:color w:val="000000"/>
          <w:szCs w:val="21"/>
          <w:shd w:val="clear" w:color="auto" w:fill="FFFFFF"/>
        </w:rPr>
      </w:pPr>
      <w:r w:rsidRPr="00C534DF">
        <w:rPr>
          <w:rFonts w:ascii="Tahoma" w:hAnsi="Tahoma" w:cs="Tahoma" w:hint="eastAsia"/>
          <w:bCs/>
          <w:color w:val="000000"/>
          <w:szCs w:val="21"/>
          <w:shd w:val="clear" w:color="auto" w:fill="FFFFFF"/>
        </w:rPr>
        <w:t>开</w:t>
      </w:r>
      <w:r w:rsidRPr="00C534DF">
        <w:rPr>
          <w:rFonts w:ascii="Tahoma" w:hAnsi="Tahoma" w:cs="Tahoma"/>
          <w:bCs/>
          <w:color w:val="000000"/>
          <w:szCs w:val="21"/>
          <w:shd w:val="clear" w:color="auto" w:fill="FFFFFF"/>
        </w:rPr>
        <w:t> </w:t>
      </w:r>
      <w:r w:rsidRPr="00C534DF">
        <w:rPr>
          <w:rFonts w:ascii="Tahoma" w:hAnsi="Tahoma" w:cs="Tahoma" w:hint="eastAsia"/>
          <w:bCs/>
          <w:color w:val="000000"/>
          <w:szCs w:val="21"/>
          <w:shd w:val="clear" w:color="auto" w:fill="FFFFFF"/>
        </w:rPr>
        <w:t>户</w:t>
      </w:r>
      <w:r w:rsidRPr="00C534DF">
        <w:rPr>
          <w:rFonts w:ascii="Tahoma" w:hAnsi="Tahoma" w:cs="Tahoma"/>
          <w:bCs/>
          <w:color w:val="000000"/>
          <w:szCs w:val="21"/>
          <w:shd w:val="clear" w:color="auto" w:fill="FFFFFF"/>
        </w:rPr>
        <w:t> </w:t>
      </w:r>
      <w:r w:rsidRPr="00C534DF">
        <w:rPr>
          <w:rFonts w:ascii="Tahoma" w:hAnsi="Tahoma" w:cs="Tahoma" w:hint="eastAsia"/>
          <w:bCs/>
          <w:color w:val="000000"/>
          <w:szCs w:val="21"/>
          <w:shd w:val="clear" w:color="auto" w:fill="FFFFFF"/>
        </w:rPr>
        <w:t>行：</w:t>
      </w:r>
      <w:r w:rsidRPr="00C534DF">
        <w:rPr>
          <w:rFonts w:ascii="Tahoma" w:hAnsi="Tahoma" w:cs="Tahoma" w:hint="eastAsia"/>
          <w:color w:val="000000"/>
          <w:szCs w:val="21"/>
          <w:shd w:val="clear" w:color="auto" w:fill="FFFFFF"/>
        </w:rPr>
        <w:t>工商银行金台路支行</w:t>
      </w:r>
    </w:p>
    <w:p w:rsidR="0051032C" w:rsidRPr="00C534DF" w:rsidRDefault="0030329B">
      <w:pPr>
        <w:widowControl/>
        <w:spacing w:line="440" w:lineRule="atLeast"/>
        <w:jc w:val="left"/>
        <w:rPr>
          <w:rFonts w:ascii="Tahoma" w:hAnsi="Tahoma" w:cs="Tahoma"/>
          <w:bCs/>
          <w:color w:val="000000"/>
          <w:szCs w:val="21"/>
          <w:shd w:val="clear" w:color="auto" w:fill="FFFFFF"/>
        </w:rPr>
      </w:pPr>
      <w:r w:rsidRPr="00C534DF">
        <w:rPr>
          <w:rFonts w:ascii="Tahoma" w:hAnsi="Tahoma" w:cs="Tahoma" w:hint="eastAsia"/>
          <w:bCs/>
          <w:color w:val="000000"/>
          <w:szCs w:val="21"/>
          <w:shd w:val="clear" w:color="auto" w:fill="FFFFFF"/>
        </w:rPr>
        <w:t>转账文字备注：</w:t>
      </w:r>
      <w:r w:rsidR="00C534DF" w:rsidRPr="00C534DF">
        <w:rPr>
          <w:rFonts w:ascii="Tahoma" w:hAnsi="Tahoma" w:cs="Tahoma" w:hint="eastAsia"/>
          <w:bCs/>
          <w:color w:val="000000"/>
          <w:szCs w:val="21"/>
          <w:shd w:val="clear" w:color="auto" w:fill="FFFFFF"/>
        </w:rPr>
        <w:t>社保研班学费一（姓名）</w:t>
      </w:r>
    </w:p>
    <w:p w:rsidR="0051032C" w:rsidRPr="00C534DF" w:rsidRDefault="0030329B">
      <w:pPr>
        <w:widowControl/>
        <w:spacing w:line="440" w:lineRule="atLeast"/>
        <w:jc w:val="left"/>
        <w:rPr>
          <w:rFonts w:ascii="Tahoma" w:hAnsi="Tahoma" w:cs="Tahoma"/>
          <w:color w:val="000000"/>
          <w:szCs w:val="21"/>
          <w:shd w:val="clear" w:color="auto" w:fill="FFFFFF"/>
        </w:rPr>
      </w:pPr>
      <w:r w:rsidRPr="00C534DF">
        <w:rPr>
          <w:rFonts w:ascii="Tahoma" w:hAnsi="Tahoma" w:cs="Tahoma" w:hint="eastAsia"/>
          <w:color w:val="000000"/>
          <w:szCs w:val="21"/>
          <w:shd w:val="clear" w:color="auto" w:fill="FFFFFF"/>
        </w:rPr>
        <w:t>备注：汇款转账页面截图，随申报材料上交</w:t>
      </w:r>
    </w:p>
    <w:p w:rsidR="00C534DF" w:rsidRDefault="00C534DF" w:rsidP="00C534DF">
      <w:pPr>
        <w:spacing w:line="480" w:lineRule="exact"/>
        <w:rPr>
          <w:b/>
          <w:color w:val="C00000"/>
          <w:szCs w:val="21"/>
        </w:rPr>
      </w:pPr>
      <w:r>
        <w:rPr>
          <w:rFonts w:hint="eastAsia"/>
          <w:b/>
          <w:color w:val="C00000"/>
          <w:szCs w:val="21"/>
        </w:rPr>
        <w:t>【上课地点】</w:t>
      </w:r>
      <w:r>
        <w:rPr>
          <w:rFonts w:hint="eastAsia"/>
          <w:b/>
          <w:color w:val="C00000"/>
          <w:szCs w:val="21"/>
        </w:rPr>
        <w:t xml:space="preserve"> </w:t>
      </w:r>
    </w:p>
    <w:p w:rsidR="00C534DF" w:rsidRDefault="00C534DF" w:rsidP="00C534DF">
      <w:pPr>
        <w:widowControl/>
        <w:spacing w:line="440" w:lineRule="atLeast"/>
        <w:jc w:val="left"/>
        <w:rPr>
          <w:rFonts w:ascii="Tahoma" w:hAnsi="Tahoma" w:cs="Tahoma"/>
          <w:b/>
          <w:color w:val="000000"/>
          <w:szCs w:val="21"/>
          <w:shd w:val="clear" w:color="auto" w:fill="FFFFFF"/>
        </w:rPr>
      </w:pPr>
      <w:r>
        <w:rPr>
          <w:rFonts w:ascii="Tahoma" w:hAnsi="Tahoma" w:cs="Tahoma"/>
          <w:color w:val="000000"/>
          <w:szCs w:val="21"/>
          <w:shd w:val="clear" w:color="auto" w:fill="FFFFFF"/>
        </w:rPr>
        <w:t>首都经济贸易大学</w:t>
      </w:r>
      <w:r>
        <w:rPr>
          <w:rFonts w:ascii="Tahoma" w:hAnsi="Tahoma" w:cs="Tahoma" w:hint="eastAsia"/>
          <w:color w:val="000000"/>
          <w:szCs w:val="21"/>
          <w:shd w:val="clear" w:color="auto" w:fill="FFFFFF"/>
        </w:rPr>
        <w:t>红庙研究生</w:t>
      </w:r>
      <w:r>
        <w:rPr>
          <w:rFonts w:ascii="Tahoma" w:hAnsi="Tahoma" w:cs="Tahoma" w:hint="eastAsia"/>
          <w:color w:val="000000"/>
          <w:szCs w:val="21"/>
          <w:shd w:val="clear" w:color="auto" w:fill="FFFFFF"/>
        </w:rPr>
        <w:t>CBD</w:t>
      </w:r>
      <w:r>
        <w:rPr>
          <w:rFonts w:ascii="Tahoma" w:hAnsi="Tahoma" w:cs="Tahoma" w:hint="eastAsia"/>
          <w:color w:val="000000"/>
          <w:szCs w:val="21"/>
          <w:shd w:val="clear" w:color="auto" w:fill="FFFFFF"/>
        </w:rPr>
        <w:t>校区</w:t>
      </w:r>
    </w:p>
    <w:p w:rsidR="00C534DF" w:rsidRDefault="00C534DF" w:rsidP="00C534DF">
      <w:pPr>
        <w:widowControl/>
        <w:spacing w:line="440" w:lineRule="atLeast"/>
        <w:jc w:val="left"/>
        <w:rPr>
          <w:rFonts w:ascii="Tahoma" w:hAnsi="Tahoma" w:cs="Tahoma"/>
          <w:b/>
          <w:color w:val="C00000"/>
          <w:szCs w:val="21"/>
          <w:shd w:val="clear" w:color="auto" w:fill="FFFFFF"/>
        </w:rPr>
      </w:pPr>
      <w:r>
        <w:rPr>
          <w:rFonts w:ascii="Tahoma" w:hAnsi="Tahoma" w:cs="Tahoma" w:hint="eastAsia"/>
          <w:b/>
          <w:color w:val="C00000"/>
          <w:szCs w:val="21"/>
          <w:shd w:val="clear" w:color="auto" w:fill="FFFFFF"/>
        </w:rPr>
        <w:t>【办理入学申请地址】</w:t>
      </w:r>
    </w:p>
    <w:p w:rsidR="004F10F5" w:rsidRPr="00C534DF" w:rsidRDefault="00C534DF" w:rsidP="004F10F5">
      <w:pPr>
        <w:widowControl/>
        <w:spacing w:line="440" w:lineRule="atLeast"/>
        <w:jc w:val="left"/>
        <w:rPr>
          <w:rFonts w:asciiTheme="minorEastAsia" w:hAnsiTheme="minorEastAsia" w:cstheme="minorEastAsia"/>
          <w:szCs w:val="21"/>
        </w:rPr>
      </w:pPr>
      <w:r>
        <w:rPr>
          <w:rFonts w:asciiTheme="minorEastAsia" w:hAnsiTheme="minorEastAsia" w:cstheme="minorEastAsia" w:hint="eastAsia"/>
          <w:szCs w:val="21"/>
        </w:rPr>
        <w:t>北京朝阳门外红庙金台里2号 首都经济贸易大学红庙校区</w:t>
      </w:r>
    </w:p>
    <w:p w:rsidR="0051032C" w:rsidRPr="00C534DF" w:rsidRDefault="0051032C" w:rsidP="00C534DF">
      <w:pPr>
        <w:widowControl/>
        <w:spacing w:line="440" w:lineRule="atLeast"/>
        <w:jc w:val="left"/>
        <w:rPr>
          <w:rFonts w:asciiTheme="minorEastAsia" w:hAnsiTheme="minorEastAsia" w:cstheme="minorEastAsia"/>
          <w:szCs w:val="21"/>
        </w:rPr>
      </w:pPr>
    </w:p>
    <w:sectPr w:rsidR="0051032C" w:rsidRPr="00C534DF" w:rsidSect="0051032C">
      <w:headerReference w:type="default" r:id="rId9"/>
      <w:pgSz w:w="11906" w:h="16838"/>
      <w:pgMar w:top="1135" w:right="991" w:bottom="127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67" w:rsidRDefault="009B5F67" w:rsidP="0051032C">
      <w:r>
        <w:separator/>
      </w:r>
    </w:p>
  </w:endnote>
  <w:endnote w:type="continuationSeparator" w:id="0">
    <w:p w:rsidR="009B5F67" w:rsidRDefault="009B5F67" w:rsidP="00510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67" w:rsidRDefault="009B5F67" w:rsidP="0051032C">
      <w:r>
        <w:separator/>
      </w:r>
    </w:p>
  </w:footnote>
  <w:footnote w:type="continuationSeparator" w:id="0">
    <w:p w:rsidR="009B5F67" w:rsidRDefault="009B5F67" w:rsidP="0051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2C" w:rsidRDefault="0030329B">
    <w:pPr>
      <w:pStyle w:val="a5"/>
      <w:jc w:val="left"/>
    </w:pPr>
    <w:r>
      <w:rPr>
        <w:noProof/>
      </w:rPr>
      <w:drawing>
        <wp:inline distT="0" distB="0" distL="0" distR="0">
          <wp:extent cx="1314450" cy="346075"/>
          <wp:effectExtent l="19050" t="0" r="0" b="0"/>
          <wp:docPr id="2" name="图片 1"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img.jpg"/>
                  <pic:cNvPicPr>
                    <a:picLocks noChangeAspect="1"/>
                  </pic:cNvPicPr>
                </pic:nvPicPr>
                <pic:blipFill>
                  <a:blip r:embed="rId1"/>
                  <a:stretch>
                    <a:fillRect/>
                  </a:stretch>
                </pic:blipFill>
                <pic:spPr>
                  <a:xfrm>
                    <a:off x="0" y="0"/>
                    <a:ext cx="1314450" cy="34670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DE8CD"/>
    <w:multiLevelType w:val="singleLevel"/>
    <w:tmpl w:val="2C5DE8CD"/>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C25"/>
    <w:rsid w:val="00003D38"/>
    <w:rsid w:val="000107F1"/>
    <w:rsid w:val="00014BD5"/>
    <w:rsid w:val="000212F9"/>
    <w:rsid w:val="00036D12"/>
    <w:rsid w:val="00040986"/>
    <w:rsid w:val="00057481"/>
    <w:rsid w:val="00096EEE"/>
    <w:rsid w:val="0009783D"/>
    <w:rsid w:val="000B0EC0"/>
    <w:rsid w:val="000B4468"/>
    <w:rsid w:val="000F56F1"/>
    <w:rsid w:val="001109AD"/>
    <w:rsid w:val="00122490"/>
    <w:rsid w:val="00131AFB"/>
    <w:rsid w:val="00154B41"/>
    <w:rsid w:val="00157EE8"/>
    <w:rsid w:val="001643B0"/>
    <w:rsid w:val="00165458"/>
    <w:rsid w:val="00172343"/>
    <w:rsid w:val="0019600A"/>
    <w:rsid w:val="00196264"/>
    <w:rsid w:val="001A1EAC"/>
    <w:rsid w:val="001A64B2"/>
    <w:rsid w:val="001B0602"/>
    <w:rsid w:val="001B4278"/>
    <w:rsid w:val="001C5F6F"/>
    <w:rsid w:val="001D129F"/>
    <w:rsid w:val="001D1DF0"/>
    <w:rsid w:val="001D4EAA"/>
    <w:rsid w:val="001E5A99"/>
    <w:rsid w:val="002013F4"/>
    <w:rsid w:val="00211A52"/>
    <w:rsid w:val="00216725"/>
    <w:rsid w:val="00242255"/>
    <w:rsid w:val="0024264D"/>
    <w:rsid w:val="00255964"/>
    <w:rsid w:val="00266D49"/>
    <w:rsid w:val="00283D29"/>
    <w:rsid w:val="0028530B"/>
    <w:rsid w:val="0029216F"/>
    <w:rsid w:val="00296333"/>
    <w:rsid w:val="002A4324"/>
    <w:rsid w:val="002C1556"/>
    <w:rsid w:val="002D1098"/>
    <w:rsid w:val="002D223C"/>
    <w:rsid w:val="002D2EFD"/>
    <w:rsid w:val="002E07B7"/>
    <w:rsid w:val="002F3CEE"/>
    <w:rsid w:val="002F6B1D"/>
    <w:rsid w:val="0030329B"/>
    <w:rsid w:val="00313E74"/>
    <w:rsid w:val="00322148"/>
    <w:rsid w:val="00323B8D"/>
    <w:rsid w:val="00327528"/>
    <w:rsid w:val="00333290"/>
    <w:rsid w:val="00333988"/>
    <w:rsid w:val="00341B1A"/>
    <w:rsid w:val="003550C0"/>
    <w:rsid w:val="00360CC4"/>
    <w:rsid w:val="00365008"/>
    <w:rsid w:val="00365E69"/>
    <w:rsid w:val="00397E82"/>
    <w:rsid w:val="003A774C"/>
    <w:rsid w:val="003C4F25"/>
    <w:rsid w:val="003C72CB"/>
    <w:rsid w:val="003D546B"/>
    <w:rsid w:val="003D5CE3"/>
    <w:rsid w:val="003D66E2"/>
    <w:rsid w:val="003F26E9"/>
    <w:rsid w:val="00410BFE"/>
    <w:rsid w:val="004143C7"/>
    <w:rsid w:val="00415011"/>
    <w:rsid w:val="00416F78"/>
    <w:rsid w:val="00433243"/>
    <w:rsid w:val="00436C68"/>
    <w:rsid w:val="00437F71"/>
    <w:rsid w:val="00440EF8"/>
    <w:rsid w:val="0046672B"/>
    <w:rsid w:val="00467C58"/>
    <w:rsid w:val="004755C9"/>
    <w:rsid w:val="00487509"/>
    <w:rsid w:val="004A75C2"/>
    <w:rsid w:val="004B6134"/>
    <w:rsid w:val="004F10F5"/>
    <w:rsid w:val="0051032C"/>
    <w:rsid w:val="005119F4"/>
    <w:rsid w:val="00517351"/>
    <w:rsid w:val="00520A00"/>
    <w:rsid w:val="00541A78"/>
    <w:rsid w:val="005450D9"/>
    <w:rsid w:val="005517FF"/>
    <w:rsid w:val="00553196"/>
    <w:rsid w:val="00570BFE"/>
    <w:rsid w:val="005716DE"/>
    <w:rsid w:val="00572198"/>
    <w:rsid w:val="00577665"/>
    <w:rsid w:val="00583FDE"/>
    <w:rsid w:val="005A0A56"/>
    <w:rsid w:val="005A3892"/>
    <w:rsid w:val="005E6941"/>
    <w:rsid w:val="005E7E97"/>
    <w:rsid w:val="00613C02"/>
    <w:rsid w:val="00627027"/>
    <w:rsid w:val="00634E3A"/>
    <w:rsid w:val="00641DA5"/>
    <w:rsid w:val="00643A6D"/>
    <w:rsid w:val="00666070"/>
    <w:rsid w:val="00671D24"/>
    <w:rsid w:val="0068100D"/>
    <w:rsid w:val="006A7118"/>
    <w:rsid w:val="006B74BE"/>
    <w:rsid w:val="006D0038"/>
    <w:rsid w:val="006D1DC3"/>
    <w:rsid w:val="006D74E0"/>
    <w:rsid w:val="006F3CC9"/>
    <w:rsid w:val="007045C7"/>
    <w:rsid w:val="007045EB"/>
    <w:rsid w:val="007121FF"/>
    <w:rsid w:val="007322C8"/>
    <w:rsid w:val="00733E8F"/>
    <w:rsid w:val="00751A45"/>
    <w:rsid w:val="007538F8"/>
    <w:rsid w:val="00767823"/>
    <w:rsid w:val="00771171"/>
    <w:rsid w:val="00772C0D"/>
    <w:rsid w:val="00776F4C"/>
    <w:rsid w:val="0078042E"/>
    <w:rsid w:val="007A4D3B"/>
    <w:rsid w:val="007B099F"/>
    <w:rsid w:val="007B7C6B"/>
    <w:rsid w:val="007C4D14"/>
    <w:rsid w:val="007F497C"/>
    <w:rsid w:val="007F71FC"/>
    <w:rsid w:val="00805BA0"/>
    <w:rsid w:val="008161A8"/>
    <w:rsid w:val="00821640"/>
    <w:rsid w:val="00830D4D"/>
    <w:rsid w:val="00831A16"/>
    <w:rsid w:val="00840FC3"/>
    <w:rsid w:val="00845A76"/>
    <w:rsid w:val="00851369"/>
    <w:rsid w:val="00861273"/>
    <w:rsid w:val="008641C8"/>
    <w:rsid w:val="008657BA"/>
    <w:rsid w:val="008867FB"/>
    <w:rsid w:val="00893F42"/>
    <w:rsid w:val="008A283B"/>
    <w:rsid w:val="008B430B"/>
    <w:rsid w:val="008B5E3F"/>
    <w:rsid w:val="008B7A30"/>
    <w:rsid w:val="008D4124"/>
    <w:rsid w:val="008E357D"/>
    <w:rsid w:val="008E5FE4"/>
    <w:rsid w:val="00910155"/>
    <w:rsid w:val="00912CC1"/>
    <w:rsid w:val="009163E6"/>
    <w:rsid w:val="009346EE"/>
    <w:rsid w:val="00934EC5"/>
    <w:rsid w:val="009453D6"/>
    <w:rsid w:val="00947570"/>
    <w:rsid w:val="00950768"/>
    <w:rsid w:val="00950F68"/>
    <w:rsid w:val="00961217"/>
    <w:rsid w:val="0098351C"/>
    <w:rsid w:val="009948D2"/>
    <w:rsid w:val="009B5F67"/>
    <w:rsid w:val="009B6563"/>
    <w:rsid w:val="009E091C"/>
    <w:rsid w:val="009E1E71"/>
    <w:rsid w:val="009E3B1C"/>
    <w:rsid w:val="009F03C5"/>
    <w:rsid w:val="00A04496"/>
    <w:rsid w:val="00A07FC9"/>
    <w:rsid w:val="00A24BB7"/>
    <w:rsid w:val="00A271FF"/>
    <w:rsid w:val="00A30AC1"/>
    <w:rsid w:val="00A420CC"/>
    <w:rsid w:val="00A47A40"/>
    <w:rsid w:val="00A632EB"/>
    <w:rsid w:val="00A63852"/>
    <w:rsid w:val="00A9453A"/>
    <w:rsid w:val="00AA3431"/>
    <w:rsid w:val="00AA5434"/>
    <w:rsid w:val="00AA78EA"/>
    <w:rsid w:val="00AB5DA5"/>
    <w:rsid w:val="00AB6E6B"/>
    <w:rsid w:val="00AC2580"/>
    <w:rsid w:val="00AC7700"/>
    <w:rsid w:val="00B11907"/>
    <w:rsid w:val="00B32638"/>
    <w:rsid w:val="00B4720D"/>
    <w:rsid w:val="00B50037"/>
    <w:rsid w:val="00B60046"/>
    <w:rsid w:val="00B62847"/>
    <w:rsid w:val="00B734E0"/>
    <w:rsid w:val="00B87C30"/>
    <w:rsid w:val="00BA2364"/>
    <w:rsid w:val="00BC5D4B"/>
    <w:rsid w:val="00BC72EB"/>
    <w:rsid w:val="00BC7E61"/>
    <w:rsid w:val="00BE243A"/>
    <w:rsid w:val="00C00A12"/>
    <w:rsid w:val="00C05A37"/>
    <w:rsid w:val="00C2175E"/>
    <w:rsid w:val="00C21B7C"/>
    <w:rsid w:val="00C236E0"/>
    <w:rsid w:val="00C379ED"/>
    <w:rsid w:val="00C50144"/>
    <w:rsid w:val="00C50E83"/>
    <w:rsid w:val="00C534DF"/>
    <w:rsid w:val="00C6486B"/>
    <w:rsid w:val="00C7089B"/>
    <w:rsid w:val="00C73DAE"/>
    <w:rsid w:val="00C764AE"/>
    <w:rsid w:val="00C92B7A"/>
    <w:rsid w:val="00CC6549"/>
    <w:rsid w:val="00CC6DCD"/>
    <w:rsid w:val="00CD2550"/>
    <w:rsid w:val="00CE3D9F"/>
    <w:rsid w:val="00CE3F93"/>
    <w:rsid w:val="00CF4DFF"/>
    <w:rsid w:val="00D04F8A"/>
    <w:rsid w:val="00D06FA5"/>
    <w:rsid w:val="00D174FC"/>
    <w:rsid w:val="00D17CE4"/>
    <w:rsid w:val="00D23033"/>
    <w:rsid w:val="00D25E36"/>
    <w:rsid w:val="00D402C6"/>
    <w:rsid w:val="00D44B9B"/>
    <w:rsid w:val="00D4613E"/>
    <w:rsid w:val="00D51BC1"/>
    <w:rsid w:val="00D530E1"/>
    <w:rsid w:val="00D531C5"/>
    <w:rsid w:val="00D574AA"/>
    <w:rsid w:val="00D621B7"/>
    <w:rsid w:val="00D83A54"/>
    <w:rsid w:val="00D86DA7"/>
    <w:rsid w:val="00D94D17"/>
    <w:rsid w:val="00DA7C25"/>
    <w:rsid w:val="00DB1B56"/>
    <w:rsid w:val="00DC6011"/>
    <w:rsid w:val="00DD4A8C"/>
    <w:rsid w:val="00DE380E"/>
    <w:rsid w:val="00DF34E2"/>
    <w:rsid w:val="00E1447C"/>
    <w:rsid w:val="00E24D2A"/>
    <w:rsid w:val="00E37323"/>
    <w:rsid w:val="00E5309C"/>
    <w:rsid w:val="00E572A8"/>
    <w:rsid w:val="00E733E1"/>
    <w:rsid w:val="00E75315"/>
    <w:rsid w:val="00E874F2"/>
    <w:rsid w:val="00EA59F5"/>
    <w:rsid w:val="00EB506F"/>
    <w:rsid w:val="00EB62A4"/>
    <w:rsid w:val="00EC5541"/>
    <w:rsid w:val="00EC6B5D"/>
    <w:rsid w:val="00EC7426"/>
    <w:rsid w:val="00ED0A1A"/>
    <w:rsid w:val="00ED5263"/>
    <w:rsid w:val="00ED7F9F"/>
    <w:rsid w:val="00EE05F3"/>
    <w:rsid w:val="00F72F43"/>
    <w:rsid w:val="00F801A9"/>
    <w:rsid w:val="00F84523"/>
    <w:rsid w:val="00F91ED8"/>
    <w:rsid w:val="00F95A8E"/>
    <w:rsid w:val="00FB13DC"/>
    <w:rsid w:val="00FD6BBA"/>
    <w:rsid w:val="00FF367E"/>
    <w:rsid w:val="00FF42E6"/>
    <w:rsid w:val="039E5232"/>
    <w:rsid w:val="047B1A63"/>
    <w:rsid w:val="05524337"/>
    <w:rsid w:val="06D210F7"/>
    <w:rsid w:val="070A7D2F"/>
    <w:rsid w:val="070D250C"/>
    <w:rsid w:val="078E4FC3"/>
    <w:rsid w:val="0D745DD2"/>
    <w:rsid w:val="0F306EA9"/>
    <w:rsid w:val="10466EDC"/>
    <w:rsid w:val="10842DA6"/>
    <w:rsid w:val="10DF0E15"/>
    <w:rsid w:val="10EA6880"/>
    <w:rsid w:val="11894263"/>
    <w:rsid w:val="14215840"/>
    <w:rsid w:val="143E6A1B"/>
    <w:rsid w:val="157000C7"/>
    <w:rsid w:val="172D52B3"/>
    <w:rsid w:val="18B34110"/>
    <w:rsid w:val="18BB5A58"/>
    <w:rsid w:val="19BE6E5B"/>
    <w:rsid w:val="1A1F6572"/>
    <w:rsid w:val="1A3C79C3"/>
    <w:rsid w:val="1D253F41"/>
    <w:rsid w:val="1D624507"/>
    <w:rsid w:val="1DA23724"/>
    <w:rsid w:val="1F7E31F4"/>
    <w:rsid w:val="20A5531D"/>
    <w:rsid w:val="22FD2D2B"/>
    <w:rsid w:val="245C59F0"/>
    <w:rsid w:val="24EF3046"/>
    <w:rsid w:val="254B2863"/>
    <w:rsid w:val="2581466F"/>
    <w:rsid w:val="28567C87"/>
    <w:rsid w:val="2A572C1E"/>
    <w:rsid w:val="2B3A2DAE"/>
    <w:rsid w:val="2C2738B4"/>
    <w:rsid w:val="2C6B56AB"/>
    <w:rsid w:val="2FE07204"/>
    <w:rsid w:val="304266EA"/>
    <w:rsid w:val="32153286"/>
    <w:rsid w:val="36085F3D"/>
    <w:rsid w:val="37342ACF"/>
    <w:rsid w:val="37D91298"/>
    <w:rsid w:val="3876029D"/>
    <w:rsid w:val="38862BDB"/>
    <w:rsid w:val="38CE352A"/>
    <w:rsid w:val="3BC73017"/>
    <w:rsid w:val="3C572F94"/>
    <w:rsid w:val="3CE70588"/>
    <w:rsid w:val="3E420953"/>
    <w:rsid w:val="3E9E7CEC"/>
    <w:rsid w:val="3F2A776F"/>
    <w:rsid w:val="3F935557"/>
    <w:rsid w:val="4151185A"/>
    <w:rsid w:val="43CB4478"/>
    <w:rsid w:val="44944318"/>
    <w:rsid w:val="468D2801"/>
    <w:rsid w:val="47927767"/>
    <w:rsid w:val="4828086D"/>
    <w:rsid w:val="48500273"/>
    <w:rsid w:val="48724EC3"/>
    <w:rsid w:val="49094810"/>
    <w:rsid w:val="4A2B7DDA"/>
    <w:rsid w:val="4A69584D"/>
    <w:rsid w:val="4ADB52D7"/>
    <w:rsid w:val="4B6C6A22"/>
    <w:rsid w:val="4E061CF9"/>
    <w:rsid w:val="4F3B5094"/>
    <w:rsid w:val="529263F3"/>
    <w:rsid w:val="53CE2F93"/>
    <w:rsid w:val="54E57700"/>
    <w:rsid w:val="55225F95"/>
    <w:rsid w:val="56C44A64"/>
    <w:rsid w:val="57543787"/>
    <w:rsid w:val="5792707A"/>
    <w:rsid w:val="59413B2E"/>
    <w:rsid w:val="59CC3494"/>
    <w:rsid w:val="5BD54930"/>
    <w:rsid w:val="5DB36A86"/>
    <w:rsid w:val="5DD745EB"/>
    <w:rsid w:val="5FFC02B7"/>
    <w:rsid w:val="60642C9F"/>
    <w:rsid w:val="61992F7C"/>
    <w:rsid w:val="62BA7AA9"/>
    <w:rsid w:val="63ED74E8"/>
    <w:rsid w:val="64040192"/>
    <w:rsid w:val="64503597"/>
    <w:rsid w:val="649F7FAE"/>
    <w:rsid w:val="656E6C16"/>
    <w:rsid w:val="65C20772"/>
    <w:rsid w:val="681B03DF"/>
    <w:rsid w:val="68596543"/>
    <w:rsid w:val="692962AA"/>
    <w:rsid w:val="6A280F90"/>
    <w:rsid w:val="6BF96AF1"/>
    <w:rsid w:val="6DD21012"/>
    <w:rsid w:val="6EC9497A"/>
    <w:rsid w:val="705254B2"/>
    <w:rsid w:val="70A53385"/>
    <w:rsid w:val="70EF0CDA"/>
    <w:rsid w:val="718B7CBF"/>
    <w:rsid w:val="71965B05"/>
    <w:rsid w:val="75B2288E"/>
    <w:rsid w:val="75C01EE7"/>
    <w:rsid w:val="75C43D03"/>
    <w:rsid w:val="76BE5E6C"/>
    <w:rsid w:val="79004F64"/>
    <w:rsid w:val="7AB558BA"/>
    <w:rsid w:val="7BD5234A"/>
    <w:rsid w:val="7C7B46F4"/>
    <w:rsid w:val="7ED32125"/>
    <w:rsid w:val="7EFB0F91"/>
    <w:rsid w:val="7F283A9A"/>
    <w:rsid w:val="7FD400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2C"/>
    <w:pPr>
      <w:widowControl w:val="0"/>
      <w:jc w:val="both"/>
    </w:pPr>
    <w:rPr>
      <w:rFonts w:asciiTheme="minorHAnsi" w:eastAsiaTheme="minorEastAsia" w:hAnsiTheme="minorHAnsi" w:cstheme="minorBidi"/>
      <w:kern w:val="2"/>
      <w:sz w:val="21"/>
      <w:szCs w:val="22"/>
    </w:rPr>
  </w:style>
  <w:style w:type="paragraph" w:styleId="6">
    <w:name w:val="heading 6"/>
    <w:basedOn w:val="a"/>
    <w:next w:val="a"/>
    <w:link w:val="6Char"/>
    <w:uiPriority w:val="9"/>
    <w:qFormat/>
    <w:rsid w:val="0051032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1032C"/>
    <w:rPr>
      <w:sz w:val="18"/>
      <w:szCs w:val="18"/>
    </w:rPr>
  </w:style>
  <w:style w:type="paragraph" w:styleId="a4">
    <w:name w:val="footer"/>
    <w:basedOn w:val="a"/>
    <w:link w:val="Char0"/>
    <w:uiPriority w:val="99"/>
    <w:unhideWhenUsed/>
    <w:qFormat/>
    <w:rsid w:val="0051032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1032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1032C"/>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510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51032C"/>
    <w:rPr>
      <w:b/>
      <w:bCs/>
    </w:rPr>
  </w:style>
  <w:style w:type="character" w:styleId="a9">
    <w:name w:val="Hyperlink"/>
    <w:basedOn w:val="a0"/>
    <w:uiPriority w:val="99"/>
    <w:semiHidden/>
    <w:unhideWhenUsed/>
    <w:qFormat/>
    <w:rsid w:val="0051032C"/>
    <w:rPr>
      <w:color w:val="0000FF"/>
      <w:u w:val="single"/>
    </w:rPr>
  </w:style>
  <w:style w:type="character" w:customStyle="1" w:styleId="Char1">
    <w:name w:val="页眉 Char"/>
    <w:basedOn w:val="a0"/>
    <w:link w:val="a5"/>
    <w:uiPriority w:val="99"/>
    <w:qFormat/>
    <w:rsid w:val="0051032C"/>
    <w:rPr>
      <w:sz w:val="18"/>
      <w:szCs w:val="18"/>
    </w:rPr>
  </w:style>
  <w:style w:type="character" w:customStyle="1" w:styleId="Char0">
    <w:name w:val="页脚 Char"/>
    <w:basedOn w:val="a0"/>
    <w:link w:val="a4"/>
    <w:uiPriority w:val="99"/>
    <w:qFormat/>
    <w:rsid w:val="0051032C"/>
    <w:rPr>
      <w:sz w:val="18"/>
      <w:szCs w:val="18"/>
    </w:rPr>
  </w:style>
  <w:style w:type="character" w:customStyle="1" w:styleId="6Char">
    <w:name w:val="标题 6 Char"/>
    <w:basedOn w:val="a0"/>
    <w:link w:val="6"/>
    <w:uiPriority w:val="9"/>
    <w:qFormat/>
    <w:rsid w:val="0051032C"/>
    <w:rPr>
      <w:rFonts w:ascii="宋体" w:eastAsia="宋体" w:hAnsi="宋体" w:cs="宋体"/>
      <w:b/>
      <w:bCs/>
      <w:kern w:val="0"/>
      <w:sz w:val="15"/>
      <w:szCs w:val="15"/>
    </w:rPr>
  </w:style>
  <w:style w:type="paragraph" w:styleId="aa">
    <w:name w:val="List Paragraph"/>
    <w:basedOn w:val="a"/>
    <w:uiPriority w:val="34"/>
    <w:qFormat/>
    <w:rsid w:val="0051032C"/>
    <w:pPr>
      <w:ind w:firstLineChars="200" w:firstLine="420"/>
    </w:pPr>
  </w:style>
  <w:style w:type="character" w:customStyle="1" w:styleId="apple-converted-space">
    <w:name w:val="apple-converted-space"/>
    <w:basedOn w:val="a0"/>
    <w:qFormat/>
    <w:rsid w:val="0051032C"/>
  </w:style>
  <w:style w:type="paragraph" w:customStyle="1" w:styleId="p0">
    <w:name w:val="p0"/>
    <w:basedOn w:val="a"/>
    <w:qFormat/>
    <w:rsid w:val="0051032C"/>
    <w:pPr>
      <w:widowControl/>
      <w:spacing w:before="100" w:beforeAutospacing="1" w:after="100" w:afterAutospacing="1"/>
      <w:jc w:val="left"/>
    </w:pPr>
    <w:rPr>
      <w:rFonts w:ascii="宋体" w:eastAsia="宋体" w:hAnsi="宋体" w:cs="宋体"/>
      <w:kern w:val="0"/>
      <w:sz w:val="24"/>
      <w:szCs w:val="24"/>
    </w:rPr>
  </w:style>
  <w:style w:type="character" w:customStyle="1" w:styleId="readmaillocationtip">
    <w:name w:val="readmail_locationtip"/>
    <w:basedOn w:val="a0"/>
    <w:qFormat/>
    <w:rsid w:val="0051032C"/>
  </w:style>
  <w:style w:type="character" w:customStyle="1" w:styleId="Char">
    <w:name w:val="批注框文本 Char"/>
    <w:basedOn w:val="a0"/>
    <w:link w:val="a3"/>
    <w:uiPriority w:val="99"/>
    <w:semiHidden/>
    <w:qFormat/>
    <w:rsid w:val="0051032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dgdc.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396</Words>
  <Characters>2262</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67</cp:revision>
  <dcterms:created xsi:type="dcterms:W3CDTF">2019-03-11T07:19:00Z</dcterms:created>
  <dcterms:modified xsi:type="dcterms:W3CDTF">2020-07-16T06:54:00Z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