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E6" w:rsidRDefault="00C95C47">
      <w:pPr>
        <w:widowControl/>
        <w:spacing w:line="800" w:lineRule="atLeast"/>
        <w:jc w:val="center"/>
        <w:rPr>
          <w:rFonts w:ascii="黑体" w:eastAsia="黑体" w:hAnsi="黑体" w:cs="Tahoma"/>
          <w:b/>
          <w:color w:val="000000"/>
          <w:sz w:val="36"/>
          <w:szCs w:val="36"/>
          <w:shd w:val="clear" w:color="auto" w:fill="FFFFFF"/>
        </w:rPr>
      </w:pPr>
      <w:r>
        <w:rPr>
          <w:rFonts w:ascii="黑体" w:eastAsia="黑体" w:hAnsi="黑体" w:cs="Tahoma" w:hint="eastAsia"/>
          <w:b/>
          <w:color w:val="000000"/>
          <w:sz w:val="36"/>
          <w:szCs w:val="36"/>
          <w:shd w:val="clear" w:color="auto" w:fill="FFFFFF"/>
        </w:rPr>
        <w:t>首都经济贸易大学</w:t>
      </w:r>
    </w:p>
    <w:p w:rsidR="00FC28E6" w:rsidRDefault="00C95C47">
      <w:pPr>
        <w:widowControl/>
        <w:spacing w:line="540" w:lineRule="atLeast"/>
        <w:jc w:val="center"/>
        <w:rPr>
          <w:rFonts w:ascii="黑体" w:eastAsia="黑体" w:hAnsi="黑体" w:cs="Tahoma"/>
          <w:b/>
          <w:color w:val="000000"/>
          <w:sz w:val="32"/>
          <w:szCs w:val="32"/>
          <w:shd w:val="clear" w:color="auto" w:fill="FFFFFF"/>
        </w:rPr>
      </w:pPr>
      <w:r>
        <w:rPr>
          <w:rFonts w:ascii="黑体" w:eastAsia="黑体" w:hAnsi="黑体" w:cs="Tahoma" w:hint="eastAsia"/>
          <w:b/>
          <w:color w:val="000000"/>
          <w:sz w:val="32"/>
          <w:szCs w:val="32"/>
          <w:shd w:val="clear" w:color="auto" w:fill="FFFFFF"/>
        </w:rPr>
        <w:t>财政学专业高级研修班招生简章</w:t>
      </w:r>
    </w:p>
    <w:p w:rsidR="00EA717D" w:rsidRDefault="00C95C47" w:rsidP="00EA717D">
      <w:pPr>
        <w:pStyle w:val="a6"/>
        <w:spacing w:before="0" w:beforeAutospacing="0" w:after="0" w:afterAutospacing="0" w:line="360" w:lineRule="auto"/>
        <w:ind w:firstLineChars="200" w:firstLine="422"/>
        <w:rPr>
          <w:color w:val="000000" w:themeColor="text1"/>
          <w:sz w:val="21"/>
          <w:szCs w:val="21"/>
        </w:rPr>
      </w:pPr>
      <w:r>
        <w:rPr>
          <w:rFonts w:hint="eastAsia"/>
          <w:b/>
          <w:bCs/>
          <w:sz w:val="21"/>
          <w:szCs w:val="21"/>
        </w:rPr>
        <w:t>首都经济贸易大学</w:t>
      </w:r>
      <w:r>
        <w:rPr>
          <w:rFonts w:hint="eastAsia"/>
          <w:sz w:val="21"/>
          <w:szCs w:val="21"/>
        </w:rPr>
        <w:t>（Capital University of Economics and Business，简称 CUEB）创建于1956年。六十余年来，学校以培养"崇德尚能，经世济民"之才为己任，经过几代首经贸人自强不息地开拓和建设，已经成长为拥有经济学、管理学、法学、文学、理学和工学等六大学科</w:t>
      </w:r>
      <w:r>
        <w:rPr>
          <w:rFonts w:hint="eastAsia"/>
          <w:color w:val="000000" w:themeColor="text1"/>
          <w:sz w:val="21"/>
          <w:szCs w:val="21"/>
        </w:rPr>
        <w:t>，</w:t>
      </w:r>
      <w:r>
        <w:rPr>
          <w:rFonts w:hint="eastAsia"/>
          <w:b/>
          <w:bCs/>
          <w:color w:val="000000" w:themeColor="text1"/>
          <w:sz w:val="21"/>
          <w:szCs w:val="21"/>
        </w:rPr>
        <w:t>以经济学、管理学为重要特色和突出优势</w:t>
      </w:r>
      <w:r>
        <w:rPr>
          <w:rFonts w:hint="eastAsia"/>
          <w:color w:val="000000" w:themeColor="text1"/>
          <w:sz w:val="21"/>
          <w:szCs w:val="21"/>
        </w:rPr>
        <w:t>，各学科相互支撑、协调发展的现代化、多科性财经类大学，</w:t>
      </w:r>
      <w:r>
        <w:rPr>
          <w:rFonts w:hint="eastAsia"/>
          <w:b/>
          <w:bCs/>
          <w:color w:val="000000" w:themeColor="text1"/>
          <w:sz w:val="21"/>
          <w:szCs w:val="21"/>
        </w:rPr>
        <w:t>首都经济贸易大学属于是北京市属重点大学</w:t>
      </w:r>
      <w:r>
        <w:rPr>
          <w:rFonts w:hint="eastAsia"/>
          <w:color w:val="000000" w:themeColor="text1"/>
          <w:sz w:val="21"/>
          <w:szCs w:val="21"/>
        </w:rPr>
        <w:t>，坚持“立足北京、服务首都、面向全国、走向世界”，</w:t>
      </w:r>
      <w:r>
        <w:rPr>
          <w:rFonts w:hint="eastAsia"/>
          <w:b/>
          <w:bCs/>
          <w:color w:val="000000" w:themeColor="text1"/>
          <w:sz w:val="21"/>
          <w:szCs w:val="21"/>
        </w:rPr>
        <w:t>先后为国家和北京市培养了十八万优秀人才</w:t>
      </w:r>
      <w:r>
        <w:rPr>
          <w:rFonts w:hint="eastAsia"/>
          <w:color w:val="000000" w:themeColor="text1"/>
          <w:sz w:val="21"/>
          <w:szCs w:val="21"/>
        </w:rPr>
        <w:t>。首经贸校友遍布海内外，成为服务国家和北京市经济社会发展的重要力量。</w:t>
      </w:r>
    </w:p>
    <w:p w:rsidR="00FC28E6" w:rsidRDefault="00C95C47" w:rsidP="00EA717D">
      <w:pPr>
        <w:pStyle w:val="a6"/>
        <w:spacing w:before="0" w:beforeAutospacing="0" w:after="0" w:afterAutospacing="0" w:line="360" w:lineRule="auto"/>
        <w:ind w:firstLineChars="200" w:firstLine="420"/>
        <w:rPr>
          <w:sz w:val="21"/>
          <w:szCs w:val="21"/>
        </w:rPr>
      </w:pPr>
      <w:r>
        <w:rPr>
          <w:rFonts w:hint="eastAsia"/>
          <w:color w:val="000000" w:themeColor="text1"/>
          <w:sz w:val="21"/>
          <w:szCs w:val="21"/>
        </w:rPr>
        <w:t>财政税务学院已有三十年的办学历史，并在办学过程中形成了自身鲜明的办学特色和优势，</w:t>
      </w:r>
      <w:r>
        <w:rPr>
          <w:rFonts w:hint="eastAsia"/>
          <w:b/>
          <w:bCs/>
          <w:color w:val="000000" w:themeColor="text1"/>
          <w:sz w:val="21"/>
          <w:szCs w:val="21"/>
        </w:rPr>
        <w:t>拥有财政学硕士点、博士点，形成了本科、研究生、博士多层次、高水平的办学模式。</w:t>
      </w:r>
      <w:r>
        <w:rPr>
          <w:rFonts w:hint="eastAsia"/>
          <w:sz w:val="21"/>
          <w:szCs w:val="21"/>
        </w:rPr>
        <w:t>现为培养财政、资产评估和税务学方面的人才，财政税务学院招生与就业一直呈现良好态势，得到了社会认同。招生录取分数连续多年位列全校前列，</w:t>
      </w:r>
      <w:r>
        <w:rPr>
          <w:rFonts w:hint="eastAsia"/>
          <w:b/>
          <w:bCs/>
          <w:sz w:val="21"/>
          <w:szCs w:val="21"/>
        </w:rPr>
        <w:t>就业率一直保持在98%以上</w:t>
      </w:r>
      <w:r>
        <w:rPr>
          <w:rFonts w:hint="eastAsia"/>
          <w:sz w:val="21"/>
          <w:szCs w:val="21"/>
        </w:rPr>
        <w:t>。根据国务院学位办公室的有关规定，经北京市学位委员会批准，首都经济贸易大学财政税务学院特举办财政学专业高级课程研修班。</w:t>
      </w:r>
    </w:p>
    <w:p w:rsidR="00FC28E6" w:rsidRDefault="00C95C47" w:rsidP="00EA717D">
      <w:pPr>
        <w:pStyle w:val="a6"/>
        <w:shd w:val="clear" w:color="auto" w:fill="FFFFFF"/>
        <w:spacing w:before="0" w:beforeAutospacing="0" w:after="0" w:afterAutospacing="0" w:line="360" w:lineRule="auto"/>
        <w:rPr>
          <w:b/>
          <w:bCs/>
          <w:color w:val="C00000"/>
        </w:rPr>
      </w:pPr>
      <w:r>
        <w:rPr>
          <w:b/>
          <w:bCs/>
          <w:color w:val="C00000"/>
        </w:rPr>
        <w:t>【培养目标】</w:t>
      </w:r>
    </w:p>
    <w:p w:rsidR="00FC28E6" w:rsidRDefault="00C95C47">
      <w:pPr>
        <w:widowControl/>
        <w:spacing w:line="360" w:lineRule="auto"/>
        <w:ind w:firstLine="480"/>
        <w:jc w:val="left"/>
        <w:rPr>
          <w:rFonts w:ascii="Tahoma" w:hAnsi="Tahoma" w:cs="Tahoma"/>
          <w:color w:val="000000"/>
          <w:szCs w:val="21"/>
          <w:shd w:val="clear" w:color="auto" w:fill="FFFFFF"/>
        </w:rPr>
      </w:pPr>
      <w:r>
        <w:rPr>
          <w:rFonts w:ascii="Tahoma" w:hAnsi="Tahoma" w:cs="Tahoma"/>
          <w:color w:val="000000"/>
          <w:szCs w:val="21"/>
          <w:shd w:val="clear" w:color="auto" w:fill="FFFFFF"/>
        </w:rPr>
        <w:t>本专业旨在面向税务、财政、司法等国家机关、企业与税务师事务所等中介机构，系统</w:t>
      </w:r>
      <w:r>
        <w:rPr>
          <w:rFonts w:ascii="Tahoma" w:hAnsi="Tahoma" w:cs="Tahoma" w:hint="eastAsia"/>
          <w:color w:val="000000"/>
          <w:szCs w:val="21"/>
          <w:shd w:val="clear" w:color="auto" w:fill="FFFFFF"/>
        </w:rPr>
        <w:t>讲解</w:t>
      </w:r>
      <w:r>
        <w:rPr>
          <w:rFonts w:ascii="Tahoma" w:hAnsi="Tahoma" w:cs="Tahoma"/>
          <w:color w:val="000000"/>
          <w:szCs w:val="21"/>
          <w:shd w:val="clear" w:color="auto" w:fill="FFFFFF"/>
        </w:rPr>
        <w:t>税收理论与政策、税收制度、税务管理以及相关领域的知识和技能</w:t>
      </w:r>
      <w:r>
        <w:rPr>
          <w:rFonts w:ascii="Tahoma" w:hAnsi="Tahoma" w:cs="Tahoma" w:hint="eastAsia"/>
          <w:color w:val="000000"/>
          <w:szCs w:val="21"/>
          <w:shd w:val="clear" w:color="auto" w:fill="FFFFFF"/>
        </w:rPr>
        <w:t>，</w:t>
      </w:r>
      <w:r>
        <w:rPr>
          <w:rFonts w:ascii="Tahoma" w:hAnsi="Tahoma" w:cs="Tahoma"/>
          <w:color w:val="000000"/>
          <w:szCs w:val="21"/>
          <w:shd w:val="clear" w:color="auto" w:fill="FFFFFF"/>
        </w:rPr>
        <w:t>培养具备良好的政治思想素质和职业道德素养，并熟练掌握税务稽查、税务筹划以及税务代理等高级税收实务分析方法与操作技能的高层次、应用型专门人才。</w:t>
      </w:r>
    </w:p>
    <w:p w:rsidR="00FC28E6" w:rsidRDefault="00C95C47">
      <w:pPr>
        <w:widowControl/>
        <w:spacing w:line="360" w:lineRule="auto"/>
        <w:jc w:val="left"/>
        <w:rPr>
          <w:b/>
          <w:bCs/>
          <w:color w:val="C00000"/>
        </w:rPr>
      </w:pPr>
      <w:r>
        <w:rPr>
          <w:rFonts w:hint="eastAsia"/>
          <w:b/>
          <w:bCs/>
          <w:color w:val="C00000"/>
        </w:rPr>
        <w:t>【研究方向】</w:t>
      </w:r>
    </w:p>
    <w:p w:rsidR="00FC28E6" w:rsidRDefault="00C95C47">
      <w:pPr>
        <w:pStyle w:val="a6"/>
        <w:shd w:val="clear" w:color="auto" w:fill="FFFFFF"/>
        <w:spacing w:before="0" w:beforeAutospacing="0" w:after="0" w:afterAutospacing="0" w:line="360" w:lineRule="auto"/>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t>◆</w:t>
      </w:r>
      <w:r>
        <w:rPr>
          <w:rFonts w:ascii="Tahoma" w:eastAsiaTheme="minorEastAsia" w:hAnsi="Tahoma" w:cs="Tahoma"/>
          <w:color w:val="000000"/>
          <w:kern w:val="2"/>
          <w:sz w:val="21"/>
          <w:szCs w:val="21"/>
          <w:shd w:val="clear" w:color="auto" w:fill="FFFFFF"/>
        </w:rPr>
        <w:t>税收政策与管理方向</w:t>
      </w:r>
      <w:r>
        <w:rPr>
          <w:rFonts w:ascii="Tahoma" w:eastAsiaTheme="minorEastAsia" w:hAnsi="Tahoma" w:cs="Tahoma" w:hint="eastAsia"/>
          <w:color w:val="000000"/>
          <w:kern w:val="2"/>
          <w:sz w:val="21"/>
          <w:szCs w:val="21"/>
          <w:shd w:val="clear" w:color="auto" w:fill="FFFFFF"/>
        </w:rPr>
        <w:t xml:space="preserve">        </w:t>
      </w:r>
      <w:r w:rsidR="000C5C82">
        <w:rPr>
          <w:rFonts w:ascii="Tahoma" w:eastAsiaTheme="minorEastAsia" w:hAnsi="Tahoma" w:cs="Tahoma" w:hint="eastAsia"/>
          <w:color w:val="000000"/>
          <w:kern w:val="2"/>
          <w:sz w:val="21"/>
          <w:szCs w:val="21"/>
          <w:shd w:val="clear" w:color="auto" w:fill="FFFFFF"/>
        </w:rPr>
        <w:t xml:space="preserve">              </w:t>
      </w:r>
      <w:r>
        <w:rPr>
          <w:rFonts w:ascii="Tahoma" w:eastAsiaTheme="minorEastAsia" w:hAnsi="Tahoma" w:cs="Tahoma" w:hint="eastAsia"/>
          <w:color w:val="000000"/>
          <w:kern w:val="2"/>
          <w:sz w:val="21"/>
          <w:szCs w:val="21"/>
          <w:shd w:val="clear" w:color="auto" w:fill="FFFFFF"/>
        </w:rPr>
        <w:t>◆</w:t>
      </w:r>
      <w:r>
        <w:rPr>
          <w:rFonts w:ascii="Tahoma" w:eastAsiaTheme="minorEastAsia" w:hAnsi="Tahoma" w:cs="Tahoma"/>
          <w:color w:val="000000"/>
          <w:kern w:val="2"/>
          <w:sz w:val="21"/>
          <w:szCs w:val="21"/>
          <w:shd w:val="clear" w:color="auto" w:fill="FFFFFF"/>
        </w:rPr>
        <w:t>财政理论与政策方向</w:t>
      </w:r>
    </w:p>
    <w:p w:rsidR="00FC28E6" w:rsidRDefault="00C95C47">
      <w:pPr>
        <w:pStyle w:val="a6"/>
        <w:shd w:val="clear" w:color="auto" w:fill="FFFFFF"/>
        <w:spacing w:before="0" w:beforeAutospacing="0" w:after="0" w:afterAutospacing="0" w:line="360" w:lineRule="auto"/>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t>◆企业财务管理与税收筹划</w:t>
      </w:r>
      <w:r>
        <w:rPr>
          <w:rFonts w:ascii="Tahoma" w:eastAsiaTheme="minorEastAsia" w:hAnsi="Tahoma" w:cs="Tahoma" w:hint="eastAsia"/>
          <w:color w:val="000000"/>
          <w:kern w:val="2"/>
          <w:sz w:val="21"/>
          <w:szCs w:val="21"/>
          <w:shd w:val="clear" w:color="auto" w:fill="FFFFFF"/>
        </w:rPr>
        <w:t xml:space="preserve"> </w:t>
      </w:r>
      <w:r w:rsidR="000C5C82">
        <w:rPr>
          <w:rFonts w:ascii="Tahoma" w:eastAsiaTheme="minorEastAsia" w:hAnsi="Tahoma" w:cs="Tahoma" w:hint="eastAsia"/>
          <w:color w:val="000000"/>
          <w:kern w:val="2"/>
          <w:sz w:val="21"/>
          <w:szCs w:val="21"/>
          <w:shd w:val="clear" w:color="auto" w:fill="FFFFFF"/>
        </w:rPr>
        <w:t xml:space="preserve">                 </w:t>
      </w:r>
      <w:r>
        <w:rPr>
          <w:rFonts w:ascii="Tahoma" w:eastAsiaTheme="minorEastAsia" w:hAnsi="Tahoma" w:cs="Tahoma" w:hint="eastAsia"/>
          <w:color w:val="000000"/>
          <w:kern w:val="2"/>
          <w:sz w:val="21"/>
          <w:szCs w:val="21"/>
          <w:shd w:val="clear" w:color="auto" w:fill="FFFFFF"/>
        </w:rPr>
        <w:t>◆融资租赁与税务方向</w:t>
      </w:r>
      <w:r>
        <w:rPr>
          <w:rFonts w:ascii="Tahoma" w:eastAsiaTheme="minorEastAsia" w:hAnsi="Tahoma" w:cs="Tahoma" w:hint="eastAsia"/>
          <w:color w:val="000000"/>
          <w:kern w:val="2"/>
          <w:sz w:val="21"/>
          <w:szCs w:val="21"/>
          <w:shd w:val="clear" w:color="auto" w:fill="FFFFFF"/>
        </w:rPr>
        <w:t xml:space="preserve"> </w:t>
      </w:r>
    </w:p>
    <w:p w:rsidR="00FC28E6" w:rsidRDefault="00C95C47" w:rsidP="00EA717D">
      <w:pPr>
        <w:pStyle w:val="a9"/>
        <w:widowControl/>
        <w:spacing w:line="360" w:lineRule="auto"/>
        <w:ind w:firstLineChars="0" w:firstLine="0"/>
        <w:jc w:val="left"/>
        <w:rPr>
          <w:b/>
          <w:bCs/>
          <w:color w:val="C00000"/>
        </w:rPr>
      </w:pPr>
      <w:r>
        <w:rPr>
          <w:rFonts w:hint="eastAsia"/>
          <w:b/>
          <w:bCs/>
          <w:color w:val="C00000"/>
        </w:rPr>
        <w:t>【项目优势】</w:t>
      </w:r>
    </w:p>
    <w:p w:rsidR="00FC28E6" w:rsidRDefault="00C95C47" w:rsidP="00EA717D">
      <w:pPr>
        <w:pStyle w:val="a6"/>
        <w:shd w:val="clear" w:color="auto" w:fill="FFFFFF"/>
        <w:spacing w:before="0" w:beforeAutospacing="0" w:after="0" w:afterAutospacing="0" w:line="360" w:lineRule="auto"/>
        <w:ind w:firstLineChars="225" w:firstLine="473"/>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t>1</w:t>
      </w:r>
      <w:r>
        <w:rPr>
          <w:rFonts w:ascii="Tahoma" w:eastAsiaTheme="minorEastAsia" w:hAnsi="Tahoma" w:cs="Tahoma" w:hint="eastAsia"/>
          <w:color w:val="000000"/>
          <w:kern w:val="2"/>
          <w:sz w:val="21"/>
          <w:szCs w:val="21"/>
          <w:shd w:val="clear" w:color="auto" w:fill="FFFFFF"/>
        </w:rPr>
        <w:t>、条件符合，可申请我校同等学力财政学专业经济学硕士学位。</w:t>
      </w:r>
    </w:p>
    <w:p w:rsidR="00FC28E6" w:rsidRPr="00EA717D" w:rsidRDefault="00C95C47" w:rsidP="00EA717D">
      <w:pPr>
        <w:pStyle w:val="a6"/>
        <w:shd w:val="clear" w:color="auto" w:fill="FFFFFF"/>
        <w:spacing w:before="0" w:beforeAutospacing="0" w:after="0" w:afterAutospacing="0"/>
        <w:ind w:firstLineChars="225" w:firstLine="473"/>
        <w:rPr>
          <w:rFonts w:ascii="Tahoma" w:eastAsiaTheme="minorEastAsia" w:hAnsi="Tahoma" w:cs="Tahoma"/>
          <w:color w:val="000000"/>
          <w:kern w:val="2"/>
          <w:sz w:val="21"/>
          <w:szCs w:val="21"/>
          <w:shd w:val="clear" w:color="auto" w:fill="FFFFFF"/>
        </w:rPr>
      </w:pPr>
      <w:r w:rsidRPr="00EA717D">
        <w:rPr>
          <w:rFonts w:ascii="Tahoma" w:eastAsiaTheme="minorEastAsia" w:hAnsi="Tahoma" w:cs="Tahoma" w:hint="eastAsia"/>
          <w:color w:val="000000"/>
          <w:kern w:val="2"/>
          <w:sz w:val="21"/>
          <w:szCs w:val="21"/>
          <w:shd w:val="clear" w:color="auto" w:fill="FFFFFF"/>
        </w:rPr>
        <w:t>注：根据国务院学位委员会（</w:t>
      </w:r>
      <w:r w:rsidRPr="00EA717D">
        <w:rPr>
          <w:rFonts w:ascii="Tahoma" w:eastAsiaTheme="minorEastAsia" w:hAnsi="Tahoma" w:cs="Tahoma"/>
          <w:color w:val="000000"/>
          <w:kern w:val="2"/>
          <w:sz w:val="21"/>
          <w:szCs w:val="21"/>
          <w:shd w:val="clear" w:color="auto" w:fill="FFFFFF"/>
        </w:rPr>
        <w:t>2013</w:t>
      </w:r>
      <w:r w:rsidRPr="00EA717D">
        <w:rPr>
          <w:rFonts w:ascii="Tahoma" w:eastAsiaTheme="minorEastAsia" w:hAnsi="Tahoma" w:cs="Tahoma" w:hint="eastAsia"/>
          <w:color w:val="000000"/>
          <w:kern w:val="2"/>
          <w:sz w:val="21"/>
          <w:szCs w:val="21"/>
          <w:shd w:val="clear" w:color="auto" w:fill="FFFFFF"/>
        </w:rPr>
        <w:t>）</w:t>
      </w:r>
      <w:r w:rsidRPr="00EA717D">
        <w:rPr>
          <w:rFonts w:ascii="Tahoma" w:eastAsiaTheme="minorEastAsia" w:hAnsi="Tahoma" w:cs="Tahoma"/>
          <w:color w:val="000000"/>
          <w:kern w:val="2"/>
          <w:sz w:val="21"/>
          <w:szCs w:val="21"/>
          <w:shd w:val="clear" w:color="auto" w:fill="FFFFFF"/>
        </w:rPr>
        <w:t>36</w:t>
      </w:r>
      <w:r w:rsidRPr="00EA717D">
        <w:rPr>
          <w:rFonts w:ascii="Tahoma" w:eastAsiaTheme="minorEastAsia" w:hAnsi="Tahoma" w:cs="Tahoma" w:hint="eastAsia"/>
          <w:color w:val="000000"/>
          <w:kern w:val="2"/>
          <w:sz w:val="21"/>
          <w:szCs w:val="21"/>
          <w:shd w:val="clear" w:color="auto" w:fill="FFFFFF"/>
        </w:rPr>
        <w:t>号文件，申请同等学力硕士学位流程及要求不变。</w:t>
      </w:r>
    </w:p>
    <w:p w:rsidR="00FC28E6" w:rsidRDefault="00C95C47" w:rsidP="00EA717D">
      <w:pPr>
        <w:pStyle w:val="a6"/>
        <w:shd w:val="clear" w:color="auto" w:fill="FFFFFF"/>
        <w:spacing w:before="0" w:beforeAutospacing="0" w:after="0" w:afterAutospacing="0" w:line="360" w:lineRule="auto"/>
        <w:ind w:firstLineChars="225" w:firstLine="473"/>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t>2</w:t>
      </w:r>
      <w:r>
        <w:rPr>
          <w:rFonts w:ascii="Tahoma" w:eastAsiaTheme="minorEastAsia" w:hAnsi="Tahoma" w:cs="Tahoma" w:hint="eastAsia"/>
          <w:color w:val="000000"/>
          <w:kern w:val="2"/>
          <w:sz w:val="21"/>
          <w:szCs w:val="21"/>
          <w:shd w:val="clear" w:color="auto" w:fill="FFFFFF"/>
        </w:rPr>
        <w:t>、聘请行业专家、企业家开设讲座，并针对不断变换的经济环境，企业面临的挑战及问题设置与时俱进的课程。</w:t>
      </w:r>
    </w:p>
    <w:p w:rsidR="00EA717D" w:rsidRDefault="00C95C47" w:rsidP="00EA717D">
      <w:pPr>
        <w:pStyle w:val="a6"/>
        <w:shd w:val="clear" w:color="auto" w:fill="FFFFFF"/>
        <w:spacing w:before="0" w:beforeAutospacing="0" w:after="0" w:afterAutospacing="0" w:line="360" w:lineRule="auto"/>
        <w:ind w:firstLineChars="225" w:firstLine="473"/>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t>3</w:t>
      </w:r>
      <w:r>
        <w:rPr>
          <w:rFonts w:ascii="Tahoma" w:eastAsiaTheme="minorEastAsia" w:hAnsi="Tahoma" w:cs="Tahoma" w:hint="eastAsia"/>
          <w:color w:val="000000"/>
          <w:kern w:val="2"/>
          <w:sz w:val="21"/>
          <w:szCs w:val="21"/>
          <w:shd w:val="clear" w:color="auto" w:fill="FFFFFF"/>
        </w:rPr>
        <w:t>、案例教学，采用课堂讲授、研讨、模拟训练、案例分析、社会调查和实习等多种形式，注重理论联系实际，重点培养学生分析和解决问题的能力。</w:t>
      </w:r>
    </w:p>
    <w:p w:rsidR="00FC28E6" w:rsidRDefault="00C95C47" w:rsidP="00EA717D">
      <w:pPr>
        <w:pStyle w:val="a6"/>
        <w:shd w:val="clear" w:color="auto" w:fill="FFFFFF"/>
        <w:spacing w:before="0" w:beforeAutospacing="0" w:after="0" w:afterAutospacing="0" w:line="360" w:lineRule="auto"/>
        <w:ind w:firstLineChars="225" w:firstLine="473"/>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t>4</w:t>
      </w:r>
      <w:r>
        <w:rPr>
          <w:rFonts w:ascii="Tahoma" w:eastAsiaTheme="minorEastAsia" w:hAnsi="Tahoma" w:cs="Tahoma" w:hint="eastAsia"/>
          <w:color w:val="000000"/>
          <w:kern w:val="2"/>
          <w:sz w:val="21"/>
          <w:szCs w:val="21"/>
          <w:shd w:val="clear" w:color="auto" w:fill="FFFFFF"/>
        </w:rPr>
        <w:t>、完善的班务管理制度，为学员提供开放的学习资源和行业沟通平台。</w:t>
      </w:r>
    </w:p>
    <w:p w:rsidR="00FC28E6" w:rsidRDefault="00C95C47" w:rsidP="00A24930">
      <w:pPr>
        <w:widowControl/>
        <w:spacing w:line="440" w:lineRule="atLeast"/>
        <w:jc w:val="left"/>
        <w:rPr>
          <w:rFonts w:ascii="Tahoma" w:hAnsi="Tahoma" w:cs="Tahoma"/>
          <w:color w:val="000000"/>
          <w:szCs w:val="21"/>
          <w:shd w:val="clear" w:color="auto" w:fill="FFFFFF"/>
        </w:rPr>
      </w:pPr>
      <w:r>
        <w:rPr>
          <w:rFonts w:hint="eastAsia"/>
          <w:b/>
          <w:bCs/>
          <w:color w:val="C00000"/>
        </w:rPr>
        <w:lastRenderedPageBreak/>
        <w:t>【课程设置】</w:t>
      </w:r>
      <w:r>
        <w:rPr>
          <w:rFonts w:ascii="Tahoma" w:hAnsi="Tahoma" w:cs="Tahoma" w:hint="eastAsia"/>
          <w:color w:val="000000"/>
          <w:szCs w:val="21"/>
          <w:shd w:val="clear" w:color="auto" w:fill="FFFFFF"/>
        </w:rPr>
        <w:t>每年按我校最新“研究生培养方案”及行业趋势调整。</w:t>
      </w:r>
    </w:p>
    <w:p w:rsidR="00FC28E6" w:rsidRDefault="00C95C47">
      <w:pPr>
        <w:widowControl/>
        <w:spacing w:line="380" w:lineRule="atLeast"/>
        <w:ind w:left="6"/>
        <w:jc w:val="left"/>
        <w:rPr>
          <w:rFonts w:ascii="Tahoma" w:hAnsi="Tahoma" w:cs="Tahoma"/>
          <w:color w:val="000000"/>
          <w:szCs w:val="21"/>
          <w:shd w:val="clear" w:color="auto" w:fill="FFFFFF"/>
        </w:rPr>
      </w:pPr>
      <w:r>
        <w:rPr>
          <w:rFonts w:hint="eastAsia"/>
          <w:b/>
          <w:bCs/>
          <w:color w:val="C00000"/>
        </w:rPr>
        <w:t>【学制】</w:t>
      </w:r>
      <w:r>
        <w:rPr>
          <w:rFonts w:ascii="Tahoma" w:hAnsi="Tahoma" w:cs="Tahoma"/>
          <w:color w:val="000000"/>
          <w:szCs w:val="21"/>
          <w:shd w:val="clear" w:color="auto" w:fill="FFFFFF"/>
        </w:rPr>
        <w:t>1.5</w:t>
      </w:r>
      <w:r>
        <w:rPr>
          <w:rFonts w:ascii="Tahoma" w:hAnsi="Tahoma" w:cs="Tahoma" w:hint="eastAsia"/>
          <w:color w:val="000000"/>
          <w:szCs w:val="21"/>
          <w:shd w:val="clear" w:color="auto" w:fill="FFFFFF"/>
        </w:rPr>
        <w:t>年</w:t>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年</w:t>
      </w:r>
    </w:p>
    <w:p w:rsidR="00FC28E6" w:rsidRDefault="00C95C47">
      <w:pPr>
        <w:widowControl/>
        <w:spacing w:line="360" w:lineRule="auto"/>
        <w:ind w:left="6"/>
        <w:jc w:val="left"/>
        <w:rPr>
          <w:rFonts w:ascii="Tahoma" w:hAnsi="Tahoma" w:cs="Tahoma"/>
          <w:color w:val="000000"/>
          <w:szCs w:val="21"/>
          <w:shd w:val="clear" w:color="auto" w:fill="FFFFFF"/>
        </w:rPr>
      </w:pPr>
      <w:r>
        <w:rPr>
          <w:rFonts w:ascii="Tahoma" w:hAnsi="Tahoma" w:cs="Tahoma" w:hint="eastAsia"/>
          <w:b/>
          <w:bCs/>
          <w:color w:val="C00000"/>
          <w:szCs w:val="21"/>
          <w:shd w:val="clear" w:color="auto" w:fill="FFFFFF"/>
        </w:rPr>
        <w:t>【上课方式</w:t>
      </w:r>
      <w:r>
        <w:rPr>
          <w:rFonts w:ascii="Tahoma" w:hAnsi="Tahoma" w:cs="Tahoma" w:hint="eastAsia"/>
          <w:color w:val="C00000"/>
          <w:szCs w:val="21"/>
          <w:shd w:val="clear" w:color="auto" w:fill="FFFFFF"/>
        </w:rPr>
        <w:t>】</w:t>
      </w:r>
      <w:r>
        <w:rPr>
          <w:rFonts w:ascii="Tahoma" w:hAnsi="Tahoma" w:cs="Tahoma" w:hint="eastAsia"/>
          <w:color w:val="000000"/>
          <w:szCs w:val="21"/>
          <w:shd w:val="clear" w:color="auto" w:fill="FFFFFF"/>
        </w:rPr>
        <w:t>周末</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网络远程</w:t>
      </w:r>
    </w:p>
    <w:tbl>
      <w:tblPr>
        <w:tblW w:w="9241" w:type="dxa"/>
        <w:jc w:val="center"/>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90"/>
        <w:gridCol w:w="1685"/>
        <w:gridCol w:w="6366"/>
      </w:tblGrid>
      <w:tr w:rsidR="00FC28E6" w:rsidTr="00EA717D">
        <w:trPr>
          <w:trHeight w:val="432"/>
          <w:jc w:val="center"/>
        </w:trPr>
        <w:tc>
          <w:tcPr>
            <w:tcW w:w="1190" w:type="dxa"/>
            <w:shd w:val="clear" w:color="000000" w:fill="C4BD97"/>
            <w:vAlign w:val="center"/>
          </w:tcPr>
          <w:p w:rsidR="00FC28E6" w:rsidRDefault="00C95C4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模块</w:t>
            </w:r>
          </w:p>
        </w:tc>
        <w:tc>
          <w:tcPr>
            <w:tcW w:w="1685" w:type="dxa"/>
            <w:shd w:val="clear" w:color="000000" w:fill="C4BD97"/>
            <w:vAlign w:val="center"/>
          </w:tcPr>
          <w:p w:rsidR="00FC28E6" w:rsidRDefault="00C95C4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课程科目</w:t>
            </w:r>
          </w:p>
        </w:tc>
        <w:tc>
          <w:tcPr>
            <w:tcW w:w="6366" w:type="dxa"/>
            <w:shd w:val="clear" w:color="000000" w:fill="C4BD97"/>
            <w:vAlign w:val="center"/>
          </w:tcPr>
          <w:p w:rsidR="00FC28E6" w:rsidRDefault="00C95C47">
            <w:pPr>
              <w:widowControl/>
              <w:jc w:val="center"/>
              <w:rPr>
                <w:rFonts w:ascii="宋体" w:eastAsia="宋体" w:hAnsi="宋体" w:cs="宋体"/>
                <w:b/>
                <w:bCs/>
                <w:color w:val="000000"/>
                <w:kern w:val="0"/>
                <w:sz w:val="22"/>
              </w:rPr>
            </w:pPr>
            <w:r>
              <w:rPr>
                <w:b/>
              </w:rPr>
              <w:t>主要内容</w:t>
            </w:r>
            <w:r>
              <w:rPr>
                <w:rFonts w:hint="eastAsia"/>
                <w:b/>
              </w:rPr>
              <w:t>解析</w:t>
            </w:r>
          </w:p>
        </w:tc>
      </w:tr>
      <w:tr w:rsidR="00FC28E6" w:rsidTr="00EA717D">
        <w:trPr>
          <w:trHeight w:val="851"/>
          <w:jc w:val="center"/>
        </w:trPr>
        <w:tc>
          <w:tcPr>
            <w:tcW w:w="1190" w:type="dxa"/>
            <w:vMerge w:val="restart"/>
            <w:shd w:val="clear" w:color="000000" w:fill="C4BD97"/>
            <w:vAlign w:val="center"/>
          </w:tcPr>
          <w:p w:rsidR="00FC28E6" w:rsidRDefault="00C95C47">
            <w:pPr>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专业课模块</w:t>
            </w:r>
          </w:p>
        </w:tc>
        <w:tc>
          <w:tcPr>
            <w:tcW w:w="1685" w:type="dxa"/>
            <w:shd w:val="clear" w:color="000000" w:fill="FFFFFF"/>
            <w:vAlign w:val="center"/>
          </w:tcPr>
          <w:p w:rsidR="00FC28E6" w:rsidRDefault="00C95C47">
            <w:r>
              <w:t>财务会计</w:t>
            </w:r>
          </w:p>
        </w:tc>
        <w:tc>
          <w:tcPr>
            <w:tcW w:w="6366" w:type="dxa"/>
            <w:shd w:val="clear" w:color="auto" w:fill="auto"/>
          </w:tcPr>
          <w:p w:rsidR="00FC28E6" w:rsidRDefault="00C95C47">
            <w:pPr>
              <w:spacing w:line="280" w:lineRule="exact"/>
              <w:rPr>
                <w:sz w:val="20"/>
              </w:rPr>
            </w:pPr>
            <w:r>
              <w:rPr>
                <w:sz w:val="20"/>
              </w:rPr>
              <w:t>财务营运、偿债、获利、发展分析、财务战略与预算</w:t>
            </w:r>
          </w:p>
          <w:p w:rsidR="00FC28E6" w:rsidRDefault="00C95C47">
            <w:pPr>
              <w:spacing w:line="280" w:lineRule="exact"/>
              <w:rPr>
                <w:sz w:val="20"/>
              </w:rPr>
            </w:pPr>
            <w:r>
              <w:rPr>
                <w:sz w:val="20"/>
              </w:rPr>
              <w:t>投资决策原理、实务、公司重组、破产和清算</w:t>
            </w:r>
          </w:p>
          <w:p w:rsidR="00FC28E6" w:rsidRDefault="00C95C47">
            <w:pPr>
              <w:spacing w:line="280" w:lineRule="exact"/>
              <w:rPr>
                <w:sz w:val="20"/>
              </w:rPr>
            </w:pPr>
            <w:r>
              <w:rPr>
                <w:sz w:val="20"/>
              </w:rPr>
              <w:t>公司并购管理、股利理念与政策、短期（长期）筹资管理</w:t>
            </w:r>
          </w:p>
        </w:tc>
      </w:tr>
      <w:tr w:rsidR="00FC28E6" w:rsidTr="00EA717D">
        <w:trPr>
          <w:trHeight w:val="680"/>
          <w:jc w:val="center"/>
        </w:trPr>
        <w:tc>
          <w:tcPr>
            <w:tcW w:w="1190" w:type="dxa"/>
            <w:vMerge/>
            <w:shd w:val="clear" w:color="000000" w:fill="C4BD97"/>
            <w:vAlign w:val="center"/>
          </w:tcPr>
          <w:p w:rsidR="00FC28E6" w:rsidRDefault="00FC28E6">
            <w:pPr>
              <w:rPr>
                <w:rFonts w:ascii="Calibri" w:eastAsia="宋体" w:hAnsi="Calibri" w:cs="Calibri"/>
                <w:b/>
                <w:bCs/>
                <w:color w:val="000000"/>
                <w:kern w:val="0"/>
                <w:szCs w:val="21"/>
              </w:rPr>
            </w:pPr>
          </w:p>
        </w:tc>
        <w:tc>
          <w:tcPr>
            <w:tcW w:w="1685" w:type="dxa"/>
            <w:shd w:val="clear" w:color="auto" w:fill="auto"/>
            <w:vAlign w:val="center"/>
          </w:tcPr>
          <w:p w:rsidR="00FC28E6" w:rsidRDefault="00C95C47">
            <w:r>
              <w:t>涉税会计</w:t>
            </w:r>
          </w:p>
        </w:tc>
        <w:tc>
          <w:tcPr>
            <w:tcW w:w="6366" w:type="dxa"/>
            <w:shd w:val="clear" w:color="auto" w:fill="auto"/>
            <w:vAlign w:val="center"/>
          </w:tcPr>
          <w:p w:rsidR="00FC28E6" w:rsidRDefault="00C95C47">
            <w:pPr>
              <w:spacing w:line="280" w:lineRule="exact"/>
              <w:rPr>
                <w:sz w:val="20"/>
              </w:rPr>
            </w:pPr>
            <w:r>
              <w:rPr>
                <w:sz w:val="20"/>
              </w:rPr>
              <w:t>登记申报、税务登记、纳税申报、税务计算、增值税、企业所得税、个人所得税</w:t>
            </w:r>
          </w:p>
        </w:tc>
      </w:tr>
      <w:tr w:rsidR="00FC28E6" w:rsidTr="00EA717D">
        <w:trPr>
          <w:trHeight w:val="680"/>
          <w:jc w:val="center"/>
        </w:trPr>
        <w:tc>
          <w:tcPr>
            <w:tcW w:w="1190" w:type="dxa"/>
            <w:vMerge/>
            <w:shd w:val="clear" w:color="000000" w:fill="C4BD97"/>
            <w:vAlign w:val="center"/>
          </w:tcPr>
          <w:p w:rsidR="00FC28E6" w:rsidRDefault="00FC28E6">
            <w:pPr>
              <w:jc w:val="center"/>
              <w:rPr>
                <w:rFonts w:ascii="Calibri" w:eastAsia="宋体" w:hAnsi="Calibri" w:cs="Calibri"/>
                <w:b/>
                <w:bCs/>
                <w:color w:val="000000"/>
                <w:kern w:val="0"/>
                <w:szCs w:val="21"/>
              </w:rPr>
            </w:pPr>
          </w:p>
        </w:tc>
        <w:tc>
          <w:tcPr>
            <w:tcW w:w="1685" w:type="dxa"/>
            <w:shd w:val="clear" w:color="auto" w:fill="auto"/>
            <w:vAlign w:val="center"/>
          </w:tcPr>
          <w:p w:rsidR="00FC28E6" w:rsidRDefault="00C95C47">
            <w:r>
              <w:t>审计理论与实务</w:t>
            </w:r>
          </w:p>
        </w:tc>
        <w:tc>
          <w:tcPr>
            <w:tcW w:w="6366" w:type="dxa"/>
            <w:shd w:val="clear" w:color="auto" w:fill="auto"/>
            <w:vAlign w:val="center"/>
          </w:tcPr>
          <w:p w:rsidR="00FC28E6" w:rsidRDefault="00C95C47">
            <w:pPr>
              <w:spacing w:line="280" w:lineRule="exact"/>
              <w:rPr>
                <w:sz w:val="20"/>
              </w:rPr>
            </w:pPr>
            <w:r>
              <w:rPr>
                <w:sz w:val="20"/>
              </w:rPr>
              <w:t>政府审计、内部审计、注册会计师审计；审计的职业道德和法律责任</w:t>
            </w:r>
          </w:p>
          <w:p w:rsidR="00FC28E6" w:rsidRDefault="00C95C47">
            <w:pPr>
              <w:spacing w:line="280" w:lineRule="exact"/>
              <w:rPr>
                <w:sz w:val="20"/>
              </w:rPr>
            </w:pPr>
            <w:r>
              <w:rPr>
                <w:sz w:val="20"/>
              </w:rPr>
              <w:t>审计准则、审计流程、审计计划、审计方法、审计证据、审计实务</w:t>
            </w:r>
          </w:p>
          <w:p w:rsidR="00FC28E6" w:rsidRDefault="00C95C47">
            <w:pPr>
              <w:spacing w:line="280" w:lineRule="exact"/>
              <w:rPr>
                <w:sz w:val="20"/>
              </w:rPr>
            </w:pPr>
            <w:r>
              <w:rPr>
                <w:sz w:val="20"/>
              </w:rPr>
              <w:t xml:space="preserve">审计终结与审计报告、采购与付款循环审计、存货与仓储循环审计　</w:t>
            </w:r>
          </w:p>
          <w:p w:rsidR="00FC28E6" w:rsidRDefault="00C95C47">
            <w:pPr>
              <w:spacing w:line="280" w:lineRule="exact"/>
              <w:rPr>
                <w:sz w:val="20"/>
              </w:rPr>
            </w:pPr>
            <w:r>
              <w:rPr>
                <w:sz w:val="20"/>
              </w:rPr>
              <w:t>投资与筹资循环审计、货币资金审计</w:t>
            </w:r>
          </w:p>
        </w:tc>
      </w:tr>
      <w:tr w:rsidR="00FC28E6" w:rsidTr="00EA717D">
        <w:trPr>
          <w:trHeight w:val="680"/>
          <w:jc w:val="center"/>
        </w:trPr>
        <w:tc>
          <w:tcPr>
            <w:tcW w:w="1190" w:type="dxa"/>
            <w:vMerge/>
            <w:shd w:val="clear" w:color="000000" w:fill="C4BD97"/>
            <w:vAlign w:val="center"/>
          </w:tcPr>
          <w:p w:rsidR="00FC28E6" w:rsidRDefault="00FC28E6">
            <w:pPr>
              <w:jc w:val="center"/>
              <w:rPr>
                <w:rFonts w:ascii="Calibri" w:eastAsia="宋体" w:hAnsi="Calibri" w:cs="Calibri"/>
                <w:b/>
                <w:bCs/>
                <w:color w:val="000000"/>
                <w:kern w:val="0"/>
                <w:szCs w:val="21"/>
              </w:rPr>
            </w:pPr>
          </w:p>
        </w:tc>
        <w:tc>
          <w:tcPr>
            <w:tcW w:w="1685" w:type="dxa"/>
            <w:shd w:val="clear" w:color="auto" w:fill="auto"/>
            <w:vAlign w:val="center"/>
          </w:tcPr>
          <w:p w:rsidR="00FC28E6" w:rsidRDefault="00C95C47">
            <w:r>
              <w:t>税收筹划</w:t>
            </w:r>
          </w:p>
        </w:tc>
        <w:tc>
          <w:tcPr>
            <w:tcW w:w="6366" w:type="dxa"/>
            <w:shd w:val="clear" w:color="auto" w:fill="auto"/>
            <w:vAlign w:val="center"/>
          </w:tcPr>
          <w:p w:rsidR="00FC28E6" w:rsidRDefault="00C95C47">
            <w:pPr>
              <w:spacing w:line="280" w:lineRule="exact"/>
              <w:rPr>
                <w:sz w:val="20"/>
              </w:rPr>
            </w:pPr>
            <w:r>
              <w:rPr>
                <w:sz w:val="20"/>
              </w:rPr>
              <w:t>公司设立的税收筹划、投资融资的税收筹划、物资采购的税收筹划</w:t>
            </w:r>
          </w:p>
          <w:p w:rsidR="00FC28E6" w:rsidRDefault="00C95C47">
            <w:pPr>
              <w:spacing w:line="280" w:lineRule="exact"/>
              <w:rPr>
                <w:sz w:val="20"/>
              </w:rPr>
            </w:pPr>
            <w:r>
              <w:rPr>
                <w:sz w:val="20"/>
              </w:rPr>
              <w:t>生产研发的税收筹划、市场营销的税收筹划、利润分配的税收筹划</w:t>
            </w:r>
          </w:p>
          <w:p w:rsidR="00FC28E6" w:rsidRDefault="00C95C47">
            <w:pPr>
              <w:spacing w:line="280" w:lineRule="exact"/>
              <w:rPr>
                <w:sz w:val="20"/>
              </w:rPr>
            </w:pPr>
            <w:r>
              <w:rPr>
                <w:sz w:val="20"/>
              </w:rPr>
              <w:t>薪酬激励的税收筹划、资本交易的税收筹划、综合税收筹划方案</w:t>
            </w:r>
          </w:p>
        </w:tc>
      </w:tr>
      <w:tr w:rsidR="00FC28E6" w:rsidTr="00EA717D">
        <w:trPr>
          <w:trHeight w:val="680"/>
          <w:jc w:val="center"/>
        </w:trPr>
        <w:tc>
          <w:tcPr>
            <w:tcW w:w="1190" w:type="dxa"/>
            <w:vMerge/>
            <w:shd w:val="clear" w:color="000000" w:fill="C4BD97"/>
            <w:vAlign w:val="center"/>
          </w:tcPr>
          <w:p w:rsidR="00FC28E6" w:rsidRDefault="00FC28E6">
            <w:pPr>
              <w:jc w:val="center"/>
              <w:rPr>
                <w:rFonts w:ascii="Calibri" w:eastAsia="宋体" w:hAnsi="Calibri" w:cs="Calibri"/>
                <w:b/>
                <w:bCs/>
                <w:color w:val="000000"/>
                <w:kern w:val="0"/>
                <w:szCs w:val="21"/>
              </w:rPr>
            </w:pPr>
          </w:p>
        </w:tc>
        <w:tc>
          <w:tcPr>
            <w:tcW w:w="1685" w:type="dxa"/>
            <w:shd w:val="clear" w:color="auto" w:fill="auto"/>
            <w:vAlign w:val="center"/>
          </w:tcPr>
          <w:p w:rsidR="00FC28E6" w:rsidRDefault="00C95C47">
            <w:r>
              <w:t>公司理财与财务报表分析</w:t>
            </w:r>
          </w:p>
        </w:tc>
        <w:tc>
          <w:tcPr>
            <w:tcW w:w="6366" w:type="dxa"/>
            <w:shd w:val="clear" w:color="auto" w:fill="auto"/>
            <w:vAlign w:val="center"/>
          </w:tcPr>
          <w:p w:rsidR="00FC28E6" w:rsidRDefault="00C95C47">
            <w:pPr>
              <w:spacing w:line="280" w:lineRule="exact"/>
              <w:rPr>
                <w:sz w:val="20"/>
              </w:rPr>
            </w:pPr>
            <w:r>
              <w:rPr>
                <w:sz w:val="20"/>
              </w:rPr>
              <w:t>资产负债表、利润表、现金流量表、战略分析、会计分析、财务报表分析的核心问题及评价标准、流动性与偿债能力分析</w:t>
            </w:r>
          </w:p>
          <w:p w:rsidR="00FC28E6" w:rsidRDefault="00C95C47">
            <w:pPr>
              <w:spacing w:line="280" w:lineRule="exact"/>
              <w:rPr>
                <w:sz w:val="20"/>
              </w:rPr>
            </w:pPr>
            <w:r>
              <w:rPr>
                <w:sz w:val="20"/>
              </w:rPr>
              <w:t>章盈利能力与股东权益分析、基于内部管理视角的财务分析、经营者如何分析财务报表、现金流量分析</w:t>
            </w:r>
          </w:p>
          <w:p w:rsidR="00FC28E6" w:rsidRDefault="00C95C47">
            <w:pPr>
              <w:spacing w:line="280" w:lineRule="exact"/>
              <w:rPr>
                <w:sz w:val="20"/>
              </w:rPr>
            </w:pPr>
            <w:r>
              <w:rPr>
                <w:sz w:val="20"/>
              </w:rPr>
              <w:t xml:space="preserve">成本报表分析、可持续增长与证券价值分析　</w:t>
            </w:r>
          </w:p>
        </w:tc>
      </w:tr>
      <w:tr w:rsidR="00FC28E6" w:rsidTr="00EA717D">
        <w:trPr>
          <w:trHeight w:val="680"/>
          <w:jc w:val="center"/>
        </w:trPr>
        <w:tc>
          <w:tcPr>
            <w:tcW w:w="1190" w:type="dxa"/>
            <w:vMerge/>
            <w:shd w:val="clear" w:color="000000" w:fill="C4BD97"/>
            <w:vAlign w:val="center"/>
          </w:tcPr>
          <w:p w:rsidR="00FC28E6" w:rsidRDefault="00FC28E6">
            <w:pPr>
              <w:jc w:val="center"/>
              <w:rPr>
                <w:rFonts w:ascii="Calibri" w:eastAsia="宋体" w:hAnsi="Calibri" w:cs="Calibri"/>
                <w:b/>
                <w:bCs/>
                <w:color w:val="000000"/>
                <w:kern w:val="0"/>
                <w:szCs w:val="21"/>
              </w:rPr>
            </w:pPr>
          </w:p>
        </w:tc>
        <w:tc>
          <w:tcPr>
            <w:tcW w:w="1685" w:type="dxa"/>
            <w:shd w:val="clear" w:color="auto" w:fill="auto"/>
            <w:vAlign w:val="center"/>
          </w:tcPr>
          <w:p w:rsidR="00FC28E6" w:rsidRDefault="00C95C47">
            <w:r>
              <w:t>政府预算</w:t>
            </w:r>
          </w:p>
        </w:tc>
        <w:tc>
          <w:tcPr>
            <w:tcW w:w="6366" w:type="dxa"/>
            <w:shd w:val="clear" w:color="auto" w:fill="auto"/>
            <w:vAlign w:val="center"/>
          </w:tcPr>
          <w:p w:rsidR="00FC28E6" w:rsidRDefault="00C95C47">
            <w:pPr>
              <w:spacing w:line="280" w:lineRule="exact"/>
              <w:rPr>
                <w:sz w:val="20"/>
              </w:rPr>
            </w:pPr>
            <w:r>
              <w:rPr>
                <w:sz w:val="20"/>
              </w:rPr>
              <w:t>政府预算管理体制、政府预算的编制、政府预算的审查与批准</w:t>
            </w:r>
          </w:p>
          <w:p w:rsidR="00FC28E6" w:rsidRDefault="00C95C47">
            <w:pPr>
              <w:spacing w:line="280" w:lineRule="exact"/>
              <w:rPr>
                <w:sz w:val="20"/>
              </w:rPr>
            </w:pPr>
            <w:r>
              <w:rPr>
                <w:sz w:val="20"/>
              </w:rPr>
              <w:t>政府预算的执行、政府决算与财务报告、政府预算绩效管理</w:t>
            </w:r>
          </w:p>
          <w:p w:rsidR="00FC28E6" w:rsidRDefault="00C95C47">
            <w:pPr>
              <w:spacing w:line="280" w:lineRule="exact"/>
              <w:rPr>
                <w:sz w:val="20"/>
              </w:rPr>
            </w:pPr>
            <w:r>
              <w:rPr>
                <w:sz w:val="20"/>
              </w:rPr>
              <w:t>政府预算监督与法治</w:t>
            </w:r>
          </w:p>
        </w:tc>
      </w:tr>
      <w:tr w:rsidR="00FC28E6" w:rsidTr="00EA717D">
        <w:trPr>
          <w:trHeight w:val="680"/>
          <w:jc w:val="center"/>
        </w:trPr>
        <w:tc>
          <w:tcPr>
            <w:tcW w:w="1190" w:type="dxa"/>
            <w:vMerge/>
            <w:shd w:val="clear" w:color="000000" w:fill="C4BD97"/>
            <w:vAlign w:val="center"/>
          </w:tcPr>
          <w:p w:rsidR="00FC28E6" w:rsidRDefault="00FC28E6">
            <w:pPr>
              <w:jc w:val="center"/>
              <w:rPr>
                <w:rFonts w:ascii="Calibri" w:eastAsia="宋体" w:hAnsi="Calibri" w:cs="Calibri"/>
                <w:b/>
                <w:bCs/>
                <w:color w:val="000000"/>
                <w:kern w:val="0"/>
                <w:szCs w:val="21"/>
              </w:rPr>
            </w:pPr>
          </w:p>
        </w:tc>
        <w:tc>
          <w:tcPr>
            <w:tcW w:w="1685" w:type="dxa"/>
            <w:shd w:val="clear" w:color="auto" w:fill="auto"/>
            <w:vAlign w:val="center"/>
          </w:tcPr>
          <w:p w:rsidR="00FC28E6" w:rsidRDefault="00C95C47">
            <w:r>
              <w:rPr>
                <w:rFonts w:hint="eastAsia"/>
              </w:rPr>
              <w:t>融资租赁</w:t>
            </w:r>
          </w:p>
        </w:tc>
        <w:tc>
          <w:tcPr>
            <w:tcW w:w="6366" w:type="dxa"/>
            <w:shd w:val="clear" w:color="auto" w:fill="auto"/>
            <w:vAlign w:val="center"/>
          </w:tcPr>
          <w:p w:rsidR="00FC28E6" w:rsidRDefault="00C95C47">
            <w:pPr>
              <w:spacing w:line="280" w:lineRule="exact"/>
              <w:rPr>
                <w:sz w:val="20"/>
              </w:rPr>
            </w:pPr>
            <w:r>
              <w:rPr>
                <w:rFonts w:hint="eastAsia"/>
                <w:sz w:val="20"/>
              </w:rPr>
              <w:t>融资租赁导论、交易模式、税务制度</w:t>
            </w:r>
          </w:p>
          <w:p w:rsidR="00FC28E6" w:rsidRDefault="00C95C47">
            <w:pPr>
              <w:spacing w:line="280" w:lineRule="exact"/>
              <w:rPr>
                <w:sz w:val="20"/>
              </w:rPr>
            </w:pPr>
            <w:r>
              <w:rPr>
                <w:rFonts w:hint="eastAsia"/>
                <w:sz w:val="20"/>
              </w:rPr>
              <w:t>租赁会计，金融租赁公司经营与管理</w:t>
            </w:r>
          </w:p>
        </w:tc>
      </w:tr>
      <w:tr w:rsidR="00FC28E6" w:rsidTr="00EA717D">
        <w:trPr>
          <w:trHeight w:val="680"/>
          <w:jc w:val="center"/>
        </w:trPr>
        <w:tc>
          <w:tcPr>
            <w:tcW w:w="1190" w:type="dxa"/>
            <w:vMerge/>
            <w:shd w:val="clear" w:color="000000" w:fill="C4BD97"/>
            <w:vAlign w:val="center"/>
          </w:tcPr>
          <w:p w:rsidR="00FC28E6" w:rsidRDefault="00FC28E6">
            <w:pPr>
              <w:widowControl/>
              <w:jc w:val="center"/>
              <w:rPr>
                <w:rFonts w:ascii="Calibri" w:eastAsia="宋体" w:hAnsi="Calibri" w:cs="Calibri"/>
                <w:b/>
                <w:bCs/>
                <w:color w:val="000000"/>
                <w:kern w:val="0"/>
                <w:szCs w:val="21"/>
              </w:rPr>
            </w:pPr>
          </w:p>
        </w:tc>
        <w:tc>
          <w:tcPr>
            <w:tcW w:w="1685" w:type="dxa"/>
            <w:shd w:val="clear" w:color="000000" w:fill="FFFFFF"/>
            <w:vAlign w:val="center"/>
          </w:tcPr>
          <w:p w:rsidR="00FC28E6" w:rsidRDefault="00C95C47">
            <w:r>
              <w:t>税收理论与实践</w:t>
            </w:r>
          </w:p>
        </w:tc>
        <w:tc>
          <w:tcPr>
            <w:tcW w:w="6366" w:type="dxa"/>
            <w:shd w:val="clear" w:color="auto" w:fill="auto"/>
            <w:vAlign w:val="center"/>
          </w:tcPr>
          <w:p w:rsidR="00FC28E6" w:rsidRDefault="00C95C47">
            <w:pPr>
              <w:spacing w:line="280" w:lineRule="exact"/>
              <w:rPr>
                <w:sz w:val="20"/>
              </w:rPr>
            </w:pPr>
            <w:r>
              <w:rPr>
                <w:sz w:val="20"/>
              </w:rPr>
              <w:t>税收分析的意义、税收分析的基本原则、税收分析的常用指标</w:t>
            </w:r>
          </w:p>
          <w:p w:rsidR="00FC28E6" w:rsidRDefault="00C95C47">
            <w:pPr>
              <w:spacing w:line="280" w:lineRule="exact"/>
              <w:rPr>
                <w:sz w:val="20"/>
              </w:rPr>
            </w:pPr>
            <w:r>
              <w:rPr>
                <w:sz w:val="20"/>
              </w:rPr>
              <w:t>国内外税收分析工作的开展情况、宏观税收分析的常用指标</w:t>
            </w:r>
            <w:r>
              <w:rPr>
                <w:sz w:val="20"/>
              </w:rPr>
              <w:t>(</w:t>
            </w:r>
            <w:r>
              <w:rPr>
                <w:sz w:val="20"/>
              </w:rPr>
              <w:t>经济、税收、税收经济关系</w:t>
            </w:r>
            <w:r>
              <w:rPr>
                <w:sz w:val="20"/>
              </w:rPr>
              <w:t>)</w:t>
            </w:r>
            <w:r>
              <w:rPr>
                <w:sz w:val="20"/>
              </w:rPr>
              <w:t>、微观税收分析的常用指标</w:t>
            </w:r>
          </w:p>
        </w:tc>
      </w:tr>
      <w:tr w:rsidR="00FC28E6" w:rsidTr="00EA717D">
        <w:trPr>
          <w:trHeight w:val="680"/>
          <w:jc w:val="center"/>
        </w:trPr>
        <w:tc>
          <w:tcPr>
            <w:tcW w:w="1190" w:type="dxa"/>
            <w:vMerge w:val="restart"/>
            <w:shd w:val="clear" w:color="000000" w:fill="C4BD97"/>
            <w:vAlign w:val="center"/>
          </w:tcPr>
          <w:p w:rsidR="00FC28E6" w:rsidRDefault="00C95C47">
            <w:pPr>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学位课模块</w:t>
            </w:r>
          </w:p>
        </w:tc>
        <w:tc>
          <w:tcPr>
            <w:tcW w:w="1685" w:type="dxa"/>
            <w:shd w:val="clear" w:color="000000" w:fill="FFFFFF"/>
            <w:vAlign w:val="center"/>
          </w:tcPr>
          <w:p w:rsidR="00FC28E6" w:rsidRDefault="00C95C47">
            <w:r>
              <w:t>西方经济学</w:t>
            </w:r>
          </w:p>
        </w:tc>
        <w:tc>
          <w:tcPr>
            <w:tcW w:w="6366" w:type="dxa"/>
            <w:shd w:val="clear" w:color="auto" w:fill="auto"/>
            <w:vAlign w:val="center"/>
          </w:tcPr>
          <w:p w:rsidR="00FC28E6" w:rsidRDefault="00C95C47">
            <w:pPr>
              <w:spacing w:line="280" w:lineRule="exact"/>
              <w:rPr>
                <w:sz w:val="20"/>
              </w:rPr>
            </w:pPr>
            <w:r>
              <w:rPr>
                <w:sz w:val="20"/>
              </w:rPr>
              <w:t>需求、供给和均衡价格、消费者的选择、成本、完全竞争市场、不完全竞争的市场</w:t>
            </w:r>
          </w:p>
        </w:tc>
      </w:tr>
      <w:tr w:rsidR="00FC28E6" w:rsidTr="00EA717D">
        <w:trPr>
          <w:trHeight w:val="680"/>
          <w:jc w:val="center"/>
        </w:trPr>
        <w:tc>
          <w:tcPr>
            <w:tcW w:w="1190" w:type="dxa"/>
            <w:vMerge/>
            <w:shd w:val="clear" w:color="000000" w:fill="C4BD97"/>
            <w:vAlign w:val="center"/>
          </w:tcPr>
          <w:p w:rsidR="00FC28E6" w:rsidRDefault="00FC28E6">
            <w:pPr>
              <w:jc w:val="center"/>
              <w:rPr>
                <w:rFonts w:ascii="Calibri" w:eastAsia="宋体" w:hAnsi="Calibri" w:cs="Calibri"/>
                <w:b/>
                <w:bCs/>
                <w:color w:val="000000"/>
                <w:kern w:val="0"/>
                <w:szCs w:val="21"/>
              </w:rPr>
            </w:pPr>
          </w:p>
        </w:tc>
        <w:tc>
          <w:tcPr>
            <w:tcW w:w="1685" w:type="dxa"/>
            <w:shd w:val="clear" w:color="000000" w:fill="FFFFFF"/>
            <w:vAlign w:val="center"/>
          </w:tcPr>
          <w:p w:rsidR="00FC28E6" w:rsidRDefault="00C95C47">
            <w:r>
              <w:t>国际经济学</w:t>
            </w:r>
          </w:p>
        </w:tc>
        <w:tc>
          <w:tcPr>
            <w:tcW w:w="6366" w:type="dxa"/>
            <w:shd w:val="clear" w:color="auto" w:fill="auto"/>
            <w:vAlign w:val="center"/>
          </w:tcPr>
          <w:p w:rsidR="00FC28E6" w:rsidRDefault="00C95C47">
            <w:pPr>
              <w:spacing w:line="280" w:lineRule="exact"/>
              <w:rPr>
                <w:sz w:val="20"/>
              </w:rPr>
            </w:pPr>
            <w:r>
              <w:rPr>
                <w:sz w:val="20"/>
              </w:rPr>
              <w:t>区域贸易、跨国企业、关税、双重关税、补贴、倾销</w:t>
            </w:r>
          </w:p>
          <w:p w:rsidR="00FC28E6" w:rsidRDefault="00C95C47">
            <w:pPr>
              <w:spacing w:line="280" w:lineRule="exact"/>
              <w:rPr>
                <w:sz w:val="20"/>
              </w:rPr>
            </w:pPr>
            <w:r>
              <w:rPr>
                <w:sz w:val="20"/>
              </w:rPr>
              <w:t>反倾销、贸易法规与产业政策、外汇、汇率、储备、债务和风险</w:t>
            </w:r>
          </w:p>
        </w:tc>
      </w:tr>
      <w:tr w:rsidR="00FC28E6" w:rsidTr="00EA717D">
        <w:trPr>
          <w:trHeight w:val="680"/>
          <w:jc w:val="center"/>
        </w:trPr>
        <w:tc>
          <w:tcPr>
            <w:tcW w:w="1190" w:type="dxa"/>
            <w:vMerge/>
            <w:shd w:val="clear" w:color="000000" w:fill="C4BD97"/>
            <w:vAlign w:val="center"/>
          </w:tcPr>
          <w:p w:rsidR="00FC28E6" w:rsidRDefault="00FC28E6">
            <w:pPr>
              <w:jc w:val="center"/>
              <w:rPr>
                <w:rFonts w:ascii="Calibri" w:eastAsia="宋体" w:hAnsi="Calibri" w:cs="Calibri"/>
                <w:b/>
                <w:bCs/>
                <w:color w:val="000000"/>
                <w:kern w:val="0"/>
                <w:szCs w:val="21"/>
              </w:rPr>
            </w:pPr>
          </w:p>
        </w:tc>
        <w:tc>
          <w:tcPr>
            <w:tcW w:w="1685" w:type="dxa"/>
            <w:shd w:val="clear" w:color="000000" w:fill="FFFFFF"/>
            <w:vAlign w:val="center"/>
          </w:tcPr>
          <w:p w:rsidR="00FC28E6" w:rsidRDefault="00C95C47">
            <w:r>
              <w:t>财政学</w:t>
            </w:r>
          </w:p>
        </w:tc>
        <w:tc>
          <w:tcPr>
            <w:tcW w:w="6366" w:type="dxa"/>
            <w:shd w:val="clear" w:color="auto" w:fill="auto"/>
            <w:vAlign w:val="center"/>
          </w:tcPr>
          <w:p w:rsidR="00FC28E6" w:rsidRDefault="00C95C47">
            <w:pPr>
              <w:spacing w:line="280" w:lineRule="exact"/>
              <w:rPr>
                <w:sz w:val="20"/>
              </w:rPr>
            </w:pPr>
            <w:r>
              <w:rPr>
                <w:sz w:val="20"/>
              </w:rPr>
              <w:t>财政支出、财政收入和税收</w:t>
            </w:r>
          </w:p>
          <w:p w:rsidR="00FC28E6" w:rsidRDefault="00C95C47">
            <w:pPr>
              <w:spacing w:line="280" w:lineRule="exact"/>
              <w:rPr>
                <w:sz w:val="20"/>
              </w:rPr>
            </w:pPr>
            <w:r>
              <w:rPr>
                <w:sz w:val="20"/>
              </w:rPr>
              <w:t>税收的经济效应、税收改革、现行税收制度</w:t>
            </w:r>
          </w:p>
          <w:p w:rsidR="00FC28E6" w:rsidRDefault="00C95C47">
            <w:pPr>
              <w:spacing w:line="280" w:lineRule="exact"/>
              <w:rPr>
                <w:sz w:val="20"/>
              </w:rPr>
            </w:pPr>
            <w:r>
              <w:rPr>
                <w:sz w:val="20"/>
              </w:rPr>
              <w:t>国债、地方性债务、国家预算、财政政策、</w:t>
            </w:r>
          </w:p>
        </w:tc>
      </w:tr>
      <w:tr w:rsidR="00FC28E6" w:rsidTr="00EA717D">
        <w:trPr>
          <w:trHeight w:val="680"/>
          <w:jc w:val="center"/>
        </w:trPr>
        <w:tc>
          <w:tcPr>
            <w:tcW w:w="1190" w:type="dxa"/>
            <w:vMerge/>
            <w:shd w:val="clear" w:color="000000" w:fill="C4BD97"/>
            <w:vAlign w:val="center"/>
          </w:tcPr>
          <w:p w:rsidR="00FC28E6" w:rsidRDefault="00FC28E6">
            <w:pPr>
              <w:jc w:val="center"/>
              <w:rPr>
                <w:rFonts w:ascii="Calibri" w:eastAsia="宋体" w:hAnsi="Calibri" w:cs="Calibri"/>
                <w:b/>
                <w:bCs/>
                <w:color w:val="000000"/>
                <w:kern w:val="0"/>
                <w:szCs w:val="21"/>
              </w:rPr>
            </w:pPr>
          </w:p>
        </w:tc>
        <w:tc>
          <w:tcPr>
            <w:tcW w:w="1685" w:type="dxa"/>
            <w:shd w:val="clear" w:color="000000" w:fill="FFFFFF"/>
            <w:vAlign w:val="center"/>
          </w:tcPr>
          <w:p w:rsidR="00FC28E6" w:rsidRDefault="00C95C47">
            <w:r>
              <w:t>货币银行学</w:t>
            </w:r>
          </w:p>
        </w:tc>
        <w:tc>
          <w:tcPr>
            <w:tcW w:w="6366" w:type="dxa"/>
            <w:shd w:val="clear" w:color="auto" w:fill="auto"/>
            <w:vAlign w:val="center"/>
          </w:tcPr>
          <w:p w:rsidR="00FC28E6" w:rsidRDefault="00C95C47">
            <w:pPr>
              <w:spacing w:line="280" w:lineRule="exact"/>
              <w:rPr>
                <w:sz w:val="20"/>
              </w:rPr>
            </w:pPr>
            <w:r>
              <w:rPr>
                <w:sz w:val="20"/>
              </w:rPr>
              <w:t>信用与金融市场、金融工具、中央银行与货币政策</w:t>
            </w:r>
          </w:p>
          <w:p w:rsidR="00FC28E6" w:rsidRDefault="00C95C47">
            <w:pPr>
              <w:spacing w:line="280" w:lineRule="exact"/>
              <w:rPr>
                <w:sz w:val="20"/>
              </w:rPr>
            </w:pPr>
            <w:r>
              <w:rPr>
                <w:sz w:val="20"/>
              </w:rPr>
              <w:t>金融中介与金融机构、利息与利率、商业银行与存款创造、货币供给、需求、通货膨胀与紧缩、国际货币与国际金融体系、国际收支与经济均衡</w:t>
            </w:r>
          </w:p>
        </w:tc>
      </w:tr>
      <w:tr w:rsidR="00FC28E6" w:rsidTr="00EA717D">
        <w:trPr>
          <w:trHeight w:val="680"/>
          <w:jc w:val="center"/>
        </w:trPr>
        <w:tc>
          <w:tcPr>
            <w:tcW w:w="1190" w:type="dxa"/>
            <w:vMerge/>
            <w:shd w:val="clear" w:color="000000" w:fill="C4BD97"/>
            <w:vAlign w:val="center"/>
          </w:tcPr>
          <w:p w:rsidR="00FC28E6" w:rsidRDefault="00FC28E6">
            <w:pPr>
              <w:widowControl/>
              <w:jc w:val="center"/>
              <w:rPr>
                <w:rFonts w:ascii="Calibri" w:eastAsia="宋体" w:hAnsi="Calibri" w:cs="Calibri"/>
                <w:b/>
                <w:bCs/>
                <w:color w:val="000000"/>
                <w:kern w:val="0"/>
                <w:szCs w:val="21"/>
              </w:rPr>
            </w:pPr>
          </w:p>
        </w:tc>
        <w:tc>
          <w:tcPr>
            <w:tcW w:w="1685" w:type="dxa"/>
            <w:shd w:val="clear" w:color="000000" w:fill="FFFFFF"/>
            <w:vAlign w:val="center"/>
          </w:tcPr>
          <w:p w:rsidR="00FC28E6" w:rsidRDefault="00C95C47">
            <w:r>
              <w:t>社会主义经济理论</w:t>
            </w:r>
          </w:p>
        </w:tc>
        <w:tc>
          <w:tcPr>
            <w:tcW w:w="6366" w:type="dxa"/>
            <w:shd w:val="clear" w:color="auto" w:fill="auto"/>
            <w:vAlign w:val="center"/>
          </w:tcPr>
          <w:p w:rsidR="00FC28E6" w:rsidRDefault="00C95C47">
            <w:pPr>
              <w:spacing w:line="280" w:lineRule="exact"/>
              <w:rPr>
                <w:sz w:val="20"/>
              </w:rPr>
            </w:pPr>
            <w:r>
              <w:rPr>
                <w:rFonts w:hint="eastAsia"/>
                <w:sz w:val="20"/>
              </w:rPr>
              <w:t>社会主义企业制度与国有企业改革、国有企业治理结构的创新、分配制度、经济结构调整、对外经济关系、政府调节</w:t>
            </w:r>
          </w:p>
        </w:tc>
      </w:tr>
    </w:tbl>
    <w:p w:rsidR="00FC28E6" w:rsidRDefault="00C95C47">
      <w:pPr>
        <w:widowControl/>
        <w:jc w:val="left"/>
        <w:rPr>
          <w:rFonts w:ascii="Tahoma" w:hAnsi="Tahoma" w:cs="Tahoma"/>
          <w:b/>
          <w:color w:val="000000"/>
          <w:szCs w:val="21"/>
          <w:shd w:val="clear" w:color="auto" w:fill="FFFFFF"/>
        </w:rPr>
      </w:pPr>
      <w:r>
        <w:rPr>
          <w:rFonts w:ascii="Tahoma" w:hAnsi="Tahoma" w:cs="Tahoma" w:hint="eastAsia"/>
          <w:b/>
          <w:color w:val="000000"/>
          <w:szCs w:val="21"/>
          <w:shd w:val="clear" w:color="auto" w:fill="FFFFFF"/>
        </w:rPr>
        <w:t>备注：课程设置将根据培养方案做适当调整</w:t>
      </w:r>
    </w:p>
    <w:p w:rsidR="00FC28E6" w:rsidRDefault="00FC28E6">
      <w:pPr>
        <w:widowControl/>
        <w:jc w:val="left"/>
        <w:rPr>
          <w:rFonts w:ascii="Tahoma" w:hAnsi="Tahoma" w:cs="Tahoma"/>
          <w:b/>
          <w:color w:val="000000"/>
          <w:szCs w:val="21"/>
          <w:shd w:val="clear" w:color="auto" w:fill="FFFFFF"/>
        </w:rPr>
      </w:pPr>
    </w:p>
    <w:p w:rsidR="00FC28E6" w:rsidRDefault="00C95C47">
      <w:pPr>
        <w:pStyle w:val="a9"/>
        <w:widowControl/>
        <w:spacing w:line="540" w:lineRule="atLeast"/>
        <w:ind w:firstLineChars="0" w:firstLine="0"/>
        <w:jc w:val="left"/>
        <w:rPr>
          <w:b/>
          <w:bCs/>
          <w:color w:val="C00000"/>
        </w:rPr>
      </w:pPr>
      <w:r>
        <w:rPr>
          <w:rFonts w:hint="eastAsia"/>
          <w:b/>
          <w:bCs/>
          <w:color w:val="C00000"/>
        </w:rPr>
        <w:lastRenderedPageBreak/>
        <w:t>【申请入学】</w:t>
      </w:r>
    </w:p>
    <w:p w:rsidR="00FC28E6" w:rsidRDefault="00C95C47">
      <w:pPr>
        <w:pStyle w:val="a9"/>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大专及以上学历在职人员</w:t>
      </w:r>
    </w:p>
    <w:p w:rsidR="00FC28E6" w:rsidRDefault="00C95C47">
      <w:pPr>
        <w:pStyle w:val="a9"/>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填写入学就读申请表</w:t>
      </w:r>
    </w:p>
    <w:p w:rsidR="00FC28E6" w:rsidRDefault="00C95C47">
      <w:pPr>
        <w:pStyle w:val="a9"/>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最高学历、学位证书复印件各</w:t>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份</w:t>
      </w:r>
    </w:p>
    <w:p w:rsidR="00FC28E6" w:rsidRDefault="00C95C47">
      <w:pPr>
        <w:pStyle w:val="a9"/>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身份证复印件</w:t>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份（中国学生）</w:t>
      </w:r>
      <w:r>
        <w:rPr>
          <w:rFonts w:ascii="Tahoma" w:hAnsi="Tahoma" w:cs="Tahoma"/>
          <w:color w:val="000000"/>
          <w:szCs w:val="21"/>
          <w:shd w:val="clear" w:color="auto" w:fill="FFFFFF"/>
        </w:rPr>
        <w:t>/</w:t>
      </w:r>
      <w:r>
        <w:rPr>
          <w:rFonts w:ascii="Tahoma" w:hAnsi="Tahoma" w:cs="Tahoma" w:hint="eastAsia"/>
          <w:color w:val="000000"/>
          <w:szCs w:val="21"/>
          <w:shd w:val="clear" w:color="auto" w:fill="FFFFFF"/>
        </w:rPr>
        <w:t>护照复印件</w:t>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份（国际学生）</w:t>
      </w:r>
    </w:p>
    <w:p w:rsidR="00FC28E6" w:rsidRDefault="00C95C47">
      <w:pPr>
        <w:pStyle w:val="a9"/>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color w:val="000000"/>
          <w:szCs w:val="21"/>
          <w:shd w:val="clear" w:color="auto" w:fill="FFFFFF"/>
        </w:rPr>
        <w:t>1</w:t>
      </w:r>
      <w:r>
        <w:rPr>
          <w:rFonts w:ascii="Tahoma" w:hAnsi="Tahoma" w:cs="Tahoma" w:hint="eastAsia"/>
          <w:color w:val="000000"/>
          <w:szCs w:val="21"/>
          <w:shd w:val="clear" w:color="auto" w:fill="FFFFFF"/>
        </w:rPr>
        <w:t>寸免冠彩照</w:t>
      </w:r>
      <w:r>
        <w:rPr>
          <w:rFonts w:ascii="Tahoma" w:hAnsi="Tahoma" w:cs="Tahoma"/>
          <w:color w:val="000000"/>
          <w:szCs w:val="21"/>
          <w:shd w:val="clear" w:color="auto" w:fill="FFFFFF"/>
        </w:rPr>
        <w:t>5</w:t>
      </w:r>
      <w:r>
        <w:rPr>
          <w:rFonts w:ascii="Tahoma" w:hAnsi="Tahoma" w:cs="Tahoma" w:hint="eastAsia"/>
          <w:color w:val="000000"/>
          <w:szCs w:val="21"/>
          <w:shd w:val="clear" w:color="auto" w:fill="FFFFFF"/>
        </w:rPr>
        <w:t>张，</w:t>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寸免冠彩照</w:t>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张（蓝白底均可）</w:t>
      </w:r>
    </w:p>
    <w:p w:rsidR="00FC28E6" w:rsidRDefault="00C95C47">
      <w:pPr>
        <w:pStyle w:val="a9"/>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学费</w:t>
      </w:r>
      <w:r>
        <w:rPr>
          <w:rFonts w:ascii="Tahoma" w:hAnsi="Tahoma" w:cs="Tahoma"/>
          <w:color w:val="000000"/>
          <w:szCs w:val="21"/>
          <w:shd w:val="clear" w:color="auto" w:fill="FFFFFF"/>
        </w:rPr>
        <w:t>20000</w:t>
      </w:r>
      <w:r>
        <w:rPr>
          <w:rFonts w:ascii="Tahoma" w:hAnsi="Tahoma" w:cs="Tahoma" w:hint="eastAsia"/>
          <w:color w:val="000000"/>
          <w:szCs w:val="21"/>
          <w:shd w:val="clear" w:color="auto" w:fill="FFFFFF"/>
        </w:rPr>
        <w:t>元</w:t>
      </w:r>
      <w:r>
        <w:rPr>
          <w:rFonts w:ascii="Tahoma" w:hAnsi="Tahoma" w:cs="Tahoma" w:hint="eastAsia"/>
          <w:color w:val="000000"/>
          <w:szCs w:val="21"/>
          <w:shd w:val="clear" w:color="auto" w:fill="FFFFFF"/>
        </w:rPr>
        <w:t>/</w:t>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年，报名费</w:t>
      </w:r>
      <w:r>
        <w:rPr>
          <w:rFonts w:ascii="Tahoma" w:hAnsi="Tahoma" w:cs="Tahoma"/>
          <w:color w:val="000000"/>
          <w:szCs w:val="21"/>
          <w:shd w:val="clear" w:color="auto" w:fill="FFFFFF"/>
        </w:rPr>
        <w:t>200</w:t>
      </w:r>
      <w:r>
        <w:rPr>
          <w:rFonts w:ascii="Tahoma" w:hAnsi="Tahoma" w:cs="Tahoma" w:hint="eastAsia"/>
          <w:color w:val="000000"/>
          <w:szCs w:val="21"/>
          <w:shd w:val="clear" w:color="auto" w:fill="FFFFFF"/>
        </w:rPr>
        <w:t>元。</w:t>
      </w:r>
    </w:p>
    <w:p w:rsidR="00FC28E6" w:rsidRDefault="00C95C47">
      <w:pPr>
        <w:spacing w:line="440" w:lineRule="exact"/>
        <w:rPr>
          <w:b/>
          <w:color w:val="C00000"/>
          <w:szCs w:val="21"/>
        </w:rPr>
      </w:pPr>
      <w:r>
        <w:rPr>
          <w:rFonts w:hint="eastAsia"/>
          <w:b/>
          <w:color w:val="C00000"/>
          <w:szCs w:val="21"/>
        </w:rPr>
        <w:t>【证书授予】</w:t>
      </w:r>
    </w:p>
    <w:p w:rsidR="00FC28E6" w:rsidRDefault="00C95C47">
      <w:pPr>
        <w:widowControl/>
        <w:spacing w:line="440" w:lineRule="exact"/>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按照国务院学位委员会（</w:t>
      </w:r>
      <w:r>
        <w:rPr>
          <w:rFonts w:ascii="Tahoma" w:hAnsi="Tahoma" w:cs="Tahoma"/>
          <w:color w:val="000000"/>
          <w:szCs w:val="21"/>
          <w:shd w:val="clear" w:color="auto" w:fill="FFFFFF"/>
        </w:rPr>
        <w:t>1998</w:t>
      </w:r>
      <w:r>
        <w:rPr>
          <w:rFonts w:ascii="Tahoma" w:hAnsi="Tahoma" w:cs="Tahoma" w:hint="eastAsia"/>
          <w:color w:val="000000"/>
          <w:szCs w:val="21"/>
          <w:shd w:val="clear" w:color="auto" w:fill="FFFFFF"/>
        </w:rPr>
        <w:t>）</w:t>
      </w:r>
      <w:r>
        <w:rPr>
          <w:rFonts w:ascii="Tahoma" w:hAnsi="Tahoma" w:cs="Tahoma"/>
          <w:color w:val="000000"/>
          <w:szCs w:val="21"/>
          <w:shd w:val="clear" w:color="auto" w:fill="FFFFFF"/>
        </w:rPr>
        <w:t>54</w:t>
      </w:r>
      <w:r>
        <w:rPr>
          <w:rFonts w:ascii="Tahoma" w:hAnsi="Tahoma" w:cs="Tahoma" w:hint="eastAsia"/>
          <w:color w:val="000000"/>
          <w:szCs w:val="21"/>
          <w:shd w:val="clear" w:color="auto" w:fill="FFFFFF"/>
        </w:rPr>
        <w:t>号文件及首都经济贸易大学《关于在职人员以研究生同等学力申请硕士学位工作实施细则》有关规定：</w:t>
      </w:r>
    </w:p>
    <w:p w:rsidR="00FC28E6" w:rsidRDefault="00C95C47">
      <w:pPr>
        <w:spacing w:line="440" w:lineRule="exact"/>
        <w:rPr>
          <w:b/>
          <w:szCs w:val="21"/>
        </w:rPr>
      </w:pPr>
      <w:r>
        <w:rPr>
          <w:rFonts w:ascii="Tahoma" w:hAnsi="Tahoma" w:cs="Tahoma"/>
          <w:color w:val="000000"/>
          <w:szCs w:val="21"/>
          <w:shd w:val="clear" w:color="auto" w:fill="FFFFFF"/>
        </w:rPr>
        <w:t>1</w:t>
      </w:r>
      <w:r>
        <w:rPr>
          <w:rFonts w:ascii="Tahoma" w:hAnsi="Tahoma" w:cs="Tahoma" w:hint="eastAsia"/>
          <w:color w:val="000000"/>
          <w:szCs w:val="21"/>
          <w:shd w:val="clear" w:color="auto" w:fill="FFFFFF"/>
        </w:rPr>
        <w:t>、学完规定课程并考试合格，由首都经济贸易大学研究生院颁发财政学专业</w:t>
      </w:r>
      <w:r>
        <w:rPr>
          <w:rFonts w:ascii="Tahoma" w:hAnsi="Tahoma" w:cs="Tahoma" w:hint="eastAsia"/>
          <w:b/>
          <w:bCs/>
          <w:color w:val="000000"/>
          <w:szCs w:val="21"/>
          <w:shd w:val="clear" w:color="auto" w:fill="FFFFFF"/>
        </w:rPr>
        <w:t>《高级课程研修班》结业证书</w:t>
      </w:r>
      <w:r>
        <w:rPr>
          <w:rFonts w:ascii="Tahoma" w:hAnsi="Tahoma" w:cs="Tahoma" w:hint="eastAsia"/>
          <w:color w:val="000000"/>
          <w:szCs w:val="21"/>
          <w:shd w:val="clear" w:color="auto" w:fill="FFFFFF"/>
        </w:rPr>
        <w:t>；</w:t>
      </w:r>
    </w:p>
    <w:p w:rsidR="00FC28E6" w:rsidRDefault="00C95C47">
      <w:pPr>
        <w:widowControl/>
        <w:spacing w:line="440" w:lineRule="exact"/>
        <w:jc w:val="left"/>
        <w:rPr>
          <w:rFonts w:ascii="Tahoma" w:hAnsi="Tahoma" w:cs="Tahoma"/>
          <w:color w:val="000000"/>
          <w:szCs w:val="21"/>
          <w:shd w:val="clear" w:color="auto" w:fill="FFFFFF"/>
        </w:rPr>
      </w:pPr>
      <w:r>
        <w:rPr>
          <w:rFonts w:ascii="Tahoma" w:hAnsi="Tahoma" w:cs="Tahoma"/>
          <w:color w:val="000000"/>
          <w:szCs w:val="21"/>
          <w:shd w:val="clear" w:color="auto" w:fill="FFFFFF"/>
        </w:rPr>
        <w:t>2</w:t>
      </w:r>
      <w:r>
        <w:rPr>
          <w:rFonts w:ascii="Tahoma" w:hAnsi="Tahoma" w:cs="Tahoma" w:hint="eastAsia"/>
          <w:color w:val="000000"/>
          <w:szCs w:val="21"/>
          <w:shd w:val="clear" w:color="auto" w:fill="FFFFFF"/>
        </w:rPr>
        <w:t>、同等学力硕士申请有关规定：符合条件的学员，有资格申请同等学力硕士学位，获得</w:t>
      </w:r>
      <w:r>
        <w:rPr>
          <w:rFonts w:ascii="Tahoma" w:hAnsi="Tahoma" w:cs="Tahoma" w:hint="eastAsia"/>
          <w:b/>
          <w:bCs/>
          <w:color w:val="000000"/>
          <w:szCs w:val="21"/>
          <w:shd w:val="clear" w:color="auto" w:fill="FFFFFF"/>
        </w:rPr>
        <w:t>首都经济贸易大学财政学专业经济学硕士学位证书</w:t>
      </w:r>
      <w:r>
        <w:rPr>
          <w:rFonts w:ascii="Tahoma" w:hAnsi="Tahoma" w:cs="Tahoma" w:hint="eastAsia"/>
          <w:color w:val="000000"/>
          <w:szCs w:val="21"/>
          <w:shd w:val="clear" w:color="auto" w:fill="FFFFFF"/>
        </w:rPr>
        <w:t>。</w:t>
      </w:r>
    </w:p>
    <w:p w:rsidR="00FC28E6" w:rsidRDefault="00C95C47">
      <w:pPr>
        <w:pStyle w:val="a9"/>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通过研究生院五门校考；</w:t>
      </w:r>
    </w:p>
    <w:p w:rsidR="00FC28E6" w:rsidRDefault="00C95C47">
      <w:pPr>
        <w:pStyle w:val="a9"/>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通过国家</w:t>
      </w:r>
      <w:r>
        <w:rPr>
          <w:rFonts w:ascii="Tahoma" w:hAnsi="Tahoma" w:cs="Tahoma"/>
          <w:color w:val="000000"/>
          <w:szCs w:val="21"/>
          <w:shd w:val="clear" w:color="auto" w:fill="FFFFFF"/>
        </w:rPr>
        <w:t>5</w:t>
      </w:r>
      <w:r>
        <w:rPr>
          <w:rFonts w:ascii="Tahoma" w:hAnsi="Tahoma" w:cs="Tahoma" w:hint="eastAsia"/>
          <w:color w:val="000000"/>
          <w:szCs w:val="21"/>
          <w:shd w:val="clear" w:color="auto" w:fill="FFFFFF"/>
        </w:rPr>
        <w:t>月同等学力两科（外语、专业综合）统一联考；</w:t>
      </w:r>
    </w:p>
    <w:p w:rsidR="00FC28E6" w:rsidRDefault="00C95C47">
      <w:pPr>
        <w:pStyle w:val="a9"/>
        <w:widowControl/>
        <w:numPr>
          <w:ilvl w:val="0"/>
          <w:numId w:val="2"/>
        </w:numPr>
        <w:spacing w:line="440" w:lineRule="exact"/>
        <w:ind w:firstLineChars="0"/>
        <w:jc w:val="left"/>
        <w:rPr>
          <w:rFonts w:ascii="Tahoma" w:hAnsi="Tahoma" w:cs="Tahoma"/>
          <w:color w:val="000000"/>
          <w:szCs w:val="21"/>
          <w:shd w:val="clear" w:color="auto" w:fill="FFFFFF"/>
        </w:rPr>
      </w:pPr>
      <w:r>
        <w:rPr>
          <w:rFonts w:ascii="宋体" w:eastAsia="宋体" w:hAnsi="宋体" w:cs="宋体" w:hint="eastAsia"/>
          <w:color w:val="000000"/>
          <w:szCs w:val="21"/>
          <w:shd w:val="clear" w:color="auto" w:fill="FFFFFF"/>
        </w:rPr>
        <w:t>撰写硕士论文并</w:t>
      </w:r>
      <w:r>
        <w:rPr>
          <w:rFonts w:ascii="Tahoma" w:hAnsi="Tahoma" w:cs="Tahoma" w:hint="eastAsia"/>
          <w:color w:val="000000"/>
          <w:szCs w:val="21"/>
          <w:shd w:val="clear" w:color="auto" w:fill="FFFFFF"/>
        </w:rPr>
        <w:t>通过答辩。</w:t>
      </w:r>
    </w:p>
    <w:p w:rsidR="00FC28E6" w:rsidRDefault="00A24930">
      <w:pPr>
        <w:pStyle w:val="a9"/>
        <w:widowControl/>
        <w:spacing w:line="440" w:lineRule="exact"/>
        <w:ind w:left="360"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w:t>
      </w:r>
      <w:r w:rsidR="00C95C47">
        <w:rPr>
          <w:rFonts w:ascii="Tahoma" w:hAnsi="Tahoma" w:cs="Tahoma" w:hint="eastAsia"/>
          <w:color w:val="000000"/>
          <w:szCs w:val="21"/>
          <w:shd w:val="clear" w:color="auto" w:fill="FFFFFF"/>
        </w:rPr>
        <w:t>国家教育部学位网网址</w:t>
      </w:r>
      <w:r w:rsidR="00C95C47">
        <w:rPr>
          <w:rFonts w:hAnsi="Tahoma" w:cs="Tahoma"/>
          <w:color w:val="000000"/>
          <w:szCs w:val="21"/>
          <w:shd w:val="clear" w:color="auto" w:fill="FFFFFF"/>
        </w:rPr>
        <w:t>http://www.cdgdc.edu.cn</w:t>
      </w:r>
      <w:r>
        <w:rPr>
          <w:rFonts w:ascii="Tahoma" w:hAnsi="Tahoma" w:cs="Tahoma" w:hint="eastAsia"/>
          <w:color w:val="000000"/>
          <w:szCs w:val="21"/>
          <w:shd w:val="clear" w:color="auto" w:fill="FFFFFF"/>
        </w:rPr>
        <w:t>统一可查询）</w:t>
      </w:r>
    </w:p>
    <w:p w:rsidR="00FC28E6" w:rsidRDefault="00C95C47">
      <w:pPr>
        <w:widowControl/>
        <w:spacing w:line="440" w:lineRule="atLeast"/>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t>【汇款学校对公账号信息】</w:t>
      </w:r>
    </w:p>
    <w:p w:rsidR="00FC28E6" w:rsidRPr="00A24930" w:rsidRDefault="00C95C47">
      <w:pPr>
        <w:widowControl/>
        <w:spacing w:line="440" w:lineRule="atLeast"/>
        <w:jc w:val="left"/>
        <w:rPr>
          <w:rFonts w:ascii="Tahoma" w:hAnsi="Tahoma" w:cs="Tahoma"/>
          <w:color w:val="000000"/>
          <w:szCs w:val="21"/>
          <w:shd w:val="clear" w:color="auto" w:fill="FFFFFF"/>
        </w:rPr>
      </w:pPr>
      <w:r w:rsidRPr="00A24930">
        <w:rPr>
          <w:rFonts w:ascii="Tahoma" w:hAnsi="Tahoma" w:cs="Tahoma" w:hint="eastAsia"/>
          <w:bCs/>
          <w:color w:val="000000"/>
          <w:szCs w:val="21"/>
          <w:shd w:val="clear" w:color="auto" w:fill="FFFFFF"/>
        </w:rPr>
        <w:t>户</w:t>
      </w:r>
      <w:r w:rsidRPr="00A24930">
        <w:rPr>
          <w:rFonts w:ascii="Tahoma" w:hAnsi="Tahoma" w:cs="Tahoma"/>
          <w:bCs/>
          <w:color w:val="000000"/>
          <w:szCs w:val="21"/>
          <w:shd w:val="clear" w:color="auto" w:fill="FFFFFF"/>
        </w:rPr>
        <w:t>    </w:t>
      </w:r>
      <w:r w:rsidRPr="00A24930">
        <w:rPr>
          <w:rFonts w:ascii="Tahoma" w:hAnsi="Tahoma" w:cs="Tahoma" w:hint="eastAsia"/>
          <w:bCs/>
          <w:color w:val="000000"/>
          <w:szCs w:val="21"/>
          <w:shd w:val="clear" w:color="auto" w:fill="FFFFFF"/>
        </w:rPr>
        <w:t>名</w:t>
      </w:r>
      <w:r w:rsidRPr="00A24930">
        <w:rPr>
          <w:rFonts w:ascii="Tahoma" w:hAnsi="Tahoma" w:cs="Tahoma" w:hint="eastAsia"/>
          <w:color w:val="000000"/>
          <w:szCs w:val="21"/>
          <w:shd w:val="clear" w:color="auto" w:fill="FFFFFF"/>
        </w:rPr>
        <w:t>：首都经济贸易大学培训中心</w:t>
      </w:r>
    </w:p>
    <w:p w:rsidR="00FC28E6" w:rsidRPr="00A24930" w:rsidRDefault="00C95C47">
      <w:pPr>
        <w:widowControl/>
        <w:spacing w:line="440" w:lineRule="atLeast"/>
        <w:jc w:val="left"/>
        <w:rPr>
          <w:rFonts w:ascii="Tahoma" w:hAnsi="Tahoma" w:cs="Tahoma"/>
          <w:color w:val="000000"/>
          <w:szCs w:val="21"/>
          <w:shd w:val="clear" w:color="auto" w:fill="FFFFFF"/>
        </w:rPr>
      </w:pPr>
      <w:r w:rsidRPr="00A24930">
        <w:rPr>
          <w:rFonts w:ascii="Tahoma" w:hAnsi="Tahoma" w:cs="Tahoma" w:hint="eastAsia"/>
          <w:bCs/>
          <w:color w:val="000000"/>
          <w:szCs w:val="21"/>
          <w:shd w:val="clear" w:color="auto" w:fill="FFFFFF"/>
        </w:rPr>
        <w:t>账</w:t>
      </w:r>
      <w:r w:rsidRPr="00A24930">
        <w:rPr>
          <w:rFonts w:ascii="Tahoma" w:hAnsi="Tahoma" w:cs="Tahoma"/>
          <w:bCs/>
          <w:color w:val="000000"/>
          <w:szCs w:val="21"/>
          <w:shd w:val="clear" w:color="auto" w:fill="FFFFFF"/>
        </w:rPr>
        <w:t>    </w:t>
      </w:r>
      <w:r w:rsidRPr="00A24930">
        <w:rPr>
          <w:rFonts w:ascii="Tahoma" w:hAnsi="Tahoma" w:cs="Tahoma" w:hint="eastAsia"/>
          <w:bCs/>
          <w:color w:val="000000"/>
          <w:szCs w:val="21"/>
          <w:shd w:val="clear" w:color="auto" w:fill="FFFFFF"/>
        </w:rPr>
        <w:t>号：</w:t>
      </w:r>
      <w:r w:rsidRPr="00A24930">
        <w:rPr>
          <w:rFonts w:ascii="Tahoma" w:hAnsi="Tahoma" w:cs="Tahoma"/>
          <w:color w:val="000000"/>
          <w:szCs w:val="21"/>
          <w:shd w:val="clear" w:color="auto" w:fill="FFFFFF"/>
        </w:rPr>
        <w:t>0200  0202  0901  4433  184</w:t>
      </w:r>
    </w:p>
    <w:p w:rsidR="00FC28E6" w:rsidRPr="00A24930" w:rsidRDefault="00C95C47">
      <w:pPr>
        <w:widowControl/>
        <w:spacing w:line="440" w:lineRule="atLeast"/>
        <w:jc w:val="left"/>
        <w:rPr>
          <w:rFonts w:ascii="Tahoma" w:hAnsi="Tahoma" w:cs="Tahoma"/>
          <w:color w:val="000000"/>
          <w:szCs w:val="21"/>
          <w:shd w:val="clear" w:color="auto" w:fill="FFFFFF"/>
        </w:rPr>
      </w:pPr>
      <w:r w:rsidRPr="00A24930">
        <w:rPr>
          <w:rFonts w:ascii="Tahoma" w:hAnsi="Tahoma" w:cs="Tahoma" w:hint="eastAsia"/>
          <w:bCs/>
          <w:color w:val="000000"/>
          <w:szCs w:val="21"/>
          <w:shd w:val="clear" w:color="auto" w:fill="FFFFFF"/>
        </w:rPr>
        <w:t>开</w:t>
      </w:r>
      <w:r w:rsidRPr="00A24930">
        <w:rPr>
          <w:rFonts w:ascii="Tahoma" w:hAnsi="Tahoma" w:cs="Tahoma"/>
          <w:bCs/>
          <w:color w:val="000000"/>
          <w:szCs w:val="21"/>
          <w:shd w:val="clear" w:color="auto" w:fill="FFFFFF"/>
        </w:rPr>
        <w:t> </w:t>
      </w:r>
      <w:r w:rsidRPr="00A24930">
        <w:rPr>
          <w:rFonts w:ascii="Tahoma" w:hAnsi="Tahoma" w:cs="Tahoma" w:hint="eastAsia"/>
          <w:bCs/>
          <w:color w:val="000000"/>
          <w:szCs w:val="21"/>
          <w:shd w:val="clear" w:color="auto" w:fill="FFFFFF"/>
        </w:rPr>
        <w:t>户</w:t>
      </w:r>
      <w:r w:rsidRPr="00A24930">
        <w:rPr>
          <w:rFonts w:ascii="Tahoma" w:hAnsi="Tahoma" w:cs="Tahoma"/>
          <w:bCs/>
          <w:color w:val="000000"/>
          <w:szCs w:val="21"/>
          <w:shd w:val="clear" w:color="auto" w:fill="FFFFFF"/>
        </w:rPr>
        <w:t> </w:t>
      </w:r>
      <w:r w:rsidRPr="00A24930">
        <w:rPr>
          <w:rFonts w:ascii="Tahoma" w:hAnsi="Tahoma" w:cs="Tahoma" w:hint="eastAsia"/>
          <w:bCs/>
          <w:color w:val="000000"/>
          <w:szCs w:val="21"/>
          <w:shd w:val="clear" w:color="auto" w:fill="FFFFFF"/>
        </w:rPr>
        <w:t>行：</w:t>
      </w:r>
      <w:r w:rsidRPr="00A24930">
        <w:rPr>
          <w:rFonts w:ascii="Tahoma" w:hAnsi="Tahoma" w:cs="Tahoma" w:hint="eastAsia"/>
          <w:color w:val="000000"/>
          <w:szCs w:val="21"/>
          <w:shd w:val="clear" w:color="auto" w:fill="FFFFFF"/>
        </w:rPr>
        <w:t>工商银行金台路支行</w:t>
      </w:r>
    </w:p>
    <w:p w:rsidR="00FC28E6" w:rsidRPr="00A24930" w:rsidRDefault="00C95C47">
      <w:pPr>
        <w:widowControl/>
        <w:spacing w:line="440" w:lineRule="atLeast"/>
        <w:jc w:val="left"/>
        <w:rPr>
          <w:rFonts w:ascii="Tahoma" w:hAnsi="Tahoma" w:cs="Tahoma"/>
          <w:color w:val="000000"/>
          <w:szCs w:val="21"/>
          <w:shd w:val="clear" w:color="auto" w:fill="FFFFFF"/>
        </w:rPr>
      </w:pPr>
      <w:r w:rsidRPr="00A24930">
        <w:rPr>
          <w:rFonts w:ascii="Tahoma" w:hAnsi="Tahoma" w:cs="Tahoma" w:hint="eastAsia"/>
          <w:bCs/>
          <w:color w:val="000000"/>
          <w:szCs w:val="21"/>
          <w:shd w:val="clear" w:color="auto" w:fill="FFFFFF"/>
        </w:rPr>
        <w:t>转账文字备注：</w:t>
      </w:r>
      <w:r w:rsidR="00A24930" w:rsidRPr="00A24930">
        <w:rPr>
          <w:rFonts w:ascii="Tahoma" w:hAnsi="Tahoma" w:cs="Tahoma" w:hint="eastAsia"/>
          <w:bCs/>
          <w:color w:val="000000"/>
          <w:szCs w:val="21"/>
          <w:shd w:val="clear" w:color="auto" w:fill="FFFFFF"/>
        </w:rPr>
        <w:t>财政研班学费一（姓名）</w:t>
      </w:r>
    </w:p>
    <w:p w:rsidR="00FC28E6" w:rsidRDefault="00C95C47">
      <w:pPr>
        <w:widowControl/>
        <w:spacing w:line="440" w:lineRule="atLeast"/>
        <w:jc w:val="left"/>
        <w:rPr>
          <w:rFonts w:ascii="Tahoma" w:hAnsi="Tahoma" w:cs="Tahoma"/>
          <w:color w:val="000000"/>
          <w:szCs w:val="21"/>
          <w:shd w:val="clear" w:color="auto" w:fill="FFFFFF"/>
        </w:rPr>
      </w:pPr>
      <w:r w:rsidRPr="00A24930">
        <w:rPr>
          <w:rFonts w:ascii="Tahoma" w:hAnsi="Tahoma" w:cs="Tahoma" w:hint="eastAsia"/>
          <w:bCs/>
          <w:color w:val="000000"/>
          <w:szCs w:val="21"/>
          <w:shd w:val="clear" w:color="auto" w:fill="FFFFFF"/>
        </w:rPr>
        <w:t>备注：</w:t>
      </w:r>
      <w:r w:rsidRPr="00A24930">
        <w:rPr>
          <w:rFonts w:ascii="Tahoma" w:hAnsi="Tahoma" w:cs="Tahoma" w:hint="eastAsia"/>
          <w:color w:val="000000"/>
          <w:szCs w:val="21"/>
          <w:shd w:val="clear" w:color="auto" w:fill="FFFFFF"/>
        </w:rPr>
        <w:t>汇款转账页面截图，随申报材料上交</w:t>
      </w:r>
      <w:r>
        <w:rPr>
          <w:rFonts w:ascii="Tahoma" w:hAnsi="Tahoma" w:cs="Tahoma" w:hint="eastAsia"/>
          <w:color w:val="000000"/>
          <w:szCs w:val="21"/>
          <w:shd w:val="clear" w:color="auto" w:fill="FFFFFF"/>
        </w:rPr>
        <w:t>。</w:t>
      </w:r>
      <w:bookmarkStart w:id="0" w:name="_GoBack"/>
      <w:bookmarkEnd w:id="0"/>
    </w:p>
    <w:p w:rsidR="00A24930" w:rsidRDefault="00A24930" w:rsidP="00A24930">
      <w:pPr>
        <w:spacing w:line="480" w:lineRule="exact"/>
        <w:rPr>
          <w:b/>
          <w:color w:val="C00000"/>
          <w:szCs w:val="21"/>
        </w:rPr>
      </w:pPr>
      <w:r>
        <w:rPr>
          <w:rFonts w:hint="eastAsia"/>
          <w:b/>
          <w:color w:val="C00000"/>
          <w:szCs w:val="21"/>
        </w:rPr>
        <w:t>【上课地点】</w:t>
      </w:r>
      <w:r>
        <w:rPr>
          <w:rFonts w:hint="eastAsia"/>
          <w:b/>
          <w:color w:val="C00000"/>
          <w:szCs w:val="21"/>
        </w:rPr>
        <w:t xml:space="preserve"> </w:t>
      </w:r>
    </w:p>
    <w:p w:rsidR="00A24930" w:rsidRDefault="00A24930" w:rsidP="00A24930">
      <w:pPr>
        <w:widowControl/>
        <w:spacing w:line="440" w:lineRule="atLeast"/>
        <w:jc w:val="left"/>
        <w:rPr>
          <w:rFonts w:ascii="Tahoma" w:hAnsi="Tahoma" w:cs="Tahoma"/>
          <w:b/>
          <w:color w:val="000000"/>
          <w:szCs w:val="21"/>
          <w:shd w:val="clear" w:color="auto" w:fill="FFFFFF"/>
        </w:rPr>
      </w:pPr>
      <w:r>
        <w:rPr>
          <w:rFonts w:ascii="Tahoma" w:hAnsi="Tahoma" w:cs="Tahoma"/>
          <w:color w:val="000000"/>
          <w:szCs w:val="21"/>
          <w:shd w:val="clear" w:color="auto" w:fill="FFFFFF"/>
        </w:rPr>
        <w:t>首都经济贸易大学</w:t>
      </w:r>
      <w:r>
        <w:rPr>
          <w:rFonts w:ascii="Tahoma" w:hAnsi="Tahoma" w:cs="Tahoma" w:hint="eastAsia"/>
          <w:color w:val="000000"/>
          <w:szCs w:val="21"/>
          <w:shd w:val="clear" w:color="auto" w:fill="FFFFFF"/>
        </w:rPr>
        <w:t>红庙研究生</w:t>
      </w:r>
      <w:r>
        <w:rPr>
          <w:rFonts w:ascii="Tahoma" w:hAnsi="Tahoma" w:cs="Tahoma" w:hint="eastAsia"/>
          <w:color w:val="000000"/>
          <w:szCs w:val="21"/>
          <w:shd w:val="clear" w:color="auto" w:fill="FFFFFF"/>
        </w:rPr>
        <w:t>CBD</w:t>
      </w:r>
      <w:r>
        <w:rPr>
          <w:rFonts w:ascii="Tahoma" w:hAnsi="Tahoma" w:cs="Tahoma" w:hint="eastAsia"/>
          <w:color w:val="000000"/>
          <w:szCs w:val="21"/>
          <w:shd w:val="clear" w:color="auto" w:fill="FFFFFF"/>
        </w:rPr>
        <w:t>校区</w:t>
      </w:r>
    </w:p>
    <w:p w:rsidR="00A24930" w:rsidRDefault="00A24930" w:rsidP="00A24930">
      <w:pPr>
        <w:widowControl/>
        <w:spacing w:line="440" w:lineRule="atLeast"/>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t>【办理入学申请地址】</w:t>
      </w:r>
    </w:p>
    <w:p w:rsidR="00FC28E6" w:rsidRPr="00A24930" w:rsidRDefault="00A24930" w:rsidP="00A24930">
      <w:pPr>
        <w:widowControl/>
        <w:spacing w:line="440" w:lineRule="atLeast"/>
        <w:jc w:val="left"/>
        <w:rPr>
          <w:rFonts w:asciiTheme="minorEastAsia" w:hAnsiTheme="minorEastAsia" w:cstheme="minorEastAsia"/>
          <w:szCs w:val="21"/>
        </w:rPr>
      </w:pPr>
      <w:r>
        <w:rPr>
          <w:rFonts w:asciiTheme="minorEastAsia" w:hAnsiTheme="minorEastAsia" w:cstheme="minorEastAsia" w:hint="eastAsia"/>
          <w:szCs w:val="21"/>
        </w:rPr>
        <w:t>北京朝阳门外红庙金台里2号 首都经济贸易大学红庙校区</w:t>
      </w:r>
      <w:r>
        <w:rPr>
          <w:rFonts w:asciiTheme="minorEastAsia" w:hAnsiTheme="minorEastAsia" w:cstheme="minorEastAsia" w:hint="eastAsia"/>
          <w:szCs w:val="21"/>
        </w:rPr>
        <w:br/>
      </w:r>
    </w:p>
    <w:sectPr w:rsidR="00FC28E6" w:rsidRPr="00A24930" w:rsidSect="00FC28E6">
      <w:headerReference w:type="default" r:id="rId8"/>
      <w:pgSz w:w="11906" w:h="16838"/>
      <w:pgMar w:top="1135" w:right="991"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1EB" w:rsidRDefault="00A731EB" w:rsidP="00FC28E6">
      <w:r>
        <w:separator/>
      </w:r>
    </w:p>
  </w:endnote>
  <w:endnote w:type="continuationSeparator" w:id="0">
    <w:p w:rsidR="00A731EB" w:rsidRDefault="00A731EB" w:rsidP="00FC2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1EB" w:rsidRDefault="00A731EB" w:rsidP="00FC28E6">
      <w:r>
        <w:separator/>
      </w:r>
    </w:p>
  </w:footnote>
  <w:footnote w:type="continuationSeparator" w:id="0">
    <w:p w:rsidR="00A731EB" w:rsidRDefault="00A731EB" w:rsidP="00FC2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E6" w:rsidRDefault="00C95C47">
    <w:pPr>
      <w:pStyle w:val="a5"/>
      <w:jc w:val="left"/>
    </w:pPr>
    <w:r>
      <w:rPr>
        <w:noProof/>
      </w:rPr>
      <w:drawing>
        <wp:inline distT="0" distB="0" distL="0" distR="0">
          <wp:extent cx="1314450" cy="346075"/>
          <wp:effectExtent l="19050" t="0" r="0" b="0"/>
          <wp:docPr id="2" name="图片 1"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img.jpg"/>
                  <pic:cNvPicPr>
                    <a:picLocks noChangeAspect="1"/>
                  </pic:cNvPicPr>
                </pic:nvPicPr>
                <pic:blipFill>
                  <a:blip r:embed="rId1"/>
                  <a:stretch>
                    <a:fillRect/>
                  </a:stretch>
                </pic:blipFill>
                <pic:spPr>
                  <a:xfrm>
                    <a:off x="0" y="0"/>
                    <a:ext cx="1314450" cy="3467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5AE1"/>
    <w:multiLevelType w:val="multilevel"/>
    <w:tmpl w:val="1EDE5AE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5DE8CD"/>
    <w:multiLevelType w:val="singleLevel"/>
    <w:tmpl w:val="2C5DE8CD"/>
    <w:lvl w:ilvl="0">
      <w:start w:val="1"/>
      <w:numFmt w:val="decimal"/>
      <w:lvlText w:val="%1."/>
      <w:lvlJc w:val="left"/>
      <w:pPr>
        <w:ind w:left="425" w:hanging="425"/>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C25"/>
    <w:rsid w:val="00003D38"/>
    <w:rsid w:val="000107F1"/>
    <w:rsid w:val="00014BD5"/>
    <w:rsid w:val="000212F9"/>
    <w:rsid w:val="00036D12"/>
    <w:rsid w:val="00040986"/>
    <w:rsid w:val="00057481"/>
    <w:rsid w:val="00083736"/>
    <w:rsid w:val="000846FC"/>
    <w:rsid w:val="0009783D"/>
    <w:rsid w:val="00097E56"/>
    <w:rsid w:val="000A2BBF"/>
    <w:rsid w:val="000B4468"/>
    <w:rsid w:val="000C5C82"/>
    <w:rsid w:val="000F56F1"/>
    <w:rsid w:val="00103CEB"/>
    <w:rsid w:val="001109AD"/>
    <w:rsid w:val="00120874"/>
    <w:rsid w:val="00131AFB"/>
    <w:rsid w:val="00154B41"/>
    <w:rsid w:val="00157EE8"/>
    <w:rsid w:val="001643B0"/>
    <w:rsid w:val="00165458"/>
    <w:rsid w:val="00182006"/>
    <w:rsid w:val="0019600A"/>
    <w:rsid w:val="00196264"/>
    <w:rsid w:val="001A1EAC"/>
    <w:rsid w:val="001A64B2"/>
    <w:rsid w:val="001B0602"/>
    <w:rsid w:val="001B3581"/>
    <w:rsid w:val="001B4278"/>
    <w:rsid w:val="001C4845"/>
    <w:rsid w:val="001D0EA1"/>
    <w:rsid w:val="001D129F"/>
    <w:rsid w:val="001D1DF0"/>
    <w:rsid w:val="001D4EAA"/>
    <w:rsid w:val="002013F4"/>
    <w:rsid w:val="00216725"/>
    <w:rsid w:val="00242255"/>
    <w:rsid w:val="00255964"/>
    <w:rsid w:val="00283D29"/>
    <w:rsid w:val="0028530B"/>
    <w:rsid w:val="002874E4"/>
    <w:rsid w:val="0029216F"/>
    <w:rsid w:val="00296333"/>
    <w:rsid w:val="002A4324"/>
    <w:rsid w:val="002B3EF4"/>
    <w:rsid w:val="002C1556"/>
    <w:rsid w:val="002C5420"/>
    <w:rsid w:val="002D1098"/>
    <w:rsid w:val="002D223C"/>
    <w:rsid w:val="002D2EFD"/>
    <w:rsid w:val="002D771C"/>
    <w:rsid w:val="002E07B7"/>
    <w:rsid w:val="002E68D9"/>
    <w:rsid w:val="002F3CEE"/>
    <w:rsid w:val="00322148"/>
    <w:rsid w:val="00323B8D"/>
    <w:rsid w:val="00327528"/>
    <w:rsid w:val="00333290"/>
    <w:rsid w:val="00333988"/>
    <w:rsid w:val="00341B1A"/>
    <w:rsid w:val="0034339A"/>
    <w:rsid w:val="003510EA"/>
    <w:rsid w:val="003550C0"/>
    <w:rsid w:val="00360CC4"/>
    <w:rsid w:val="00365008"/>
    <w:rsid w:val="00365E69"/>
    <w:rsid w:val="00397E82"/>
    <w:rsid w:val="003A774C"/>
    <w:rsid w:val="003C4F25"/>
    <w:rsid w:val="003C72CB"/>
    <w:rsid w:val="003D4A26"/>
    <w:rsid w:val="003D546B"/>
    <w:rsid w:val="003D5CE3"/>
    <w:rsid w:val="003D66E2"/>
    <w:rsid w:val="00410BFE"/>
    <w:rsid w:val="004143C7"/>
    <w:rsid w:val="00416F78"/>
    <w:rsid w:val="00433243"/>
    <w:rsid w:val="0046672B"/>
    <w:rsid w:val="00467C58"/>
    <w:rsid w:val="00472728"/>
    <w:rsid w:val="00487509"/>
    <w:rsid w:val="004A75C2"/>
    <w:rsid w:val="004B446B"/>
    <w:rsid w:val="004B6134"/>
    <w:rsid w:val="004D4EF9"/>
    <w:rsid w:val="0050636D"/>
    <w:rsid w:val="005119F4"/>
    <w:rsid w:val="00517351"/>
    <w:rsid w:val="00520A00"/>
    <w:rsid w:val="005364E4"/>
    <w:rsid w:val="00541A78"/>
    <w:rsid w:val="00545441"/>
    <w:rsid w:val="005517FF"/>
    <w:rsid w:val="00553196"/>
    <w:rsid w:val="00553C94"/>
    <w:rsid w:val="00570BFE"/>
    <w:rsid w:val="005716DE"/>
    <w:rsid w:val="00572198"/>
    <w:rsid w:val="00583FDE"/>
    <w:rsid w:val="005A0A56"/>
    <w:rsid w:val="005A3892"/>
    <w:rsid w:val="005C6C09"/>
    <w:rsid w:val="005D32F2"/>
    <w:rsid w:val="005E6941"/>
    <w:rsid w:val="005E7E97"/>
    <w:rsid w:val="0061258B"/>
    <w:rsid w:val="00613C02"/>
    <w:rsid w:val="00627027"/>
    <w:rsid w:val="00632572"/>
    <w:rsid w:val="00634E3A"/>
    <w:rsid w:val="00641DA5"/>
    <w:rsid w:val="00643A6D"/>
    <w:rsid w:val="00655365"/>
    <w:rsid w:val="00666070"/>
    <w:rsid w:val="00671D24"/>
    <w:rsid w:val="0067302C"/>
    <w:rsid w:val="0068100D"/>
    <w:rsid w:val="00694177"/>
    <w:rsid w:val="006A570D"/>
    <w:rsid w:val="006A5BE9"/>
    <w:rsid w:val="006A7FF8"/>
    <w:rsid w:val="006B3293"/>
    <w:rsid w:val="006D0038"/>
    <w:rsid w:val="006D1DC3"/>
    <w:rsid w:val="006D74E0"/>
    <w:rsid w:val="006E5DEF"/>
    <w:rsid w:val="007025EA"/>
    <w:rsid w:val="007045C7"/>
    <w:rsid w:val="007045EB"/>
    <w:rsid w:val="00705F62"/>
    <w:rsid w:val="007121FF"/>
    <w:rsid w:val="007145E8"/>
    <w:rsid w:val="00724385"/>
    <w:rsid w:val="007322C8"/>
    <w:rsid w:val="00733E8F"/>
    <w:rsid w:val="00751A45"/>
    <w:rsid w:val="00767823"/>
    <w:rsid w:val="00771171"/>
    <w:rsid w:val="00772C0D"/>
    <w:rsid w:val="00776F4C"/>
    <w:rsid w:val="0078042E"/>
    <w:rsid w:val="007A08A4"/>
    <w:rsid w:val="007A4D3B"/>
    <w:rsid w:val="007B099F"/>
    <w:rsid w:val="007B7C6B"/>
    <w:rsid w:val="007F6F07"/>
    <w:rsid w:val="007F71FC"/>
    <w:rsid w:val="00805BA0"/>
    <w:rsid w:val="008161A8"/>
    <w:rsid w:val="00821640"/>
    <w:rsid w:val="00830D4D"/>
    <w:rsid w:val="00831A16"/>
    <w:rsid w:val="008407CC"/>
    <w:rsid w:val="00845A76"/>
    <w:rsid w:val="00851369"/>
    <w:rsid w:val="00861273"/>
    <w:rsid w:val="008641C8"/>
    <w:rsid w:val="00886301"/>
    <w:rsid w:val="00893F42"/>
    <w:rsid w:val="008A283B"/>
    <w:rsid w:val="008B430B"/>
    <w:rsid w:val="008B5E3F"/>
    <w:rsid w:val="008E3465"/>
    <w:rsid w:val="008E357D"/>
    <w:rsid w:val="00910155"/>
    <w:rsid w:val="009163E6"/>
    <w:rsid w:val="009346EE"/>
    <w:rsid w:val="00934EC5"/>
    <w:rsid w:val="009453D6"/>
    <w:rsid w:val="00947570"/>
    <w:rsid w:val="0095035B"/>
    <w:rsid w:val="00950F68"/>
    <w:rsid w:val="00955B8C"/>
    <w:rsid w:val="00961217"/>
    <w:rsid w:val="0098351C"/>
    <w:rsid w:val="009948D2"/>
    <w:rsid w:val="009B6563"/>
    <w:rsid w:val="009D4D32"/>
    <w:rsid w:val="009E091C"/>
    <w:rsid w:val="009E1E71"/>
    <w:rsid w:val="009E3B1C"/>
    <w:rsid w:val="009F03C5"/>
    <w:rsid w:val="009F1956"/>
    <w:rsid w:val="00A04496"/>
    <w:rsid w:val="00A07FC9"/>
    <w:rsid w:val="00A24930"/>
    <w:rsid w:val="00A24BB7"/>
    <w:rsid w:val="00A271FF"/>
    <w:rsid w:val="00A30AC1"/>
    <w:rsid w:val="00A420CC"/>
    <w:rsid w:val="00A47A40"/>
    <w:rsid w:val="00A63852"/>
    <w:rsid w:val="00A67EE5"/>
    <w:rsid w:val="00A731EB"/>
    <w:rsid w:val="00AA3431"/>
    <w:rsid w:val="00AA5434"/>
    <w:rsid w:val="00AA78EA"/>
    <w:rsid w:val="00AB5DA5"/>
    <w:rsid w:val="00AB6E6B"/>
    <w:rsid w:val="00AF065E"/>
    <w:rsid w:val="00B02A05"/>
    <w:rsid w:val="00B0540B"/>
    <w:rsid w:val="00B11907"/>
    <w:rsid w:val="00B205E4"/>
    <w:rsid w:val="00B4720D"/>
    <w:rsid w:val="00B50037"/>
    <w:rsid w:val="00B60046"/>
    <w:rsid w:val="00B62847"/>
    <w:rsid w:val="00B734E0"/>
    <w:rsid w:val="00B87C30"/>
    <w:rsid w:val="00BA2364"/>
    <w:rsid w:val="00BA3FD9"/>
    <w:rsid w:val="00BA5E76"/>
    <w:rsid w:val="00BC5D4B"/>
    <w:rsid w:val="00BC72EB"/>
    <w:rsid w:val="00BC7E61"/>
    <w:rsid w:val="00BD1B0B"/>
    <w:rsid w:val="00BE243A"/>
    <w:rsid w:val="00C00A12"/>
    <w:rsid w:val="00C05A37"/>
    <w:rsid w:val="00C2175E"/>
    <w:rsid w:val="00C21B7C"/>
    <w:rsid w:val="00C236E0"/>
    <w:rsid w:val="00C30DDA"/>
    <w:rsid w:val="00C379ED"/>
    <w:rsid w:val="00C50144"/>
    <w:rsid w:val="00C6486B"/>
    <w:rsid w:val="00C7089B"/>
    <w:rsid w:val="00C720F5"/>
    <w:rsid w:val="00C95C47"/>
    <w:rsid w:val="00CB0CD1"/>
    <w:rsid w:val="00CC6549"/>
    <w:rsid w:val="00CC6DCD"/>
    <w:rsid w:val="00CD2550"/>
    <w:rsid w:val="00CE3F93"/>
    <w:rsid w:val="00CF4DFF"/>
    <w:rsid w:val="00D04F8A"/>
    <w:rsid w:val="00D06FA5"/>
    <w:rsid w:val="00D15E2C"/>
    <w:rsid w:val="00D174FC"/>
    <w:rsid w:val="00D25E36"/>
    <w:rsid w:val="00D36274"/>
    <w:rsid w:val="00D402C6"/>
    <w:rsid w:val="00D44B9B"/>
    <w:rsid w:val="00D4613E"/>
    <w:rsid w:val="00D51BC1"/>
    <w:rsid w:val="00D574AA"/>
    <w:rsid w:val="00D621B7"/>
    <w:rsid w:val="00D83A54"/>
    <w:rsid w:val="00D86DA7"/>
    <w:rsid w:val="00D94D17"/>
    <w:rsid w:val="00DA32DD"/>
    <w:rsid w:val="00DA7C25"/>
    <w:rsid w:val="00DD4A8C"/>
    <w:rsid w:val="00DF34E2"/>
    <w:rsid w:val="00E1447C"/>
    <w:rsid w:val="00E24D2A"/>
    <w:rsid w:val="00E37323"/>
    <w:rsid w:val="00E5309C"/>
    <w:rsid w:val="00E572A8"/>
    <w:rsid w:val="00E60B60"/>
    <w:rsid w:val="00E75315"/>
    <w:rsid w:val="00E84BED"/>
    <w:rsid w:val="00EA717D"/>
    <w:rsid w:val="00EA7348"/>
    <w:rsid w:val="00EB506F"/>
    <w:rsid w:val="00EB62A4"/>
    <w:rsid w:val="00EC6B5D"/>
    <w:rsid w:val="00EC7426"/>
    <w:rsid w:val="00ED5263"/>
    <w:rsid w:val="00ED7F9F"/>
    <w:rsid w:val="00EE05F3"/>
    <w:rsid w:val="00EE13A1"/>
    <w:rsid w:val="00EE4A54"/>
    <w:rsid w:val="00EF259D"/>
    <w:rsid w:val="00F2285C"/>
    <w:rsid w:val="00F43170"/>
    <w:rsid w:val="00F7055C"/>
    <w:rsid w:val="00F72F43"/>
    <w:rsid w:val="00F801A9"/>
    <w:rsid w:val="00F84523"/>
    <w:rsid w:val="00F95A8E"/>
    <w:rsid w:val="00FC28E6"/>
    <w:rsid w:val="00FD6BBA"/>
    <w:rsid w:val="00FF367E"/>
    <w:rsid w:val="00FF42E6"/>
    <w:rsid w:val="047B1A63"/>
    <w:rsid w:val="05524337"/>
    <w:rsid w:val="07591AD1"/>
    <w:rsid w:val="0D745DD2"/>
    <w:rsid w:val="0E2B35E9"/>
    <w:rsid w:val="0F306EA9"/>
    <w:rsid w:val="10DF0E15"/>
    <w:rsid w:val="11894263"/>
    <w:rsid w:val="1A3C79C3"/>
    <w:rsid w:val="1D253F41"/>
    <w:rsid w:val="1DCD6595"/>
    <w:rsid w:val="245C59F0"/>
    <w:rsid w:val="25AE6741"/>
    <w:rsid w:val="267546B0"/>
    <w:rsid w:val="28567C87"/>
    <w:rsid w:val="2A98173F"/>
    <w:rsid w:val="2E2F1258"/>
    <w:rsid w:val="30066E93"/>
    <w:rsid w:val="304266EA"/>
    <w:rsid w:val="32057CE1"/>
    <w:rsid w:val="32EA14F1"/>
    <w:rsid w:val="36085F3D"/>
    <w:rsid w:val="37342ACF"/>
    <w:rsid w:val="38CE352A"/>
    <w:rsid w:val="3C0D61AF"/>
    <w:rsid w:val="3E213BCA"/>
    <w:rsid w:val="3ECB2327"/>
    <w:rsid w:val="4151185A"/>
    <w:rsid w:val="43CB4478"/>
    <w:rsid w:val="43DD0F00"/>
    <w:rsid w:val="44A76AF6"/>
    <w:rsid w:val="44EC2ADD"/>
    <w:rsid w:val="45DB2364"/>
    <w:rsid w:val="468D2801"/>
    <w:rsid w:val="47927767"/>
    <w:rsid w:val="4828086D"/>
    <w:rsid w:val="49094810"/>
    <w:rsid w:val="49DC4909"/>
    <w:rsid w:val="4A69584D"/>
    <w:rsid w:val="4ADB52D7"/>
    <w:rsid w:val="4E061CF9"/>
    <w:rsid w:val="53CE2F93"/>
    <w:rsid w:val="54514B7A"/>
    <w:rsid w:val="54E57700"/>
    <w:rsid w:val="56C44A64"/>
    <w:rsid w:val="573900D3"/>
    <w:rsid w:val="57543787"/>
    <w:rsid w:val="5792707A"/>
    <w:rsid w:val="59413B2E"/>
    <w:rsid w:val="59CC3494"/>
    <w:rsid w:val="61992F7C"/>
    <w:rsid w:val="63ED74E8"/>
    <w:rsid w:val="64040192"/>
    <w:rsid w:val="649F7FAE"/>
    <w:rsid w:val="6BF96AF1"/>
    <w:rsid w:val="6D254D74"/>
    <w:rsid w:val="6EC9497A"/>
    <w:rsid w:val="705254B2"/>
    <w:rsid w:val="71965B05"/>
    <w:rsid w:val="75B2288E"/>
    <w:rsid w:val="75C01EE7"/>
    <w:rsid w:val="75C43D03"/>
    <w:rsid w:val="77016355"/>
    <w:rsid w:val="7B8B303A"/>
    <w:rsid w:val="7E2865D3"/>
    <w:rsid w:val="7ED321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E6"/>
    <w:pPr>
      <w:widowControl w:val="0"/>
      <w:jc w:val="both"/>
    </w:pPr>
    <w:rPr>
      <w:rFonts w:asciiTheme="minorHAnsi" w:eastAsiaTheme="minorEastAsia" w:hAnsiTheme="minorHAnsi" w:cstheme="minorBidi"/>
      <w:kern w:val="2"/>
      <w:sz w:val="21"/>
      <w:szCs w:val="22"/>
    </w:rPr>
  </w:style>
  <w:style w:type="paragraph" w:styleId="6">
    <w:name w:val="heading 6"/>
    <w:basedOn w:val="a"/>
    <w:next w:val="a"/>
    <w:link w:val="6Char"/>
    <w:uiPriority w:val="9"/>
    <w:qFormat/>
    <w:rsid w:val="00FC28E6"/>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C28E6"/>
    <w:rPr>
      <w:sz w:val="18"/>
      <w:szCs w:val="18"/>
    </w:rPr>
  </w:style>
  <w:style w:type="paragraph" w:styleId="a4">
    <w:name w:val="footer"/>
    <w:basedOn w:val="a"/>
    <w:link w:val="Char0"/>
    <w:uiPriority w:val="99"/>
    <w:unhideWhenUsed/>
    <w:qFormat/>
    <w:rsid w:val="00FC28E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C28E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C28E6"/>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FC2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FC28E6"/>
    <w:rPr>
      <w:b/>
      <w:bCs/>
    </w:rPr>
  </w:style>
  <w:style w:type="character" w:customStyle="1" w:styleId="Char1">
    <w:name w:val="页眉 Char"/>
    <w:basedOn w:val="a0"/>
    <w:link w:val="a5"/>
    <w:uiPriority w:val="99"/>
    <w:qFormat/>
    <w:rsid w:val="00FC28E6"/>
    <w:rPr>
      <w:sz w:val="18"/>
      <w:szCs w:val="18"/>
    </w:rPr>
  </w:style>
  <w:style w:type="character" w:customStyle="1" w:styleId="Char0">
    <w:name w:val="页脚 Char"/>
    <w:basedOn w:val="a0"/>
    <w:link w:val="a4"/>
    <w:uiPriority w:val="99"/>
    <w:qFormat/>
    <w:rsid w:val="00FC28E6"/>
    <w:rPr>
      <w:sz w:val="18"/>
      <w:szCs w:val="18"/>
    </w:rPr>
  </w:style>
  <w:style w:type="character" w:customStyle="1" w:styleId="6Char">
    <w:name w:val="标题 6 Char"/>
    <w:basedOn w:val="a0"/>
    <w:link w:val="6"/>
    <w:uiPriority w:val="9"/>
    <w:qFormat/>
    <w:rsid w:val="00FC28E6"/>
    <w:rPr>
      <w:rFonts w:ascii="宋体" w:eastAsia="宋体" w:hAnsi="宋体" w:cs="宋体"/>
      <w:b/>
      <w:bCs/>
      <w:kern w:val="0"/>
      <w:sz w:val="15"/>
      <w:szCs w:val="15"/>
    </w:rPr>
  </w:style>
  <w:style w:type="paragraph" w:styleId="a9">
    <w:name w:val="List Paragraph"/>
    <w:basedOn w:val="a"/>
    <w:uiPriority w:val="34"/>
    <w:qFormat/>
    <w:rsid w:val="00FC28E6"/>
    <w:pPr>
      <w:ind w:firstLineChars="200" w:firstLine="420"/>
    </w:pPr>
  </w:style>
  <w:style w:type="character" w:customStyle="1" w:styleId="apple-converted-space">
    <w:name w:val="apple-converted-space"/>
    <w:basedOn w:val="a0"/>
    <w:qFormat/>
    <w:rsid w:val="00FC28E6"/>
  </w:style>
  <w:style w:type="paragraph" w:customStyle="1" w:styleId="p0">
    <w:name w:val="p0"/>
    <w:basedOn w:val="a"/>
    <w:qFormat/>
    <w:rsid w:val="00FC28E6"/>
    <w:pPr>
      <w:widowControl/>
      <w:spacing w:before="100" w:beforeAutospacing="1" w:after="100" w:afterAutospacing="1"/>
      <w:jc w:val="left"/>
    </w:pPr>
    <w:rPr>
      <w:rFonts w:ascii="宋体" w:eastAsia="宋体" w:hAnsi="宋体" w:cs="宋体"/>
      <w:kern w:val="0"/>
      <w:sz w:val="24"/>
      <w:szCs w:val="24"/>
    </w:rPr>
  </w:style>
  <w:style w:type="character" w:customStyle="1" w:styleId="readmaillocationtip">
    <w:name w:val="readmail_locationtip"/>
    <w:basedOn w:val="a0"/>
    <w:qFormat/>
    <w:rsid w:val="00FC28E6"/>
  </w:style>
  <w:style w:type="character" w:customStyle="1" w:styleId="Char">
    <w:name w:val="批注框文本 Char"/>
    <w:basedOn w:val="a0"/>
    <w:link w:val="a3"/>
    <w:uiPriority w:val="99"/>
    <w:semiHidden/>
    <w:qFormat/>
    <w:rsid w:val="00FC28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401</Words>
  <Characters>2292</Characters>
  <Application>Microsoft Office Word</Application>
  <DocSecurity>0</DocSecurity>
  <Lines>19</Lines>
  <Paragraphs>5</Paragraphs>
  <ScaleCrop>false</ScaleCrop>
  <Company>Microsoft</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87</cp:revision>
  <dcterms:created xsi:type="dcterms:W3CDTF">2019-03-11T07:19:00Z</dcterms:created>
  <dcterms:modified xsi:type="dcterms:W3CDTF">2020-07-16T06:54:00Z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