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 w:val="24"/>
        </w:rPr>
      </w:pPr>
      <w:r>
        <w:rPr>
          <w:rFonts w:hint="eastAsia" w:ascii="宋体" w:hAnsi="宋体" w:eastAsia="宋体" w:cs="宋体"/>
          <w:b/>
          <w:bCs/>
          <w:sz w:val="24"/>
        </w:rPr>
        <w:t>江西财经大学金融学院金融学专业投融资理论与实务方向</w:t>
      </w:r>
    </w:p>
    <w:p>
      <w:pPr>
        <w:spacing w:line="360" w:lineRule="auto"/>
        <w:jc w:val="center"/>
        <w:rPr>
          <w:rFonts w:hint="eastAsia" w:ascii="宋体" w:hAnsi="宋体" w:eastAsia="宋体" w:cs="宋体"/>
          <w:b/>
          <w:bCs/>
          <w:sz w:val="24"/>
          <w:lang w:eastAsia="zh-CN"/>
        </w:rPr>
      </w:pPr>
      <w:r>
        <w:rPr>
          <w:rFonts w:hint="eastAsia" w:ascii="宋体" w:hAnsi="宋体" w:eastAsia="宋体" w:cs="宋体"/>
          <w:b/>
          <w:bCs/>
          <w:sz w:val="24"/>
        </w:rPr>
        <w:t>同等学力申请硕士学位招生简章·</w:t>
      </w:r>
      <w:r>
        <w:rPr>
          <w:rFonts w:hint="eastAsia" w:ascii="宋体" w:hAnsi="宋体" w:eastAsia="宋体" w:cs="宋体"/>
          <w:b/>
          <w:bCs/>
          <w:sz w:val="24"/>
          <w:lang w:eastAsia="zh-CN"/>
        </w:rPr>
        <w:t>全国</w:t>
      </w:r>
    </w:p>
    <w:p>
      <w:pPr>
        <w:spacing w:line="360" w:lineRule="auto"/>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江西财经大学是一所财政部、教育部、江西省人民政府共建，以经济、管理类学科为主，法、工、文、理、艺术等学科协调发展的高等财经学府。2008年2月6日，温家宝总理与江西财大师生共度除夕，发表了重要讲话，并称赞说：“你们学校是所很好的学校”，激励着学校永葆奋斗精神，办好人民满意的教育。</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一、专业简述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江西财经大学金融学院成立于2003年。学院拥有江西省唯一的“金融学”专业博士点，同时还拥有“金融学”专业硕士点和“金融硕士”、“保险硕士”专业学位项目。“金融学”2002年获江西省首批品牌专业称号，先后被评为江西省“十五”、“十一五”规划重点学科，2006年被评为江西省第二批示范性硕士点；2007年“金融学”专业获教育部首批第一类特色专业称号。</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金融学是从经济学中分化出来的应用经济学科，是以融通货币和货币资金的经济活动为研究对象，具体研究个人、机构、政府如何获取、支出以及管理资金以及其他金融资产的学科。投融资理论与实务，主要研究各种基金的投资策略绩效、风险投资价值，私募股票融资理论，公司兼并与重组、公司上市与退市政策、方案和案例等。</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为满足社会各界精英提高专业和管理水平的需要，本着服务社会的宗旨，学院从2003年开始招收在职攻读硕士学位学员，办学效果良好，现学院继续招收在职攻读金融学专业投融资理论与实务方向同等学力申请硕士学位学员。</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二、培养目标</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1、本专业培养掌握金融学方面的理论知识和业务技能，具备投融资管理方面的理论知识和业务技能的高级专门人才；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2、学员能在银行、证券、投资、保险及其他经济管理部门和企业从事相关工作。</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三、专业优势</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优势一：江西财经大学金融学院是江西省唯一金融学专业博士点，同时也是学校唯一可授予金融学专业硕士学位的学院；</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优势二：任课教师团队实力雄厚，在《经济研究》、《管理世界》等权威刊物发表多篇学术论文，同时获国家级和省级社会科学优秀成果奖等多项荣誉。授课教师团队出版了《国际金融学》、《货币银行学》、《证券投资学》等专业教材，在教学中发挥了积极作用；</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优势三：与中国人民大学合作设立的江西财经大学现代金融研究院，与江西省金融办、南昌市红谷滩管委会共同发起设立的江西金融发展研究院，与九江银行合作设立的九银票据研究院等知名科研机构以及江西财经大学科技金融研究中心、证券期货研究中心等校级科研机构与金融学院合署办公，学院还下设应用金融研究中心等研究机构。强大的金融研究实力为学员提供了丰富的教学案例及实训、研讨基地，切实加强学员专业知识；</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优势四：学员共享金融界高端交流资源，为职业发展奠定基础；金融学院的学员可分享金融界高端交流会议资源，第一时间了解金融界最新资讯，为自己的金融职业找准方向。</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四、报名条件</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1、本科毕业并获有学士学位一年以上；</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2、专科学历也可报名，但无法申请硕士学位。</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五、课程设置</w:t>
      </w:r>
    </w:p>
    <w:tbl>
      <w:tblPr>
        <w:tblStyle w:val="6"/>
        <w:tblW w:w="64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2192"/>
        <w:gridCol w:w="2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restart"/>
            <w:vAlign w:val="center"/>
          </w:tcPr>
          <w:p>
            <w:pPr>
              <w:spacing w:line="360" w:lineRule="auto"/>
              <w:jc w:val="left"/>
              <w:rPr>
                <w:rFonts w:ascii="宋体" w:hAnsi="宋体" w:eastAsia="宋体" w:cs="宋体"/>
                <w:b/>
                <w:bCs/>
                <w:szCs w:val="21"/>
              </w:rPr>
            </w:pPr>
            <w:r>
              <w:rPr>
                <w:rFonts w:hint="eastAsia" w:ascii="宋体" w:hAnsi="宋体" w:eastAsia="宋体" w:cs="宋体"/>
                <w:b/>
                <w:bCs/>
                <w:szCs w:val="21"/>
              </w:rPr>
              <w:t>学位必修课</w:t>
            </w: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微观经济学</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宏观经济学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社会主义经济理论</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货币银行学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国际经济学</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财政学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英语写作</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同等学力英语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restart"/>
            <w:vAlign w:val="center"/>
          </w:tcPr>
          <w:p>
            <w:pPr>
              <w:spacing w:line="360" w:lineRule="auto"/>
              <w:jc w:val="left"/>
              <w:rPr>
                <w:rFonts w:ascii="宋体" w:hAnsi="宋体" w:eastAsia="宋体" w:cs="宋体"/>
                <w:b/>
                <w:bCs/>
                <w:szCs w:val="21"/>
              </w:rPr>
            </w:pPr>
            <w:r>
              <w:rPr>
                <w:rFonts w:hint="eastAsia" w:ascii="宋体" w:hAnsi="宋体" w:eastAsia="宋体" w:cs="宋体"/>
                <w:b/>
                <w:bCs/>
                <w:szCs w:val="21"/>
              </w:rPr>
              <w:t>专业选修课</w:t>
            </w: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国际金融</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资本市场理论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公司金融</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金融工程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金融风险管理</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金融计量学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投资银行与IPO</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财务战略与财务报表分析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证券与基金投资策略</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资产证券化理论与案例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金融科技与金融创新</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商业银行管理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国际金融与外汇市场</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金融研究前沿专题系列讲座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restart"/>
            <w:vAlign w:val="center"/>
          </w:tcPr>
          <w:p>
            <w:pPr>
              <w:spacing w:line="360" w:lineRule="auto"/>
              <w:jc w:val="left"/>
              <w:rPr>
                <w:rFonts w:ascii="宋体" w:hAnsi="宋体" w:eastAsia="宋体" w:cs="宋体"/>
                <w:b/>
                <w:bCs/>
                <w:szCs w:val="21"/>
              </w:rPr>
            </w:pPr>
            <w:r>
              <w:rPr>
                <w:rFonts w:hint="eastAsia" w:ascii="宋体" w:hAnsi="宋体" w:eastAsia="宋体" w:cs="宋体"/>
                <w:b/>
                <w:bCs/>
                <w:szCs w:val="21"/>
              </w:rPr>
              <w:t>专业方向课</w:t>
            </w: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投资与理论研究</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企业上市与资本运营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并购与资产重组</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金融投资风险管理</w:t>
            </w:r>
          </w:p>
        </w:tc>
      </w:tr>
    </w:tbl>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六、收费标准</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学费：</w:t>
      </w:r>
      <w:r>
        <w:rPr>
          <w:rFonts w:ascii="宋体" w:hAnsi="宋体" w:eastAsia="宋体" w:cs="宋体"/>
          <w:szCs w:val="21"/>
        </w:rPr>
        <w:t>15000</w:t>
      </w:r>
      <w:r>
        <w:rPr>
          <w:rFonts w:hint="eastAsia" w:ascii="宋体" w:hAnsi="宋体" w:eastAsia="宋体" w:cs="宋体"/>
          <w:szCs w:val="21"/>
        </w:rPr>
        <w:t>元。</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七、培养方式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1、学习时间：学制1年；</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2、学习方式：采取面授+网络远程学习的方式进行授课。学习期间采取理论与实践相结合、课堂讲授与自学相结合的方式，远程班学员可自行调节学习时间利用互联网学习。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八、报名手续</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1、本人身份证及复印件（原件验后归还）；</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 xml:space="preserve">2、本科毕业证书及复印件和学士学位证书原件及复印件（原件验后归还）； </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3、正面1寸近照2张、2寸2张。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九、获取证书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通过本专业硕士研究生所有必修课程和选修课程考试，修满学分，成绩合格，课程学习结束后颁发江西财经大学硕士研究生课程班结业证书。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符合国务院学位办申请学位条件的学员可申请我校经济学硕士学位。学位论文答辩通过后，我校将授予国务院学位委员会统一颁发的经济学硕士学位证书。</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十、联系方式</w:t>
      </w:r>
    </w:p>
    <w:p>
      <w:pPr>
        <w:spacing w:line="360" w:lineRule="auto"/>
        <w:ind w:firstLine="420" w:firstLineChars="200"/>
        <w:jc w:val="left"/>
        <w:rPr>
          <w:rFonts w:hint="eastAsia" w:ascii="宋体" w:hAnsi="宋体" w:eastAsia="宋体" w:cs="宋体"/>
          <w:szCs w:val="21"/>
          <w:lang w:val="en-US" w:eastAsia="zh-CN"/>
        </w:rPr>
      </w:pPr>
      <w:r>
        <w:rPr>
          <w:rFonts w:hint="eastAsia" w:ascii="宋体" w:hAnsi="宋体" w:eastAsia="宋体" w:cs="宋体"/>
          <w:szCs w:val="21"/>
        </w:rPr>
        <w:t>电话：</w:t>
      </w:r>
      <w:r>
        <w:rPr>
          <w:rFonts w:hint="eastAsia" w:ascii="宋体" w:hAnsi="宋体" w:eastAsia="宋体" w:cs="宋体"/>
          <w:szCs w:val="21"/>
          <w:lang w:val="en-US" w:eastAsia="zh-CN"/>
        </w:rPr>
        <w:t>400-061-6586</w:t>
      </w: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jc w:val="center"/>
        <w:rPr>
          <w:rFonts w:hint="eastAsia"/>
          <w:sz w:val="36"/>
          <w:szCs w:val="36"/>
        </w:rPr>
      </w:pPr>
      <w:r>
        <w:rPr>
          <w:rFonts w:hint="eastAsia"/>
          <w:sz w:val="36"/>
          <w:szCs w:val="36"/>
        </w:rPr>
        <w:t>校方</w:t>
      </w:r>
      <w:r>
        <w:rPr>
          <w:rFonts w:hint="eastAsia"/>
          <w:sz w:val="36"/>
          <w:szCs w:val="36"/>
          <w:lang w:val="en-US" w:eastAsia="zh-CN"/>
        </w:rPr>
        <w:t>报</w:t>
      </w:r>
      <w:r>
        <w:rPr>
          <w:rFonts w:hint="eastAsia"/>
          <w:sz w:val="36"/>
          <w:szCs w:val="36"/>
        </w:rPr>
        <w:t>名</w:t>
      </w:r>
      <w:r>
        <w:rPr>
          <w:rFonts w:hint="eastAsia"/>
          <w:sz w:val="36"/>
          <w:szCs w:val="36"/>
          <w:lang w:val="en-US" w:eastAsia="zh-CN"/>
        </w:rPr>
        <w:t>申请</w:t>
      </w:r>
      <w:r>
        <w:rPr>
          <w:rFonts w:hint="eastAsia"/>
          <w:sz w:val="36"/>
          <w:szCs w:val="36"/>
        </w:rPr>
        <w:t>表</w:t>
      </w:r>
    </w:p>
    <w:p>
      <w:pPr>
        <w:jc w:val="left"/>
        <w:rPr>
          <w:rFonts w:hint="eastAsia" w:eastAsia="宋体"/>
          <w:szCs w:val="21"/>
          <w:lang w:val="en-US" w:eastAsia="zh-CN"/>
        </w:rPr>
      </w:pP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7"/>
        <w:gridCol w:w="1217"/>
        <w:gridCol w:w="1217"/>
        <w:gridCol w:w="1135"/>
        <w:gridCol w:w="1300"/>
        <w:gridCol w:w="2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1217" w:type="dxa"/>
            <w:noWrap w:val="0"/>
            <w:vAlign w:val="top"/>
          </w:tcPr>
          <w:p>
            <w:pPr>
              <w:jc w:val="left"/>
              <w:rPr>
                <w:rFonts w:hint="eastAsia"/>
                <w:sz w:val="24"/>
                <w:szCs w:val="24"/>
              </w:rPr>
            </w:pPr>
            <w:r>
              <w:rPr>
                <w:rFonts w:hint="eastAsia"/>
                <w:sz w:val="24"/>
                <w:szCs w:val="24"/>
              </w:rPr>
              <w:t>课程全名</w:t>
            </w:r>
          </w:p>
        </w:tc>
        <w:tc>
          <w:tcPr>
            <w:tcW w:w="7305" w:type="dxa"/>
            <w:gridSpan w:val="5"/>
            <w:noWrap w:val="0"/>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AFAFA"/>
              <w:spacing w:before="0" w:beforeAutospacing="0" w:after="300" w:afterAutospacing="0" w:line="525" w:lineRule="atLeast"/>
              <w:ind w:left="0" w:right="0" w:firstLine="0"/>
              <w:rPr>
                <w:rFonts w:hint="eastAsia" w:eastAsia="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姓   名</w:t>
            </w:r>
          </w:p>
        </w:tc>
        <w:tc>
          <w:tcPr>
            <w:tcW w:w="1217" w:type="dxa"/>
            <w:noWrap w:val="0"/>
            <w:vAlign w:val="top"/>
          </w:tcPr>
          <w:p>
            <w:pPr>
              <w:jc w:val="left"/>
              <w:rPr>
                <w:rFonts w:hint="eastAsia" w:eastAsia="宋体"/>
                <w:szCs w:val="21"/>
                <w:lang w:val="en-US" w:eastAsia="zh-CN"/>
              </w:rPr>
            </w:pPr>
          </w:p>
        </w:tc>
        <w:tc>
          <w:tcPr>
            <w:tcW w:w="1217" w:type="dxa"/>
            <w:noWrap w:val="0"/>
            <w:vAlign w:val="top"/>
          </w:tcPr>
          <w:p>
            <w:pPr>
              <w:jc w:val="left"/>
              <w:rPr>
                <w:rFonts w:hint="eastAsia"/>
                <w:szCs w:val="21"/>
              </w:rPr>
            </w:pPr>
            <w:r>
              <w:rPr>
                <w:rFonts w:hint="eastAsia"/>
                <w:szCs w:val="21"/>
              </w:rPr>
              <w:t>性   别</w:t>
            </w:r>
          </w:p>
        </w:tc>
        <w:tc>
          <w:tcPr>
            <w:tcW w:w="1135" w:type="dxa"/>
            <w:noWrap w:val="0"/>
            <w:vAlign w:val="top"/>
          </w:tcPr>
          <w:p>
            <w:pPr>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出生日期</w:t>
            </w:r>
          </w:p>
        </w:tc>
        <w:tc>
          <w:tcPr>
            <w:tcW w:w="2436" w:type="dxa"/>
            <w:noWrap w:val="0"/>
            <w:vAlign w:val="top"/>
          </w:tcPr>
          <w:p>
            <w:pPr>
              <w:jc w:val="left"/>
              <w:rPr>
                <w:rFonts w:hint="eastAsia" w:eastAsia="宋体"/>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民   族</w:t>
            </w:r>
          </w:p>
        </w:tc>
        <w:tc>
          <w:tcPr>
            <w:tcW w:w="1217" w:type="dxa"/>
            <w:noWrap w:val="0"/>
            <w:vAlign w:val="top"/>
          </w:tcPr>
          <w:p>
            <w:pPr>
              <w:jc w:val="left"/>
              <w:rPr>
                <w:rFonts w:hint="eastAsia"/>
                <w:szCs w:val="21"/>
              </w:rPr>
            </w:pPr>
          </w:p>
        </w:tc>
        <w:tc>
          <w:tcPr>
            <w:tcW w:w="1217" w:type="dxa"/>
            <w:noWrap w:val="0"/>
            <w:vAlign w:val="top"/>
          </w:tcPr>
          <w:p>
            <w:pPr>
              <w:jc w:val="left"/>
              <w:rPr>
                <w:rFonts w:hint="eastAsia"/>
                <w:szCs w:val="21"/>
              </w:rPr>
            </w:pPr>
            <w:r>
              <w:rPr>
                <w:rFonts w:hint="eastAsia"/>
                <w:szCs w:val="21"/>
              </w:rPr>
              <w:t>籍   贯</w:t>
            </w:r>
          </w:p>
        </w:tc>
        <w:tc>
          <w:tcPr>
            <w:tcW w:w="1135" w:type="dxa"/>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职务/职称</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身份证号</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工作年限</w:t>
            </w:r>
          </w:p>
        </w:tc>
        <w:tc>
          <w:tcPr>
            <w:tcW w:w="2436" w:type="dxa"/>
            <w:noWrap w:val="0"/>
            <w:vAlign w:val="top"/>
          </w:tcPr>
          <w:p>
            <w:pPr>
              <w:jc w:val="left"/>
              <w:rPr>
                <w:rFonts w:hint="eastAsia" w:eastAsia="宋体"/>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vMerge w:val="restart"/>
            <w:noWrap w:val="0"/>
            <w:vAlign w:val="top"/>
          </w:tcPr>
          <w:p>
            <w:pPr>
              <w:jc w:val="left"/>
              <w:rPr>
                <w:rFonts w:hint="eastAsia"/>
                <w:szCs w:val="21"/>
              </w:rPr>
            </w:pPr>
            <w:r>
              <w:rPr>
                <w:rFonts w:hint="eastAsia"/>
                <w:szCs w:val="21"/>
              </w:rPr>
              <w:t>教育程度</w:t>
            </w:r>
          </w:p>
        </w:tc>
        <w:tc>
          <w:tcPr>
            <w:tcW w:w="1217" w:type="dxa"/>
            <w:noWrap w:val="0"/>
            <w:vAlign w:val="top"/>
          </w:tcPr>
          <w:p>
            <w:pPr>
              <w:jc w:val="left"/>
              <w:rPr>
                <w:rFonts w:hint="eastAsia"/>
                <w:szCs w:val="21"/>
              </w:rPr>
            </w:pPr>
            <w:r>
              <w:rPr>
                <w:rFonts w:hint="eastAsia"/>
                <w:szCs w:val="21"/>
              </w:rPr>
              <w:t>学    历</w:t>
            </w:r>
          </w:p>
        </w:tc>
        <w:tc>
          <w:tcPr>
            <w:tcW w:w="2352" w:type="dxa"/>
            <w:gridSpan w:val="2"/>
            <w:noWrap w:val="0"/>
            <w:vAlign w:val="top"/>
          </w:tcPr>
          <w:p>
            <w:pPr>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毕业院校</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vMerge w:val="continue"/>
            <w:noWrap w:val="0"/>
            <w:vAlign w:val="top"/>
          </w:tcPr>
          <w:p>
            <w:pPr>
              <w:jc w:val="left"/>
              <w:rPr>
                <w:rFonts w:hint="eastAsia"/>
                <w:szCs w:val="21"/>
              </w:rPr>
            </w:pPr>
          </w:p>
        </w:tc>
        <w:tc>
          <w:tcPr>
            <w:tcW w:w="1217" w:type="dxa"/>
            <w:noWrap w:val="0"/>
            <w:vAlign w:val="top"/>
          </w:tcPr>
          <w:p>
            <w:pPr>
              <w:jc w:val="left"/>
              <w:rPr>
                <w:rFonts w:hint="eastAsia"/>
                <w:szCs w:val="21"/>
              </w:rPr>
            </w:pPr>
            <w:r>
              <w:rPr>
                <w:rFonts w:hint="eastAsia"/>
                <w:szCs w:val="21"/>
              </w:rPr>
              <w:t>学    位</w:t>
            </w:r>
          </w:p>
        </w:tc>
        <w:tc>
          <w:tcPr>
            <w:tcW w:w="2352" w:type="dxa"/>
            <w:gridSpan w:val="2"/>
            <w:noWrap w:val="0"/>
            <w:vAlign w:val="top"/>
          </w:tcPr>
          <w:p>
            <w:pPr>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专    业</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毕业时间</w:t>
            </w:r>
          </w:p>
        </w:tc>
        <w:tc>
          <w:tcPr>
            <w:tcW w:w="2434" w:type="dxa"/>
            <w:gridSpan w:val="2"/>
            <w:noWrap w:val="0"/>
            <w:vAlign w:val="top"/>
          </w:tcPr>
          <w:p>
            <w:pPr>
              <w:jc w:val="left"/>
              <w:rPr>
                <w:rFonts w:hint="eastAsia"/>
                <w:szCs w:val="21"/>
              </w:rPr>
            </w:pPr>
          </w:p>
        </w:tc>
        <w:tc>
          <w:tcPr>
            <w:tcW w:w="1135" w:type="dxa"/>
            <w:noWrap w:val="0"/>
            <w:vAlign w:val="top"/>
          </w:tcPr>
          <w:p>
            <w:pPr>
              <w:jc w:val="left"/>
              <w:rPr>
                <w:rFonts w:hint="eastAsia"/>
                <w:szCs w:val="21"/>
              </w:rPr>
            </w:pPr>
            <w:r>
              <w:rPr>
                <w:rFonts w:hint="eastAsia"/>
                <w:szCs w:val="21"/>
              </w:rPr>
              <w:t>付款方式</w:t>
            </w:r>
          </w:p>
        </w:tc>
        <w:tc>
          <w:tcPr>
            <w:tcW w:w="3736" w:type="dxa"/>
            <w:gridSpan w:val="2"/>
            <w:noWrap w:val="0"/>
            <w:vAlign w:val="top"/>
          </w:tcPr>
          <w:p>
            <w:pPr>
              <w:ind w:firstLine="315" w:firstLineChars="150"/>
              <w:jc w:val="left"/>
              <w:rPr>
                <w:rFonts w:hint="eastAsia"/>
                <w:szCs w:val="21"/>
              </w:rPr>
            </w:pPr>
            <w:r>
              <w:rPr>
                <w:rFonts w:hint="eastAsia"/>
                <w:szCs w:val="21"/>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29845</wp:posOffset>
                      </wp:positionV>
                      <wp:extent cx="124460" cy="123825"/>
                      <wp:effectExtent l="4445" t="5080" r="8255" b="8255"/>
                      <wp:wrapNone/>
                      <wp:docPr id="1" name="矩形 1"/>
                      <wp:cNvGraphicFramePr/>
                      <a:graphic xmlns:a="http://schemas.openxmlformats.org/drawingml/2006/main">
                        <a:graphicData uri="http://schemas.microsoft.com/office/word/2010/wordprocessingShape">
                          <wps:wsp>
                            <wps:cNvSpPr/>
                            <wps:spPr>
                              <a:xfrm>
                                <a:off x="0" y="0"/>
                                <a:ext cx="12446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0.65pt;margin-top:2.35pt;height:9.75pt;width:9.8pt;z-index:251659264;mso-width-relative:page;mso-height-relative:page;" fillcolor="#FFFFFF" filled="t" stroked="t" coordsize="21600,21600" o:gfxdata="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72nqNMAAAAFAQAADwAAAAAA&#10;AAABACAAAAAiAAAAZHJzL2Rvd25yZXYueG1sUEsBAhQAFAAAAAgAh07iQMbC+ALfAQAAzwMAAA4A&#10;AAAAAAAAAQAgAAAAIgEAAGRycy9lMm9Eb2MueG1sUEsFBgAAAAAGAAYAWQEAAHMFAAAAAA==&#10;">
                      <v:fill on="t" focussize="0,0"/>
                      <v:stroke color="#000000" joinstyle="miter"/>
                      <v:imagedata o:title=""/>
                      <o:lock v:ext="edit" aspectratio="f"/>
                    </v:rect>
                  </w:pict>
                </mc:Fallback>
              </mc:AlternateContent>
            </w:r>
            <w:r>
              <w:rPr>
                <w:rFonts w:hint="eastAsia"/>
                <w:szCs w:val="21"/>
              </w:rPr>
              <mc:AlternateContent>
                <mc:Choice Requires="wps">
                  <w:drawing>
                    <wp:anchor distT="0" distB="0" distL="114300" distR="114300" simplePos="0" relativeHeight="251658240" behindDoc="0" locked="0" layoutInCell="1" allowOverlap="1">
                      <wp:simplePos x="0" y="0"/>
                      <wp:positionH relativeFrom="column">
                        <wp:posOffset>761365</wp:posOffset>
                      </wp:positionH>
                      <wp:positionV relativeFrom="paragraph">
                        <wp:posOffset>29845</wp:posOffset>
                      </wp:positionV>
                      <wp:extent cx="123825" cy="123825"/>
                      <wp:effectExtent l="5080" t="5080" r="8255" b="8255"/>
                      <wp:wrapNone/>
                      <wp:docPr id="2" name="矩形 2"/>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59.95pt;margin-top:2.35pt;height:9.75pt;width:9.75pt;z-index:251658240;mso-width-relative:page;mso-height-relative:page;" fillcolor="#FFFFFF" filled="t" stroked="t" coordsize="21600,21600" o:gfxdata="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bylw9YAAAAIAQAADwAAAAAA&#10;AAABACAAAAAiAAAAZHJzL2Rvd25yZXYueG1sUEsBAhQAFAAAAAgAh07iQMogi73cAQAAzwMAAA4A&#10;AAAAAAAAAQAgAAAAJQEAAGRycy9lMm9Eb2MueG1sUEsFBgAAAAAGAAYAWQEAAHMFAAAAAA==&#10;">
                      <v:fill on="t" focussize="0,0"/>
                      <v:stroke color="#000000" joinstyle="miter"/>
                      <v:imagedata o:title=""/>
                      <o:lock v:ext="edit" aspectratio="f"/>
                    </v:rect>
                  </w:pict>
                </mc:Fallback>
              </mc:AlternateContent>
            </w:r>
            <w:r>
              <w:rPr>
                <w:rFonts w:hint="eastAsia"/>
                <w:szCs w:val="21"/>
              </w:rPr>
              <mc:AlternateContent>
                <mc:Choice Requires="wps">
                  <w:drawing>
                    <wp:anchor distT="0" distB="0" distL="114300" distR="114300" simplePos="0" relativeHeight="251660288" behindDoc="0" locked="0" layoutInCell="1" allowOverlap="1">
                      <wp:simplePos x="0" y="0"/>
                      <wp:positionH relativeFrom="column">
                        <wp:posOffset>1503680</wp:posOffset>
                      </wp:positionH>
                      <wp:positionV relativeFrom="paragraph">
                        <wp:posOffset>29845</wp:posOffset>
                      </wp:positionV>
                      <wp:extent cx="105410" cy="123825"/>
                      <wp:effectExtent l="4445" t="5080" r="12065" b="8255"/>
                      <wp:wrapNone/>
                      <wp:docPr id="3" name="矩形 3"/>
                      <wp:cNvGraphicFramePr/>
                      <a:graphic xmlns:a="http://schemas.openxmlformats.org/drawingml/2006/main">
                        <a:graphicData uri="http://schemas.microsoft.com/office/word/2010/wordprocessingShape">
                          <wps:wsp>
                            <wps:cNvSpPr/>
                            <wps:spPr>
                              <a:xfrm>
                                <a:off x="0" y="0"/>
                                <a:ext cx="10541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18.4pt;margin-top:2.35pt;height:9.75pt;width:8.3pt;z-index:251660288;mso-width-relative:page;mso-height-relative:page;" fillcolor="#FFFFFF" filled="t" stroked="t" coordsize="21600,21600" o:gfxdata="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HjtdH9cAAAAIAQAADwAA&#10;AAAAAAABACAAAAAiAAAAZHJzL2Rvd25yZXYueG1sUEsBAhQAFAAAAAgAh07iQFAoLoXeAQAAzwMA&#10;AA4AAAAAAAAAAQAgAAAAJgEAAGRycy9lMm9Eb2MueG1sUEsFBgAAAAAGAAYAWQEAAHYFAAAAAA==&#10;">
                      <v:fill on="t" focussize="0,0"/>
                      <v:stroke color="#000000" joinstyle="miter"/>
                      <v:imagedata o:title=""/>
                      <o:lock v:ext="edit" aspectratio="f"/>
                    </v:rect>
                  </w:pict>
                </mc:Fallback>
              </mc:AlternateContent>
            </w:r>
            <w:r>
              <w:rPr>
                <w:rFonts w:hint="eastAsia"/>
                <w:szCs w:val="21"/>
              </w:rPr>
              <w:t>银行汇款   现</w:t>
            </w:r>
            <w:r>
              <w:rPr>
                <w:rFonts w:hint="eastAsia"/>
                <w:szCs w:val="21"/>
                <w:lang w:val="en-US" w:eastAsia="zh-CN"/>
              </w:rPr>
              <w:t>金</w:t>
            </w:r>
            <w:r>
              <w:rPr>
                <w:rFonts w:hint="eastAsia"/>
                <w:szCs w:val="21"/>
              </w:rPr>
              <w:t>付款   电子转账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公司</w:t>
            </w:r>
            <w:r>
              <w:rPr>
                <w:rFonts w:hint="eastAsia"/>
                <w:szCs w:val="21"/>
                <w:lang w:val="en-US" w:eastAsia="zh-CN"/>
              </w:rPr>
              <w:t>官方名称</w:t>
            </w:r>
          </w:p>
        </w:tc>
        <w:tc>
          <w:tcPr>
            <w:tcW w:w="7305" w:type="dxa"/>
            <w:gridSpan w:val="5"/>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电    话</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传   真</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手    机</w:t>
            </w:r>
          </w:p>
        </w:tc>
        <w:tc>
          <w:tcPr>
            <w:tcW w:w="3569" w:type="dxa"/>
            <w:gridSpan w:val="3"/>
            <w:noWrap w:val="0"/>
            <w:vAlign w:val="top"/>
          </w:tcPr>
          <w:p>
            <w:pPr>
              <w:keepNext w:val="0"/>
              <w:keepLines w:val="0"/>
              <w:widowControl/>
              <w:suppressLineNumbers w:val="0"/>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邮   编</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电子邮箱</w:t>
            </w:r>
          </w:p>
        </w:tc>
        <w:tc>
          <w:tcPr>
            <w:tcW w:w="3569" w:type="dxa"/>
            <w:gridSpan w:val="3"/>
            <w:noWrap w:val="0"/>
            <w:vAlign w:val="top"/>
          </w:tcPr>
          <w:p>
            <w:pPr>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单位性质</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通</w:t>
            </w:r>
            <w:r>
              <w:rPr>
                <w:rFonts w:hint="eastAsia"/>
                <w:szCs w:val="21"/>
                <w:lang w:val="en-US" w:eastAsia="zh-CN"/>
              </w:rPr>
              <w:t>讯</w:t>
            </w:r>
            <w:r>
              <w:rPr>
                <w:rFonts w:hint="eastAsia"/>
                <w:szCs w:val="21"/>
              </w:rPr>
              <w:t>地址</w:t>
            </w:r>
          </w:p>
        </w:tc>
        <w:tc>
          <w:tcPr>
            <w:tcW w:w="7305" w:type="dxa"/>
            <w:gridSpan w:val="5"/>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6"/>
            <w:noWrap w:val="0"/>
            <w:vAlign w:val="top"/>
          </w:tcPr>
          <w:p>
            <w:pPr>
              <w:jc w:val="left"/>
              <w:rPr>
                <w:rFonts w:hint="eastAsia"/>
                <w:szCs w:val="21"/>
              </w:rPr>
            </w:pPr>
            <w:r>
              <w:rPr>
                <w:rFonts w:hint="eastAsia"/>
                <w:szCs w:val="21"/>
              </w:rPr>
              <w:t>工作简历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25" w:hRule="atLeast"/>
        </w:trPr>
        <w:tc>
          <w:tcPr>
            <w:tcW w:w="8522" w:type="dxa"/>
            <w:gridSpan w:val="6"/>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6"/>
            <w:noWrap w:val="0"/>
            <w:vAlign w:val="top"/>
          </w:tcPr>
          <w:p>
            <w:pPr>
              <w:jc w:val="left"/>
              <w:rPr>
                <w:rFonts w:hint="eastAsia"/>
                <w:szCs w:val="21"/>
              </w:rPr>
            </w:pPr>
            <w:r>
              <w:rPr>
                <w:rFonts w:hint="eastAsia"/>
                <w:szCs w:val="21"/>
              </w:rPr>
              <w:t>学习建议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3" w:hRule="atLeast"/>
        </w:trPr>
        <w:tc>
          <w:tcPr>
            <w:tcW w:w="8522" w:type="dxa"/>
            <w:gridSpan w:val="6"/>
            <w:noWrap w:val="0"/>
            <w:vAlign w:val="top"/>
          </w:tcPr>
          <w:p>
            <w:pPr>
              <w:jc w:val="left"/>
              <w:rPr>
                <w:rFonts w:hint="eastAsia" w:eastAsia="宋体"/>
                <w:szCs w:val="21"/>
                <w:lang w:val="en-US" w:eastAsia="zh-CN"/>
              </w:rPr>
            </w:pPr>
          </w:p>
        </w:tc>
      </w:tr>
    </w:tbl>
    <w:p>
      <w:pPr>
        <w:spacing w:line="360" w:lineRule="auto"/>
        <w:ind w:firstLine="420" w:firstLineChars="200"/>
        <w:jc w:val="left"/>
        <w:rPr>
          <w:rFonts w:hint="default" w:ascii="宋体" w:hAnsi="宋体" w:eastAsia="宋体" w:cs="宋体"/>
          <w:szCs w:val="21"/>
          <w:lang w:val="en-US" w:eastAsia="zh-CN"/>
        </w:rPr>
      </w:pPr>
    </w:p>
    <w:p>
      <w:pPr>
        <w:spacing w:line="360" w:lineRule="auto"/>
        <w:jc w:val="left"/>
        <w:rPr>
          <w:rFonts w:ascii="宋体" w:hAnsi="宋体" w:eastAsia="宋体" w:cs="宋体"/>
          <w:szCs w:val="21"/>
        </w:rPr>
      </w:pPr>
    </w:p>
    <w:p>
      <w:pPr>
        <w:spacing w:line="360" w:lineRule="auto"/>
        <w:jc w:val="left"/>
        <w:rPr>
          <w:rFonts w:hint="default" w:ascii="宋体" w:hAnsi="宋体" w:eastAsia="宋体" w:cs="宋体"/>
          <w:szCs w:val="21"/>
          <w:lang w:val="en-US" w:eastAsia="zh-CN"/>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A5C92"/>
    <w:rsid w:val="00336706"/>
    <w:rsid w:val="006F683F"/>
    <w:rsid w:val="0080633E"/>
    <w:rsid w:val="138A5C92"/>
    <w:rsid w:val="1CC0486E"/>
    <w:rsid w:val="3A120859"/>
    <w:rsid w:val="52403C93"/>
    <w:rsid w:val="5D8019F4"/>
    <w:rsid w:val="64662596"/>
    <w:rsid w:val="65674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Strong"/>
    <w:basedOn w:val="7"/>
    <w:qFormat/>
    <w:uiPriority w:val="22"/>
    <w:rPr>
      <w:b/>
      <w:bCs/>
    </w:rPr>
  </w:style>
  <w:style w:type="character" w:customStyle="1" w:styleId="9">
    <w:name w:val="页眉 Char"/>
    <w:basedOn w:val="7"/>
    <w:link w:val="4"/>
    <w:uiPriority w:val="0"/>
    <w:rPr>
      <w:kern w:val="2"/>
      <w:sz w:val="18"/>
      <w:szCs w:val="18"/>
    </w:rPr>
  </w:style>
  <w:style w:type="character" w:customStyle="1" w:styleId="10">
    <w:name w:val="页脚 Char"/>
    <w:basedOn w:val="7"/>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271</Words>
  <Characters>1548</Characters>
  <Lines>12</Lines>
  <Paragraphs>3</Paragraphs>
  <TotalTime>0</TotalTime>
  <ScaleCrop>false</ScaleCrop>
  <LinksUpToDate>false</LinksUpToDate>
  <CharactersWithSpaces>1816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2018-11-12T03:53:00Z</dcterms:created>
  <dc:creator>北京-网络编辑-曹童童</dc:creator>
  <cp:lastModifiedBy>蓝海智慧郑老师</cp:lastModifiedBy>
  <dcterms:modified xsi:type="dcterms:W3CDTF">2019-05-22T01:04:33Z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