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Cs w:val="21"/>
        </w:rPr>
      </w:pPr>
      <w:r>
        <w:rPr>
          <w:rFonts w:hint="eastAsia" w:ascii="宋体" w:hAnsi="宋体" w:cs="宋体"/>
          <w:b/>
          <w:bCs/>
          <w:szCs w:val="21"/>
        </w:rPr>
        <w:drawing>
          <wp:inline distT="0" distB="0" distL="114300" distR="114300">
            <wp:extent cx="2286000" cy="723900"/>
            <wp:effectExtent l="0" t="0" r="0" b="0"/>
            <wp:docPr id="2" name="图片 2" descr="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ncu"/>
                    <pic:cNvPicPr>
                      <a:picLocks noChangeAspect="1"/>
                    </pic:cNvPicPr>
                  </pic:nvPicPr>
                  <pic:blipFill>
                    <a:blip r:embed="rId5"/>
                    <a:stretch>
                      <a:fillRect/>
                    </a:stretch>
                  </pic:blipFill>
                  <pic:spPr>
                    <a:xfrm>
                      <a:off x="0" y="0"/>
                      <a:ext cx="2286000" cy="723900"/>
                    </a:xfrm>
                    <a:prstGeom prst="rect">
                      <a:avLst/>
                    </a:prstGeom>
                  </pic:spPr>
                </pic:pic>
              </a:graphicData>
            </a:graphic>
          </wp:inline>
        </w:drawing>
      </w:r>
    </w:p>
    <w:p>
      <w:pPr>
        <w:spacing w:line="360" w:lineRule="auto"/>
        <w:jc w:val="center"/>
        <w:rPr>
          <w:rFonts w:ascii="宋体" w:hAnsi="宋体" w:cs="宋体"/>
          <w:b/>
          <w:bCs/>
          <w:sz w:val="28"/>
          <w:szCs w:val="28"/>
        </w:rPr>
      </w:pPr>
      <w:r>
        <w:rPr>
          <w:rFonts w:hint="eastAsia" w:ascii="宋体" w:hAnsi="宋体" w:cs="宋体"/>
          <w:b/>
          <w:bCs/>
          <w:sz w:val="28"/>
          <w:szCs w:val="28"/>
        </w:rPr>
        <w:t>南昌大学新闻与传播学院广播电视艺术学专业</w:t>
      </w:r>
    </w:p>
    <w:p>
      <w:pPr>
        <w:spacing w:line="360" w:lineRule="auto"/>
        <w:jc w:val="center"/>
        <w:rPr>
          <w:rFonts w:hint="eastAsia" w:ascii="宋体" w:hAnsi="宋体" w:cs="宋体" w:eastAsiaTheme="minorEastAsia"/>
          <w:b/>
          <w:bCs/>
          <w:sz w:val="28"/>
          <w:szCs w:val="28"/>
          <w:lang w:eastAsia="zh-CN"/>
        </w:rPr>
      </w:pPr>
      <w:r>
        <w:rPr>
          <w:rFonts w:hint="eastAsia" w:ascii="宋体" w:hAnsi="宋体" w:cs="宋体"/>
          <w:b/>
          <w:bCs/>
          <w:sz w:val="28"/>
          <w:szCs w:val="28"/>
        </w:rPr>
        <w:t>同等学力申请硕士学位招生简章·</w:t>
      </w:r>
      <w:r>
        <w:rPr>
          <w:rFonts w:hint="eastAsia" w:ascii="宋体" w:hAnsi="宋体" w:cs="宋体"/>
          <w:b/>
          <w:bCs/>
          <w:sz w:val="28"/>
          <w:szCs w:val="28"/>
          <w:lang w:eastAsia="zh-CN"/>
        </w:rPr>
        <w:t>全国</w:t>
      </w:r>
    </w:p>
    <w:p>
      <w:pPr>
        <w:spacing w:line="360" w:lineRule="auto"/>
        <w:ind w:firstLine="420" w:firstLineChars="200"/>
        <w:jc w:val="left"/>
      </w:pPr>
      <w:r>
        <w:rPr>
          <w:rFonts w:hint="eastAsia"/>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pPr>
    </w:p>
    <w:p>
      <w:pPr>
        <w:spacing w:line="360" w:lineRule="auto"/>
        <w:jc w:val="left"/>
        <w:rPr>
          <w:b/>
          <w:bCs/>
        </w:rPr>
      </w:pPr>
      <w:r>
        <w:rPr>
          <w:rFonts w:hint="eastAsia"/>
          <w:b/>
          <w:bCs/>
        </w:rPr>
        <w:t>一、专业简述</w:t>
      </w:r>
    </w:p>
    <w:p>
      <w:pPr>
        <w:spacing w:line="360" w:lineRule="auto"/>
        <w:ind w:firstLine="420" w:firstLineChars="200"/>
        <w:jc w:val="left"/>
      </w:pPr>
      <w:r>
        <w:rPr>
          <w:rFonts w:hint="eastAsia"/>
        </w:rPr>
        <w:t>南昌大学新闻与传播学院由新闻学系、广播电视学系、广告学系、影视传播系与现代传媒中心组成。学院历史悠久、内涵深厚，被列为“江西省高校新闻传播学科联盟”牵头单位，拥有江西省重点学科、江西省哲学社会科学重点研究基地“舆情监测与治理研究中心”，入选教育部首批专业综合试点专业（全国仅有两个同类点获批），省卓越传媒人才工程等。</w:t>
      </w:r>
    </w:p>
    <w:p>
      <w:pPr>
        <w:spacing w:line="360" w:lineRule="auto"/>
        <w:ind w:firstLine="420" w:firstLineChars="200"/>
        <w:jc w:val="left"/>
      </w:pPr>
      <w:r>
        <w:rPr>
          <w:rFonts w:hint="eastAsia"/>
        </w:rPr>
        <w:t>广播电视艺术是 20 世纪伴随着电子技术飞速发展而诞生的新兴艺术学科。它是一个内容丰富、形式繁多的研究领域，可以反映出当代最前沿的审美思潮、艺术观念和思维方式。</w:t>
      </w:r>
    </w:p>
    <w:p>
      <w:pPr>
        <w:spacing w:line="360" w:lineRule="auto"/>
        <w:ind w:firstLine="420" w:firstLineChars="200"/>
        <w:jc w:val="left"/>
      </w:pPr>
      <w:r>
        <w:rPr>
          <w:rFonts w:hint="eastAsia"/>
        </w:rPr>
        <w:t>为适应社会发展和经济建设的需要，提高教育、科技、管理等方面专业人员的素质，多渠道地促进广播电视艺术学专业人才培养，经国务院学位委员会批准，特在</w:t>
      </w:r>
      <w:r>
        <w:rPr>
          <w:rFonts w:hint="eastAsia"/>
          <w:color w:val="FF0000"/>
        </w:rPr>
        <w:t>xx</w:t>
      </w:r>
      <w:r>
        <w:rPr>
          <w:rFonts w:hint="eastAsia"/>
        </w:rPr>
        <w:t>地区开展以研究生毕业广播电视艺术学专业同等学力申请硕士学位招生及培养工作。</w:t>
      </w:r>
    </w:p>
    <w:p>
      <w:pPr>
        <w:spacing w:line="360" w:lineRule="auto"/>
        <w:jc w:val="left"/>
      </w:pPr>
    </w:p>
    <w:p>
      <w:pPr>
        <w:spacing w:line="360" w:lineRule="auto"/>
        <w:jc w:val="left"/>
        <w:rPr>
          <w:b/>
          <w:bCs/>
        </w:rPr>
      </w:pPr>
      <w:r>
        <w:rPr>
          <w:rFonts w:hint="eastAsia"/>
          <w:b/>
          <w:bCs/>
        </w:rPr>
        <w:t>二、培养目标</w:t>
      </w:r>
    </w:p>
    <w:p>
      <w:pPr>
        <w:spacing w:line="360" w:lineRule="auto"/>
        <w:ind w:firstLine="420" w:firstLineChars="200"/>
        <w:jc w:val="left"/>
      </w:pPr>
      <w:r>
        <w:rPr>
          <w:rFonts w:hint="eastAsia"/>
        </w:rPr>
        <w:t>1、本专业培养具有较深厚的</w:t>
      </w:r>
      <w:r>
        <w:fldChar w:fldCharType="begin"/>
      </w:r>
      <w:r>
        <w:instrText xml:space="preserve"> HYPERLINK "https://baike.baidu.com/item/%E8%89%BA%E6%9C%AF%E7%90%86%E8%AE%BA%E5%9F%BA%E7%A1%80" \t "https://baike.baidu.com/item/%E5%B9%BF%E6%92%AD%E7%94%B5%E8%A7%86%E8%89%BA%E6%9C%AF%E5%AD%A6/_blank" </w:instrText>
      </w:r>
      <w:r>
        <w:fldChar w:fldCharType="separate"/>
      </w:r>
      <w:r>
        <w:rPr>
          <w:rFonts w:hint="eastAsia"/>
        </w:rPr>
        <w:t>艺术理论基础</w:t>
      </w:r>
      <w:r>
        <w:rPr>
          <w:rFonts w:hint="eastAsia"/>
        </w:rPr>
        <w:fldChar w:fldCharType="end"/>
      </w:r>
      <w:r>
        <w:rPr>
          <w:rFonts w:hint="eastAsia"/>
        </w:rPr>
        <w:t>，系统把握广播电视艺术理论，掌握本研究方向的专业理论及专业技能的广播电视艺术学专门人才；</w:t>
      </w:r>
    </w:p>
    <w:p>
      <w:pPr>
        <w:spacing w:line="360" w:lineRule="auto"/>
        <w:ind w:firstLine="420" w:firstLineChars="200"/>
        <w:jc w:val="left"/>
      </w:pPr>
      <w:r>
        <w:rPr>
          <w:rFonts w:hint="eastAsia"/>
        </w:rPr>
        <w:t>2、学员能了解本学科研究方向的动态和趋势，具备独立从事本专业理论研究和艺术创作的能力，可在媒体部门从事编辑、采访、节目主持、策划与管理等工作。</w:t>
      </w:r>
    </w:p>
    <w:p>
      <w:pPr>
        <w:spacing w:line="360" w:lineRule="auto"/>
        <w:jc w:val="left"/>
      </w:pPr>
    </w:p>
    <w:p>
      <w:pPr>
        <w:spacing w:line="360" w:lineRule="auto"/>
        <w:jc w:val="left"/>
        <w:rPr>
          <w:b/>
          <w:bCs/>
        </w:rPr>
      </w:pPr>
      <w:r>
        <w:rPr>
          <w:rFonts w:hint="eastAsia"/>
          <w:b/>
          <w:bCs/>
        </w:rPr>
        <w:t>三、专业优势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【名校硕士】南昌大学是国家“双一流”计划世界一流学科建设高校，是江西省唯一的国家“211工程”重点建设高校，颁发的南昌大学硕士学位，含金量足，是在职人员申硕的最佳途径；</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【性价比高】本学院同等学力申硕专业学费相较于其他211高校学费</w:t>
      </w:r>
      <w:r>
        <w:rPr>
          <w:rFonts w:hint="eastAsia" w:ascii="宋体" w:hAnsi="宋体" w:eastAsia="宋体" w:cs="宋体"/>
          <w:szCs w:val="21"/>
          <w:lang w:val="en-US" w:eastAsia="zh-CN"/>
        </w:rPr>
        <w:t>低1-2万元，</w:t>
      </w:r>
      <w:r>
        <w:rPr>
          <w:rFonts w:hint="eastAsia" w:ascii="宋体" w:hAnsi="宋体" w:eastAsia="宋体" w:cs="宋体"/>
          <w:szCs w:val="21"/>
        </w:rPr>
        <w:t>性价比高；</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【申硕机会多】南昌大学同等学力申硕学制保留7年，达申硕条件即可申请每年5月同等学力申硕考试；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【申硕通过率高】设同等学力申硕考前辅导，360度全方位剖析考纲、考点，提高申硕通过率。</w:t>
      </w:r>
    </w:p>
    <w:p>
      <w:pPr>
        <w:spacing w:line="360" w:lineRule="auto"/>
        <w:jc w:val="left"/>
      </w:pPr>
    </w:p>
    <w:p>
      <w:pPr>
        <w:spacing w:line="360" w:lineRule="auto"/>
        <w:jc w:val="left"/>
        <w:rPr>
          <w:b/>
          <w:bCs/>
        </w:rPr>
      </w:pPr>
      <w:r>
        <w:rPr>
          <w:rFonts w:hint="eastAsia"/>
          <w:b/>
          <w:bCs/>
        </w:rPr>
        <w:t>四、招生条件</w:t>
      </w:r>
    </w:p>
    <w:p>
      <w:pPr>
        <w:spacing w:line="360" w:lineRule="auto"/>
        <w:ind w:firstLine="420" w:firstLineChars="200"/>
        <w:jc w:val="left"/>
      </w:pPr>
      <w:r>
        <w:rPr>
          <w:rFonts w:hint="eastAsia"/>
        </w:rPr>
        <w:t>1、已获得学士学位，并获得学士学位后工作3年以上；</w:t>
      </w:r>
    </w:p>
    <w:p>
      <w:pPr>
        <w:spacing w:line="360" w:lineRule="auto"/>
        <w:ind w:firstLine="420" w:firstLineChars="200"/>
        <w:jc w:val="left"/>
      </w:pPr>
      <w:r>
        <w:rPr>
          <w:rFonts w:hint="eastAsia"/>
        </w:rPr>
        <w:t>2、无学士学位但已获得硕士或博士学位者；</w:t>
      </w:r>
    </w:p>
    <w:p>
      <w:pPr>
        <w:spacing w:line="360" w:lineRule="auto"/>
        <w:ind w:firstLine="420" w:firstLineChars="200"/>
        <w:jc w:val="left"/>
      </w:pPr>
      <w:r>
        <w:rPr>
          <w:rFonts w:hint="eastAsia"/>
        </w:rPr>
        <w:t>3、通过教育部留学服务中心认证的国（境）外学士、硕士或博士学位获得者。</w:t>
      </w:r>
    </w:p>
    <w:p>
      <w:pPr>
        <w:spacing w:line="360" w:lineRule="auto"/>
        <w:jc w:val="left"/>
      </w:pPr>
    </w:p>
    <w:p>
      <w:pPr>
        <w:numPr>
          <w:ilvl w:val="0"/>
          <w:numId w:val="1"/>
        </w:numPr>
        <w:spacing w:line="360" w:lineRule="auto"/>
        <w:jc w:val="left"/>
        <w:rPr>
          <w:rFonts w:hint="eastAsia"/>
          <w:b/>
          <w:bCs/>
        </w:rPr>
      </w:pPr>
      <w:r>
        <w:rPr>
          <w:rFonts w:hint="eastAsia"/>
          <w:b/>
          <w:bCs/>
        </w:rPr>
        <w:t>课程设置</w:t>
      </w:r>
    </w:p>
    <w:tbl>
      <w:tblPr>
        <w:tblStyle w:val="5"/>
        <w:tblW w:w="65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2162"/>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restart"/>
            <w:vAlign w:val="center"/>
          </w:tcPr>
          <w:p>
            <w:pPr>
              <w:spacing w:line="360" w:lineRule="auto"/>
              <w:jc w:val="center"/>
              <w:rPr>
                <w:b/>
                <w:bCs/>
              </w:rPr>
            </w:pPr>
            <w:r>
              <w:rPr>
                <w:rFonts w:hint="eastAsia"/>
                <w:b/>
                <w:bCs/>
              </w:rPr>
              <w:t>公共课</w:t>
            </w:r>
          </w:p>
        </w:tc>
        <w:tc>
          <w:tcPr>
            <w:tcW w:w="2162" w:type="dxa"/>
            <w:vAlign w:val="center"/>
          </w:tcPr>
          <w:p>
            <w:pPr>
              <w:spacing w:line="360" w:lineRule="auto"/>
              <w:jc w:val="center"/>
            </w:pPr>
            <w:r>
              <w:rPr>
                <w:rFonts w:hint="eastAsia"/>
              </w:rPr>
              <w:t>自然辩证法</w:t>
            </w:r>
          </w:p>
        </w:tc>
        <w:tc>
          <w:tcPr>
            <w:tcW w:w="2984" w:type="dxa"/>
            <w:vAlign w:val="center"/>
          </w:tcPr>
          <w:p>
            <w:pPr>
              <w:spacing w:line="360" w:lineRule="auto"/>
              <w:jc w:val="center"/>
            </w:pPr>
            <w:r>
              <w:rPr>
                <w:rFonts w:hint="eastAsia"/>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b/>
                <w:bCs/>
              </w:rPr>
            </w:pPr>
          </w:p>
        </w:tc>
        <w:tc>
          <w:tcPr>
            <w:tcW w:w="5146" w:type="dxa"/>
            <w:gridSpan w:val="2"/>
            <w:vAlign w:val="center"/>
          </w:tcPr>
          <w:p>
            <w:pPr>
              <w:spacing w:line="360" w:lineRule="auto"/>
              <w:jc w:val="center"/>
            </w:pPr>
            <w:r>
              <w:rPr>
                <w:rFonts w:hint="eastAsia"/>
              </w:rPr>
              <w:t>中国特色社会主义理论与实践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restart"/>
            <w:vAlign w:val="center"/>
          </w:tcPr>
          <w:p>
            <w:pPr>
              <w:spacing w:line="360" w:lineRule="auto"/>
              <w:jc w:val="center"/>
              <w:rPr>
                <w:b/>
                <w:bCs/>
              </w:rPr>
            </w:pPr>
            <w:r>
              <w:rPr>
                <w:rFonts w:hint="eastAsia"/>
                <w:b/>
                <w:bCs/>
              </w:rPr>
              <w:t>专业核心课</w:t>
            </w:r>
          </w:p>
        </w:tc>
        <w:tc>
          <w:tcPr>
            <w:tcW w:w="2162" w:type="dxa"/>
            <w:vAlign w:val="center"/>
          </w:tcPr>
          <w:p>
            <w:pPr>
              <w:spacing w:line="360" w:lineRule="auto"/>
              <w:jc w:val="center"/>
            </w:pPr>
            <w:r>
              <w:rPr>
                <w:rFonts w:hint="eastAsia"/>
              </w:rPr>
              <w:t>传播学理论研究</w:t>
            </w:r>
          </w:p>
        </w:tc>
        <w:tc>
          <w:tcPr>
            <w:tcW w:w="2984" w:type="dxa"/>
            <w:vAlign w:val="center"/>
          </w:tcPr>
          <w:p>
            <w:pPr>
              <w:spacing w:line="360" w:lineRule="auto"/>
              <w:jc w:val="center"/>
            </w:pPr>
            <w:r>
              <w:rPr>
                <w:rFonts w:hint="eastAsia"/>
              </w:rPr>
              <w:t>新媒体发展研究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b/>
                <w:bCs/>
              </w:rPr>
            </w:pPr>
          </w:p>
        </w:tc>
        <w:tc>
          <w:tcPr>
            <w:tcW w:w="2162" w:type="dxa"/>
            <w:vAlign w:val="center"/>
          </w:tcPr>
          <w:p>
            <w:pPr>
              <w:spacing w:line="360" w:lineRule="auto"/>
              <w:jc w:val="center"/>
            </w:pPr>
            <w:r>
              <w:rPr>
                <w:rFonts w:hint="eastAsia"/>
              </w:rPr>
              <w:t>传播语言学</w:t>
            </w:r>
          </w:p>
        </w:tc>
        <w:tc>
          <w:tcPr>
            <w:tcW w:w="2984" w:type="dxa"/>
            <w:vAlign w:val="center"/>
          </w:tcPr>
          <w:p>
            <w:pPr>
              <w:spacing w:line="360" w:lineRule="auto"/>
              <w:jc w:val="center"/>
            </w:pPr>
            <w:r>
              <w:rPr>
                <w:rFonts w:hint="eastAsia"/>
              </w:rPr>
              <w:t>影视艺术研究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b/>
                <w:bCs/>
              </w:rPr>
            </w:pPr>
          </w:p>
        </w:tc>
        <w:tc>
          <w:tcPr>
            <w:tcW w:w="2162" w:type="dxa"/>
            <w:vAlign w:val="center"/>
          </w:tcPr>
          <w:p>
            <w:pPr>
              <w:spacing w:line="360" w:lineRule="auto"/>
              <w:jc w:val="center"/>
            </w:pPr>
            <w:r>
              <w:rPr>
                <w:rFonts w:hint="eastAsia"/>
              </w:rPr>
              <w:t>媒介研究</w:t>
            </w:r>
          </w:p>
        </w:tc>
        <w:tc>
          <w:tcPr>
            <w:tcW w:w="2984"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restart"/>
            <w:vAlign w:val="center"/>
          </w:tcPr>
          <w:p>
            <w:pPr>
              <w:spacing w:line="360" w:lineRule="auto"/>
              <w:jc w:val="center"/>
              <w:rPr>
                <w:b/>
                <w:bCs/>
              </w:rPr>
            </w:pPr>
            <w:r>
              <w:rPr>
                <w:rFonts w:hint="eastAsia"/>
                <w:b/>
                <w:bCs/>
              </w:rPr>
              <w:t>专业方向课</w:t>
            </w:r>
          </w:p>
        </w:tc>
        <w:tc>
          <w:tcPr>
            <w:tcW w:w="2162" w:type="dxa"/>
            <w:vAlign w:val="center"/>
          </w:tcPr>
          <w:p>
            <w:pPr>
              <w:spacing w:line="360" w:lineRule="auto"/>
              <w:jc w:val="center"/>
            </w:pPr>
            <w:r>
              <w:rPr>
                <w:rFonts w:hint="eastAsia"/>
              </w:rPr>
              <w:t>媒体策划与编辑</w:t>
            </w:r>
          </w:p>
        </w:tc>
        <w:tc>
          <w:tcPr>
            <w:tcW w:w="2984" w:type="dxa"/>
            <w:vAlign w:val="center"/>
          </w:tcPr>
          <w:p>
            <w:pPr>
              <w:spacing w:line="360" w:lineRule="auto"/>
              <w:jc w:val="center"/>
            </w:pPr>
            <w:r>
              <w:rPr>
                <w:rFonts w:hint="eastAsia"/>
              </w:rPr>
              <w:t>广告创意与实践研究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b/>
                <w:bCs/>
              </w:rPr>
            </w:pPr>
          </w:p>
        </w:tc>
        <w:tc>
          <w:tcPr>
            <w:tcW w:w="2162" w:type="dxa"/>
            <w:vAlign w:val="center"/>
          </w:tcPr>
          <w:p>
            <w:pPr>
              <w:spacing w:line="360" w:lineRule="auto"/>
              <w:jc w:val="center"/>
            </w:pPr>
            <w:r>
              <w:rPr>
                <w:rFonts w:hint="eastAsia"/>
              </w:rPr>
              <w:t>影像传播研究</w:t>
            </w:r>
          </w:p>
        </w:tc>
        <w:tc>
          <w:tcPr>
            <w:tcW w:w="2984" w:type="dxa"/>
            <w:vAlign w:val="center"/>
          </w:tcPr>
          <w:p>
            <w:pPr>
              <w:spacing w:line="360" w:lineRule="auto"/>
              <w:jc w:val="center"/>
            </w:pPr>
            <w:r>
              <w:rPr>
                <w:rFonts w:hint="eastAsia"/>
              </w:rPr>
              <w:t>人文思想与文化传播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b/>
                <w:bCs/>
              </w:rPr>
            </w:pPr>
          </w:p>
        </w:tc>
        <w:tc>
          <w:tcPr>
            <w:tcW w:w="2162" w:type="dxa"/>
            <w:vAlign w:val="center"/>
          </w:tcPr>
          <w:p>
            <w:pPr>
              <w:spacing w:line="360" w:lineRule="auto"/>
              <w:jc w:val="center"/>
            </w:pPr>
            <w:r>
              <w:rPr>
                <w:rFonts w:hint="eastAsia"/>
              </w:rPr>
              <w:t>媒介经济学</w:t>
            </w:r>
          </w:p>
        </w:tc>
        <w:tc>
          <w:tcPr>
            <w:tcW w:w="2984" w:type="dxa"/>
            <w:vAlign w:val="center"/>
          </w:tcPr>
          <w:p>
            <w:pPr>
              <w:spacing w:line="360" w:lineRule="auto"/>
              <w:jc w:val="center"/>
            </w:pPr>
            <w:r>
              <w:rPr>
                <w:rFonts w:hint="eastAsia"/>
              </w:rPr>
              <w:t>大众传播效果研究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b/>
                <w:bCs/>
              </w:rPr>
            </w:pPr>
          </w:p>
        </w:tc>
        <w:tc>
          <w:tcPr>
            <w:tcW w:w="2162" w:type="dxa"/>
            <w:vAlign w:val="center"/>
          </w:tcPr>
          <w:p>
            <w:pPr>
              <w:spacing w:line="360" w:lineRule="auto"/>
              <w:jc w:val="center"/>
            </w:pPr>
            <w:r>
              <w:rPr>
                <w:rFonts w:hint="eastAsia"/>
              </w:rPr>
              <w:t>语言传播发声研究</w:t>
            </w:r>
          </w:p>
        </w:tc>
        <w:tc>
          <w:tcPr>
            <w:tcW w:w="2984" w:type="dxa"/>
            <w:vAlign w:val="center"/>
          </w:tcPr>
          <w:p>
            <w:pPr>
              <w:spacing w:line="360" w:lineRule="auto"/>
              <w:jc w:val="center"/>
            </w:pPr>
            <w:r>
              <w:rPr>
                <w:rFonts w:hint="eastAsia"/>
              </w:rPr>
              <w:t>电视栏目研究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Merge w:val="continue"/>
            <w:vAlign w:val="center"/>
          </w:tcPr>
          <w:p>
            <w:pPr>
              <w:spacing w:line="360" w:lineRule="auto"/>
              <w:jc w:val="center"/>
              <w:rPr>
                <w:b/>
                <w:bCs/>
              </w:rPr>
            </w:pPr>
          </w:p>
        </w:tc>
        <w:tc>
          <w:tcPr>
            <w:tcW w:w="5146" w:type="dxa"/>
            <w:gridSpan w:val="2"/>
            <w:vAlign w:val="center"/>
          </w:tcPr>
          <w:p>
            <w:pPr>
              <w:spacing w:line="360" w:lineRule="auto"/>
              <w:jc w:val="center"/>
            </w:pPr>
            <w:r>
              <w:rPr>
                <w:rFonts w:hint="eastAsia"/>
              </w:rPr>
              <w:t>国际交流与跨文化传播舆论学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Align w:val="center"/>
          </w:tcPr>
          <w:p>
            <w:pPr>
              <w:spacing w:line="360" w:lineRule="auto"/>
              <w:jc w:val="center"/>
              <w:rPr>
                <w:b/>
                <w:bCs/>
              </w:rPr>
            </w:pPr>
            <w:r>
              <w:rPr>
                <w:rFonts w:hint="eastAsia"/>
                <w:b/>
                <w:bCs/>
              </w:rPr>
              <w:t>研究方向</w:t>
            </w:r>
          </w:p>
        </w:tc>
        <w:tc>
          <w:tcPr>
            <w:tcW w:w="5146" w:type="dxa"/>
            <w:gridSpan w:val="2"/>
            <w:vAlign w:val="center"/>
          </w:tcPr>
          <w:p>
            <w:pPr>
              <w:spacing w:line="360" w:lineRule="auto"/>
              <w:jc w:val="center"/>
            </w:pPr>
            <w:r>
              <w:rPr>
                <w:rFonts w:hint="eastAsia"/>
              </w:rPr>
              <w:t>电视编导、电视传播艺术、影视传媒与产业、</w:t>
            </w:r>
          </w:p>
          <w:p>
            <w:pPr>
              <w:spacing w:line="360" w:lineRule="auto"/>
              <w:jc w:val="center"/>
            </w:pPr>
            <w:r>
              <w:rPr>
                <w:rFonts w:hint="eastAsia"/>
              </w:rPr>
              <w:t>播音与主持艺术研究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1" w:type="dxa"/>
            <w:vAlign w:val="center"/>
          </w:tcPr>
          <w:p>
            <w:pPr>
              <w:spacing w:line="360" w:lineRule="auto"/>
              <w:jc w:val="center"/>
              <w:rPr>
                <w:b/>
                <w:bCs/>
              </w:rPr>
            </w:pPr>
            <w:r>
              <w:rPr>
                <w:rFonts w:hint="eastAsia"/>
                <w:b/>
                <w:bCs/>
              </w:rPr>
              <w:t>申硕科目</w:t>
            </w:r>
          </w:p>
        </w:tc>
        <w:tc>
          <w:tcPr>
            <w:tcW w:w="5146" w:type="dxa"/>
            <w:gridSpan w:val="2"/>
            <w:vAlign w:val="center"/>
          </w:tcPr>
          <w:p>
            <w:pPr>
              <w:spacing w:line="360" w:lineRule="auto"/>
              <w:jc w:val="center"/>
            </w:pPr>
            <w:r>
              <w:rPr>
                <w:rFonts w:hint="eastAsia"/>
              </w:rPr>
              <w:t>英语、俄语、法语、德语、日语（任选一种）</w:t>
            </w:r>
          </w:p>
        </w:tc>
      </w:tr>
    </w:tbl>
    <w:p>
      <w:pPr>
        <w:spacing w:line="360" w:lineRule="auto"/>
        <w:jc w:val="left"/>
        <w:rPr>
          <w:b/>
          <w:bCs/>
        </w:rPr>
      </w:pPr>
    </w:p>
    <w:p>
      <w:pPr>
        <w:spacing w:line="360" w:lineRule="auto"/>
        <w:jc w:val="center"/>
      </w:pPr>
      <w:r>
        <w:rPr>
          <w:rFonts w:hint="eastAsia"/>
        </w:rPr>
        <w:t>（注：课程以学校实际上课为准）</w:t>
      </w:r>
    </w:p>
    <w:p>
      <w:pPr>
        <w:spacing w:line="360" w:lineRule="auto"/>
        <w:jc w:val="center"/>
      </w:pPr>
    </w:p>
    <w:p>
      <w:pPr>
        <w:spacing w:line="360" w:lineRule="auto"/>
        <w:jc w:val="left"/>
        <w:rPr>
          <w:b/>
          <w:bCs/>
        </w:rPr>
      </w:pPr>
      <w:r>
        <w:rPr>
          <w:rFonts w:hint="eastAsia"/>
          <w:b/>
          <w:bCs/>
        </w:rPr>
        <w:t>六、收费标准</w:t>
      </w:r>
    </w:p>
    <w:p>
      <w:pPr>
        <w:spacing w:line="360" w:lineRule="auto"/>
        <w:ind w:firstLine="420" w:firstLineChars="200"/>
        <w:jc w:val="left"/>
        <w:rPr>
          <w:rFonts w:hint="eastAsia" w:ascii="宋体" w:hAnsi="宋体" w:eastAsia="宋体" w:cs="宋体"/>
          <w:color w:val="FF0000"/>
          <w:szCs w:val="21"/>
          <w:lang w:val="en-US" w:eastAsia="zh-CN"/>
        </w:rPr>
      </w:pPr>
      <w:r>
        <w:rPr>
          <w:rFonts w:hint="eastAsia" w:ascii="宋体" w:hAnsi="宋体" w:eastAsia="宋体" w:cs="宋体"/>
          <w:szCs w:val="21"/>
        </w:rPr>
        <w:t>费用：</w:t>
      </w:r>
      <w:r>
        <w:rPr>
          <w:rFonts w:hint="eastAsia" w:ascii="宋体" w:hAnsi="宋体" w:eastAsia="宋体" w:cs="宋体"/>
          <w:szCs w:val="21"/>
          <w:lang w:val="en-US" w:eastAsia="zh-CN"/>
        </w:rPr>
        <w:t>3</w:t>
      </w:r>
      <w:r>
        <w:rPr>
          <w:rFonts w:hint="eastAsia" w:ascii="宋体" w:hAnsi="宋体" w:eastAsia="宋体" w:cs="宋体"/>
          <w:color w:val="auto"/>
          <w:szCs w:val="21"/>
          <w:lang w:val="en-US" w:eastAsia="zh-CN"/>
        </w:rPr>
        <w:t>0000元。</w:t>
      </w:r>
    </w:p>
    <w:p>
      <w:pPr>
        <w:spacing w:line="360" w:lineRule="auto"/>
        <w:jc w:val="left"/>
      </w:pPr>
    </w:p>
    <w:p>
      <w:pPr>
        <w:spacing w:line="360" w:lineRule="auto"/>
        <w:jc w:val="left"/>
        <w:rPr>
          <w:b/>
          <w:bCs/>
        </w:rPr>
      </w:pPr>
      <w:r>
        <w:rPr>
          <w:rFonts w:hint="eastAsia"/>
          <w:b/>
          <w:bCs/>
        </w:rPr>
        <w:t>七、培养方式</w:t>
      </w:r>
    </w:p>
    <w:p>
      <w:pPr>
        <w:spacing w:line="360" w:lineRule="auto"/>
        <w:ind w:firstLine="420" w:firstLineChars="200"/>
        <w:jc w:val="left"/>
      </w:pPr>
      <w:r>
        <w:rPr>
          <w:rFonts w:hint="eastAsia"/>
        </w:rPr>
        <w:t>1、学习时间：学制两年；</w:t>
      </w:r>
    </w:p>
    <w:p>
      <w:pPr>
        <w:spacing w:line="360" w:lineRule="auto"/>
        <w:ind w:firstLine="420" w:firstLineChars="200"/>
        <w:jc w:val="left"/>
        <w:rPr>
          <w:rFonts w:ascii="宋体" w:hAnsi="宋体" w:eastAsia="宋体" w:cs="宋体"/>
          <w:szCs w:val="21"/>
        </w:rPr>
      </w:pPr>
      <w:r>
        <w:rPr>
          <w:rFonts w:hint="eastAsia"/>
        </w:rPr>
        <w:t>2、</w:t>
      </w:r>
      <w:r>
        <w:rPr>
          <w:rFonts w:hint="eastAsia" w:ascii="宋体" w:hAnsi="宋体" w:eastAsia="宋体" w:cs="宋体"/>
          <w:szCs w:val="21"/>
        </w:rPr>
        <w:t>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ind w:firstLine="420" w:firstLineChars="200"/>
        <w:jc w:val="left"/>
      </w:pPr>
    </w:p>
    <w:p>
      <w:pPr>
        <w:spacing w:line="360" w:lineRule="auto"/>
        <w:jc w:val="left"/>
        <w:rPr>
          <w:b/>
          <w:bCs/>
        </w:rPr>
      </w:pPr>
      <w:r>
        <w:rPr>
          <w:rFonts w:hint="eastAsia"/>
          <w:b/>
          <w:bCs/>
        </w:rPr>
        <w:t>八、报名手续</w:t>
      </w:r>
    </w:p>
    <w:p>
      <w:pPr>
        <w:spacing w:line="360" w:lineRule="auto"/>
        <w:ind w:firstLine="420" w:firstLineChars="200"/>
        <w:jc w:val="left"/>
      </w:pPr>
      <w:r>
        <w:rPr>
          <w:rFonts w:hint="eastAsia"/>
        </w:rPr>
        <w:t>1、预约报名；</w:t>
      </w:r>
    </w:p>
    <w:p>
      <w:pPr>
        <w:spacing w:line="360" w:lineRule="auto"/>
        <w:ind w:firstLine="420" w:firstLineChars="200"/>
        <w:jc w:val="left"/>
      </w:pPr>
      <w:r>
        <w:rPr>
          <w:rFonts w:hint="eastAsia"/>
        </w:rPr>
        <w:t>2、提交本人学位证书、毕业证书和身份证复印件各一份；</w:t>
      </w:r>
    </w:p>
    <w:p>
      <w:pPr>
        <w:spacing w:line="360" w:lineRule="auto"/>
        <w:ind w:firstLine="420" w:firstLineChars="200"/>
        <w:jc w:val="left"/>
      </w:pPr>
      <w:r>
        <w:rPr>
          <w:rFonts w:hint="eastAsia"/>
        </w:rPr>
        <w:t>3、3张彩色一寸照片。</w:t>
      </w:r>
    </w:p>
    <w:p>
      <w:pPr>
        <w:spacing w:line="360" w:lineRule="auto"/>
        <w:jc w:val="left"/>
      </w:pPr>
    </w:p>
    <w:p>
      <w:pPr>
        <w:spacing w:line="360" w:lineRule="auto"/>
        <w:jc w:val="left"/>
        <w:rPr>
          <w:b/>
          <w:bCs/>
        </w:rPr>
      </w:pPr>
      <w:r>
        <w:rPr>
          <w:rFonts w:hint="eastAsia"/>
          <w:b/>
          <w:bCs/>
        </w:rPr>
        <w:t>九、获取证书</w:t>
      </w:r>
    </w:p>
    <w:p>
      <w:pPr>
        <w:spacing w:line="360" w:lineRule="auto"/>
        <w:ind w:firstLine="420" w:firstLineChars="200"/>
        <w:jc w:val="left"/>
      </w:pPr>
      <w:r>
        <w:rPr>
          <w:rFonts w:hint="eastAsia"/>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pPr>
    </w:p>
    <w:p>
      <w:pPr>
        <w:spacing w:line="360" w:lineRule="auto"/>
        <w:jc w:val="left"/>
      </w:pPr>
      <w:r>
        <w:rPr>
          <w:rFonts w:hint="eastAsia"/>
          <w:b/>
          <w:bCs/>
        </w:rPr>
        <w:t>十、联系方式</w:t>
      </w:r>
    </w:p>
    <w:p>
      <w:pPr>
        <w:spacing w:line="360" w:lineRule="auto"/>
        <w:ind w:firstLine="420" w:firstLineChars="200"/>
        <w:jc w:val="left"/>
        <w:rPr>
          <w:rFonts w:hint="eastAsia"/>
          <w:lang w:val="en-US" w:eastAsia="zh-CN"/>
        </w:rPr>
      </w:pPr>
      <w:r>
        <w:rPr>
          <w:rFonts w:hint="eastAsia"/>
        </w:rPr>
        <w:t>电话：</w:t>
      </w:r>
      <w:r>
        <w:rPr>
          <w:rFonts w:hint="eastAsia"/>
          <w:lang w:val="en-US" w:eastAsia="zh-CN"/>
        </w:rPr>
        <w:t>400-061-6586</w:t>
      </w:r>
    </w:p>
    <w:p>
      <w:pPr>
        <w:spacing w:line="360" w:lineRule="auto"/>
        <w:ind w:firstLine="420" w:firstLineChars="200"/>
        <w:jc w:val="left"/>
        <w:rPr>
          <w:rFonts w:hint="eastAsia"/>
          <w:lang w:val="en-US" w:eastAsia="zh-CN"/>
        </w:rPr>
      </w:pPr>
    </w:p>
    <w:p>
      <w:pPr>
        <w:spacing w:line="360" w:lineRule="auto"/>
        <w:ind w:firstLine="420" w:firstLineChars="200"/>
        <w:jc w:val="left"/>
        <w:rPr>
          <w:rFonts w:hint="eastAsia"/>
          <w:lang w:val="en-US" w:eastAsia="zh-CN"/>
        </w:rPr>
      </w:pPr>
    </w:p>
    <w:p>
      <w:pPr>
        <w:spacing w:line="360" w:lineRule="auto"/>
        <w:ind w:firstLine="420" w:firstLineChars="200"/>
        <w:jc w:val="left"/>
        <w:rPr>
          <w:rFonts w:hint="eastAsia"/>
          <w:lang w:val="en-US" w:eastAsia="zh-CN"/>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default"/>
          <w:lang w:val="en-US" w:eastAsia="zh-CN"/>
        </w:rPr>
      </w:pPr>
      <w:bookmarkStart w:id="0" w:name="_GoBack"/>
      <w:bookmarkEnd w:id="0"/>
    </w:p>
    <w:p>
      <w:pPr>
        <w:spacing w:line="360" w:lineRule="auto"/>
        <w:jc w:val="left"/>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9264" behindDoc="1" locked="0" layoutInCell="1" allowOverlap="1">
          <wp:simplePos x="0" y="0"/>
          <wp:positionH relativeFrom="column">
            <wp:posOffset>507365</wp:posOffset>
          </wp:positionH>
          <wp:positionV relativeFrom="paragraph">
            <wp:posOffset>2405380</wp:posOffset>
          </wp:positionV>
          <wp:extent cx="4203065" cy="4203065"/>
          <wp:effectExtent l="0" t="0" r="6985" b="6985"/>
          <wp:wrapNone/>
          <wp:docPr id="3" name="图片 3"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水印"/>
                  <pic:cNvPicPr>
                    <a:picLocks noChangeAspect="1"/>
                  </pic:cNvPicPr>
                </pic:nvPicPr>
                <pic:blipFill>
                  <a:blip r:embed="rId1"/>
                  <a:stretch>
                    <a:fillRect/>
                  </a:stretch>
                </pic:blipFill>
                <pic:spPr>
                  <a:xfrm>
                    <a:off x="0" y="0"/>
                    <a:ext cx="4203065" cy="4203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7D6FC"/>
    <w:multiLevelType w:val="singleLevel"/>
    <w:tmpl w:val="4EB7D6F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048CB"/>
    <w:rsid w:val="00225BAF"/>
    <w:rsid w:val="009C1DCD"/>
    <w:rsid w:val="00BB7A12"/>
    <w:rsid w:val="00C865D6"/>
    <w:rsid w:val="00E72724"/>
    <w:rsid w:val="02747E78"/>
    <w:rsid w:val="0F613D59"/>
    <w:rsid w:val="12335186"/>
    <w:rsid w:val="14447506"/>
    <w:rsid w:val="2738722A"/>
    <w:rsid w:val="2CA90BF5"/>
    <w:rsid w:val="2FA5581B"/>
    <w:rsid w:val="31AF5B16"/>
    <w:rsid w:val="3AA67A39"/>
    <w:rsid w:val="41913600"/>
    <w:rsid w:val="41A26889"/>
    <w:rsid w:val="47D305B7"/>
    <w:rsid w:val="51330629"/>
    <w:rsid w:val="5605310E"/>
    <w:rsid w:val="579048CB"/>
    <w:rsid w:val="5EAE05CC"/>
    <w:rsid w:val="6D535020"/>
    <w:rsid w:val="6F6737C0"/>
    <w:rsid w:val="7A4D3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Strong"/>
    <w:basedOn w:val="6"/>
    <w:qFormat/>
    <w:uiPriority w:val="0"/>
    <w:rPr>
      <w:b/>
      <w:color w:val="FFFFFF"/>
      <w:sz w:val="18"/>
      <w:szCs w:val="18"/>
      <w:shd w:val="clear" w:color="auto" w:fill="428BCA"/>
    </w:rPr>
  </w:style>
  <w:style w:type="character" w:styleId="8">
    <w:name w:val="FollowedHyperlink"/>
    <w:basedOn w:val="6"/>
    <w:qFormat/>
    <w:uiPriority w:val="0"/>
    <w:rPr>
      <w:color w:val="428BCA"/>
      <w:u w:val="none"/>
    </w:rPr>
  </w:style>
  <w:style w:type="character" w:styleId="9">
    <w:name w:val="HTML Definition"/>
    <w:basedOn w:val="6"/>
    <w:qFormat/>
    <w:uiPriority w:val="0"/>
    <w:rPr>
      <w:i/>
      <w:shd w:val="clear" w:color="auto" w:fill="F0AD4E"/>
    </w:rPr>
  </w:style>
  <w:style w:type="character" w:styleId="10">
    <w:name w:val="Hyperlink"/>
    <w:basedOn w:val="6"/>
    <w:qFormat/>
    <w:uiPriority w:val="0"/>
    <w:rPr>
      <w:color w:val="428BCA"/>
      <w:u w:val="none"/>
    </w:rPr>
  </w:style>
  <w:style w:type="character" w:styleId="11">
    <w:name w:val="HTML Code"/>
    <w:basedOn w:val="6"/>
    <w:qFormat/>
    <w:uiPriority w:val="0"/>
    <w:rPr>
      <w:rFonts w:hint="default" w:ascii="Consolas" w:hAnsi="Consolas" w:eastAsia="Consolas" w:cs="Consolas"/>
      <w:color w:val="C7254E"/>
      <w:sz w:val="21"/>
      <w:szCs w:val="21"/>
      <w:shd w:val="clear" w:color="auto" w:fill="F9F2F4"/>
    </w:rPr>
  </w:style>
  <w:style w:type="character" w:styleId="12">
    <w:name w:val="HTML Keyboard"/>
    <w:basedOn w:val="6"/>
    <w:qFormat/>
    <w:uiPriority w:val="0"/>
    <w:rPr>
      <w:rFonts w:ascii="Consolas" w:hAnsi="Consolas" w:eastAsia="Consolas" w:cs="Consolas"/>
      <w:color w:val="FFFFFF"/>
      <w:sz w:val="21"/>
      <w:szCs w:val="21"/>
      <w:shd w:val="clear" w:color="auto" w:fill="333333"/>
    </w:rPr>
  </w:style>
  <w:style w:type="character" w:styleId="13">
    <w:name w:val="HTML Sample"/>
    <w:basedOn w:val="6"/>
    <w:qFormat/>
    <w:uiPriority w:val="0"/>
    <w:rPr>
      <w:rFonts w:hint="default" w:ascii="Consolas" w:hAnsi="Consolas" w:eastAsia="Consolas" w:cs="Consolas"/>
      <w:sz w:val="21"/>
      <w:szCs w:val="21"/>
    </w:rPr>
  </w:style>
  <w:style w:type="character" w:customStyle="1" w:styleId="14">
    <w:name w:val="页眉 Char"/>
    <w:basedOn w:val="6"/>
    <w:link w:val="3"/>
    <w:qFormat/>
    <w:uiPriority w:val="0"/>
    <w:rPr>
      <w:rFonts w:asciiTheme="minorHAnsi" w:hAnsiTheme="minorHAnsi" w:eastAsiaTheme="minorEastAsia" w:cstheme="minorBidi"/>
      <w:kern w:val="2"/>
      <w:sz w:val="18"/>
      <w:szCs w:val="18"/>
    </w:rPr>
  </w:style>
  <w:style w:type="character" w:customStyle="1" w:styleId="15">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287</Words>
  <Characters>1636</Characters>
  <Lines>13</Lines>
  <Paragraphs>3</Paragraphs>
  <TotalTime>0</TotalTime>
  <ScaleCrop>false</ScaleCrop>
  <LinksUpToDate>false</LinksUpToDate>
  <CharactersWithSpaces>1920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2018-09-05T02:52:00Z</dcterms:created>
  <dc:creator>北京-网络编辑-曹童童</dc:creator>
  <cp:lastModifiedBy>蓝海智慧郑老师</cp:lastModifiedBy>
  <dcterms:modified xsi:type="dcterms:W3CDTF">2019-04-02T03:52:35Z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