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765" w:rsidRDefault="00A15DE4">
      <w:pPr>
        <w:jc w:val="center"/>
        <w:rPr>
          <w:rFonts w:ascii="宋体" w:hAnsi="宋体" w:cs="宋体"/>
          <w:b/>
          <w:bCs/>
          <w:sz w:val="32"/>
          <w:szCs w:val="32"/>
        </w:rPr>
      </w:pPr>
      <w:r>
        <w:rPr>
          <w:rFonts w:asciiTheme="minorEastAsia" w:hAnsiTheme="minorEastAsia" w:cstheme="minorEastAsia" w:hint="eastAsia"/>
          <w:b/>
          <w:bCs/>
          <w:sz w:val="32"/>
          <w:szCs w:val="32"/>
        </w:rPr>
        <w:t>南昌大学信息工程学院控制科学与工程专业</w:t>
      </w:r>
      <w:r>
        <w:rPr>
          <w:rFonts w:ascii="宋体" w:hAnsi="宋体" w:cs="宋体" w:hint="eastAsia"/>
          <w:b/>
          <w:bCs/>
          <w:sz w:val="32"/>
          <w:szCs w:val="32"/>
        </w:rPr>
        <w:t>同等学力</w:t>
      </w:r>
    </w:p>
    <w:p w:rsidR="00210765" w:rsidRDefault="00A15DE4">
      <w:pPr>
        <w:jc w:val="center"/>
        <w:rPr>
          <w:rFonts w:ascii="宋体" w:hAnsi="宋体" w:cs="宋体"/>
          <w:b/>
          <w:bCs/>
          <w:sz w:val="32"/>
          <w:szCs w:val="32"/>
        </w:rPr>
      </w:pPr>
      <w:r>
        <w:rPr>
          <w:rFonts w:ascii="宋体" w:hAnsi="宋体" w:cs="宋体" w:hint="eastAsia"/>
          <w:b/>
          <w:bCs/>
          <w:sz w:val="32"/>
          <w:szCs w:val="32"/>
        </w:rPr>
        <w:t>申请硕士学位招生简章（全国班）</w:t>
      </w:r>
    </w:p>
    <w:p w:rsidR="00210765" w:rsidRDefault="00210765">
      <w:pPr>
        <w:spacing w:line="360" w:lineRule="exact"/>
        <w:jc w:val="center"/>
        <w:rPr>
          <w:rFonts w:asciiTheme="minorEastAsia" w:hAnsiTheme="minorEastAsia" w:cstheme="minorEastAsia"/>
          <w:sz w:val="24"/>
        </w:rPr>
      </w:pPr>
    </w:p>
    <w:p w:rsidR="00210765" w:rsidRDefault="00A15DE4">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南昌大学是一所“文理工</w:t>
      </w:r>
      <w:proofErr w:type="gramStart"/>
      <w:r>
        <w:rPr>
          <w:rFonts w:asciiTheme="minorEastAsia" w:hAnsiTheme="minorEastAsia" w:cstheme="minorEastAsia" w:hint="eastAsia"/>
          <w:sz w:val="24"/>
        </w:rPr>
        <w:t>医</w:t>
      </w:r>
      <w:proofErr w:type="gramEnd"/>
      <w:r>
        <w:rPr>
          <w:rFonts w:asciiTheme="minorEastAsia" w:hAnsiTheme="minorEastAsia" w:cstheme="minorEastAsia" w:hint="eastAsia"/>
          <w:sz w:val="24"/>
        </w:rPr>
        <w:t>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rsidR="00210765" w:rsidRDefault="00210765">
      <w:pPr>
        <w:spacing w:line="360" w:lineRule="exact"/>
        <w:jc w:val="left"/>
        <w:rPr>
          <w:rFonts w:asciiTheme="minorEastAsia" w:hAnsiTheme="minorEastAsia" w:cstheme="minorEastAsia"/>
          <w:sz w:val="24"/>
        </w:rPr>
      </w:pPr>
    </w:p>
    <w:p w:rsidR="00210765" w:rsidRDefault="00A15DE4">
      <w:pPr>
        <w:spacing w:line="360" w:lineRule="exact"/>
        <w:jc w:val="left"/>
        <w:rPr>
          <w:rFonts w:asciiTheme="minorEastAsia" w:hAnsiTheme="minorEastAsia" w:cstheme="minorEastAsia"/>
          <w:b/>
          <w:bCs/>
          <w:sz w:val="24"/>
        </w:rPr>
      </w:pPr>
      <w:r>
        <w:rPr>
          <w:rFonts w:asciiTheme="minorEastAsia" w:hAnsiTheme="minorEastAsia" w:cstheme="minorEastAsia" w:hint="eastAsia"/>
          <w:b/>
          <w:bCs/>
          <w:sz w:val="24"/>
        </w:rPr>
        <w:t>一、专业简介</w:t>
      </w:r>
    </w:p>
    <w:p w:rsidR="00210765" w:rsidRDefault="00A15DE4">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南昌大学信息工程学院由计算机科学与技术系、信息管理系、电子信息工程系、电气与自动化工程系、计算中心、电工电子教学实验中心6个单位组成。学院现有教职工283人，其中教师215人，教辅人员45人，行政人员22人。学院专业实验设备完备，可满足相关教学、科研和工程实验需要。</w:t>
      </w:r>
    </w:p>
    <w:p w:rsidR="00210765" w:rsidRDefault="0019343D" w:rsidP="00987375">
      <w:pPr>
        <w:spacing w:line="360" w:lineRule="exact"/>
        <w:ind w:firstLineChars="200" w:firstLine="480"/>
        <w:jc w:val="left"/>
        <w:rPr>
          <w:rFonts w:asciiTheme="minorEastAsia" w:hAnsiTheme="minorEastAsia" w:cstheme="minorEastAsia"/>
          <w:sz w:val="24"/>
        </w:rPr>
      </w:pPr>
      <w:hyperlink r:id="rId5" w:tgtFrame="https://baike.so.com/doc/_blank" w:history="1">
        <w:r w:rsidR="00A15DE4">
          <w:rPr>
            <w:rFonts w:asciiTheme="minorEastAsia" w:hAnsiTheme="minorEastAsia" w:cstheme="minorEastAsia" w:hint="eastAsia"/>
            <w:sz w:val="24"/>
          </w:rPr>
          <w:t>控制科学与工程</w:t>
        </w:r>
      </w:hyperlink>
      <w:r w:rsidR="00A15DE4">
        <w:rPr>
          <w:rFonts w:asciiTheme="minorEastAsia" w:hAnsiTheme="minorEastAsia" w:cstheme="minorEastAsia" w:hint="eastAsia"/>
          <w:sz w:val="24"/>
        </w:rPr>
        <w:t>是研究控制的理论、方法、技术及其工程应用的学科。控制科学以</w:t>
      </w:r>
      <w:hyperlink r:id="rId6" w:tgtFrame="https://baike.so.com/doc/_blank" w:history="1">
        <w:r w:rsidR="00A15DE4">
          <w:rPr>
            <w:rFonts w:asciiTheme="minorEastAsia" w:hAnsiTheme="minorEastAsia" w:cstheme="minorEastAsia" w:hint="eastAsia"/>
            <w:sz w:val="24"/>
          </w:rPr>
          <w:t>控制论</w:t>
        </w:r>
      </w:hyperlink>
      <w:r w:rsidR="00A15DE4">
        <w:rPr>
          <w:rFonts w:asciiTheme="minorEastAsia" w:hAnsiTheme="minorEastAsia" w:cstheme="minorEastAsia" w:hint="eastAsia"/>
          <w:sz w:val="24"/>
        </w:rPr>
        <w:t>、</w:t>
      </w:r>
      <w:hyperlink r:id="rId7" w:tgtFrame="https://baike.so.com/doc/_blank" w:history="1">
        <w:r w:rsidR="00A15DE4">
          <w:rPr>
            <w:rFonts w:asciiTheme="minorEastAsia" w:hAnsiTheme="minorEastAsia" w:cstheme="minorEastAsia" w:hint="eastAsia"/>
            <w:sz w:val="24"/>
          </w:rPr>
          <w:t>系统论</w:t>
        </w:r>
      </w:hyperlink>
      <w:r w:rsidR="00A15DE4">
        <w:rPr>
          <w:rFonts w:asciiTheme="minorEastAsia" w:hAnsiTheme="minorEastAsia" w:cstheme="minorEastAsia" w:hint="eastAsia"/>
          <w:sz w:val="24"/>
        </w:rPr>
        <w:t>、信息论为基础，研究各应用领域内的共性问题，即为了实现控制目标，应如何建立系统的模型，分析其内部与环境信息，采取何种控制与决策行为；而与各应用领域的密切结合，又形成了控制工程丰富多样的内容。</w:t>
      </w:r>
    </w:p>
    <w:p w:rsidR="00210765" w:rsidRDefault="00A15DE4">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为适应社会发展和经济建设的需要，提高科技、管理等方面专业人员的素质，多渠道地促进控制科学与工程专业人才的培养，经国务院学位委员会批准，我校特在全国范围内开展控制科学与工程专业同等学力申请硕士学位招生及培养工作。</w:t>
      </w:r>
    </w:p>
    <w:p w:rsidR="00210765" w:rsidRDefault="00210765">
      <w:pPr>
        <w:spacing w:line="360" w:lineRule="exact"/>
        <w:jc w:val="left"/>
        <w:rPr>
          <w:rFonts w:asciiTheme="minorEastAsia" w:hAnsiTheme="minorEastAsia" w:cstheme="minorEastAsia"/>
          <w:sz w:val="24"/>
        </w:rPr>
      </w:pPr>
    </w:p>
    <w:p w:rsidR="00210765" w:rsidRDefault="00A15DE4">
      <w:pPr>
        <w:spacing w:line="360" w:lineRule="exact"/>
        <w:jc w:val="left"/>
        <w:rPr>
          <w:rFonts w:asciiTheme="minorEastAsia" w:hAnsiTheme="minorEastAsia" w:cstheme="minorEastAsia"/>
          <w:b/>
          <w:bCs/>
          <w:sz w:val="24"/>
        </w:rPr>
      </w:pPr>
      <w:r>
        <w:rPr>
          <w:rFonts w:asciiTheme="minorEastAsia" w:hAnsiTheme="minorEastAsia" w:cstheme="minorEastAsia" w:hint="eastAsia"/>
          <w:b/>
          <w:bCs/>
          <w:sz w:val="24"/>
        </w:rPr>
        <w:t>二、培养目标</w:t>
      </w:r>
    </w:p>
    <w:p w:rsidR="00210765" w:rsidRDefault="00A15DE4">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1、本专业培养掌握控制工程领域的专业基础知识，了解本专业科技发展动向及前沿，在本领域的某一方向具有独立从事工程设计与运行、分析与集成、研究与开发、管理与决策等能力的复合型高层次工程技术和工程管理人才。</w:t>
      </w:r>
    </w:p>
    <w:p w:rsidR="00210765" w:rsidRDefault="00A15DE4">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2、培养能够胜任实际控制系统、设备或装置的分析计算、开发设计和使用维护等工作，具有一定创新能力的应用型人才。</w:t>
      </w:r>
    </w:p>
    <w:p w:rsidR="00210765" w:rsidRDefault="00210765">
      <w:pPr>
        <w:spacing w:line="360" w:lineRule="exact"/>
        <w:ind w:firstLineChars="200" w:firstLine="480"/>
        <w:jc w:val="left"/>
        <w:rPr>
          <w:rFonts w:asciiTheme="minorEastAsia" w:hAnsiTheme="minorEastAsia" w:cstheme="minorEastAsia"/>
          <w:sz w:val="24"/>
        </w:rPr>
      </w:pPr>
    </w:p>
    <w:p w:rsidR="00210765" w:rsidRDefault="00A15DE4">
      <w:pPr>
        <w:spacing w:line="360" w:lineRule="exact"/>
        <w:jc w:val="left"/>
        <w:rPr>
          <w:rFonts w:asciiTheme="minorEastAsia" w:hAnsiTheme="minorEastAsia" w:cstheme="minorEastAsia"/>
          <w:b/>
          <w:bCs/>
          <w:sz w:val="24"/>
        </w:rPr>
      </w:pPr>
      <w:r>
        <w:rPr>
          <w:rFonts w:asciiTheme="minorEastAsia" w:hAnsiTheme="minorEastAsia" w:cstheme="minorEastAsia" w:hint="eastAsia"/>
          <w:b/>
          <w:bCs/>
          <w:sz w:val="24"/>
        </w:rPr>
        <w:t>三、专业优势</w:t>
      </w:r>
    </w:p>
    <w:p w:rsidR="00210765" w:rsidRDefault="00A15DE4">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设备完善】南昌大学和中兴通讯有限公司共同投资2500万元建立的中兴通讯实验室是目前全国高校规模最大、设备最先进的通信实验室之一；学校投资300余万建立的电力系统仿真实验室也是目前全国高校规模较大、设备较先进的实验室之一；</w:t>
      </w:r>
    </w:p>
    <w:p w:rsidR="00210765" w:rsidRDefault="00A15DE4">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【应用性强】本专业在理论研究与工程实践相结合、学科交叉和军民结合等方面具有明显的特色与优势，对我国国民经济发展和国家安全发挥了重大作用。</w:t>
      </w:r>
    </w:p>
    <w:p w:rsidR="00210765" w:rsidRDefault="00A15DE4">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【全国招生】本专业不受地域限制面向全国各地区招生，学员可根据所在地</w:t>
      </w:r>
      <w:r>
        <w:rPr>
          <w:rFonts w:asciiTheme="minorEastAsia" w:hAnsiTheme="minorEastAsia" w:cstheme="minorEastAsia" w:hint="eastAsia"/>
          <w:sz w:val="24"/>
        </w:rPr>
        <w:lastRenderedPageBreak/>
        <w:t>区招生实际情况选择本地学习、远程学习、集中学习三种学习方式；</w:t>
      </w:r>
    </w:p>
    <w:p w:rsidR="00210765" w:rsidRDefault="00A15DE4">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【远程学习】所有课程均可选择远程学习，整个学习期间仅需来校本部一次参加论文答辩，</w:t>
      </w:r>
      <w:proofErr w:type="gramStart"/>
      <w:r>
        <w:rPr>
          <w:rFonts w:asciiTheme="minorEastAsia" w:hAnsiTheme="minorEastAsia" w:cstheme="minorEastAsia" w:hint="eastAsia"/>
          <w:sz w:val="24"/>
        </w:rPr>
        <w:t>其它校考和</w:t>
      </w:r>
      <w:proofErr w:type="gramEnd"/>
      <w:r>
        <w:rPr>
          <w:rFonts w:asciiTheme="minorEastAsia" w:hAnsiTheme="minorEastAsia" w:cstheme="minorEastAsia" w:hint="eastAsia"/>
          <w:sz w:val="24"/>
        </w:rPr>
        <w:t>指纹录入都在本地完成，学员可自行调节学习时间；</w:t>
      </w:r>
    </w:p>
    <w:p w:rsidR="00210765" w:rsidRDefault="00A15DE4">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【集中学习】学员可选择利用节假日期间到南昌大学校本部进行集中面授课程学习，节省间断学习时间成本；</w:t>
      </w:r>
    </w:p>
    <w:p w:rsidR="00210765" w:rsidRDefault="00A15DE4">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【人脉拓展】不定期举办线上主题讲座、开展小组论坛话题讨论，为学员提供更多的交流机会与人际拓展平台。</w:t>
      </w:r>
    </w:p>
    <w:p w:rsidR="00210765" w:rsidRDefault="00210765">
      <w:pPr>
        <w:spacing w:line="360" w:lineRule="exact"/>
        <w:jc w:val="left"/>
        <w:rPr>
          <w:rFonts w:asciiTheme="minorEastAsia" w:hAnsiTheme="minorEastAsia" w:cstheme="minorEastAsia"/>
          <w:sz w:val="24"/>
        </w:rPr>
      </w:pPr>
    </w:p>
    <w:p w:rsidR="00210765" w:rsidRDefault="00A15DE4">
      <w:pPr>
        <w:spacing w:line="360" w:lineRule="exact"/>
        <w:rPr>
          <w:rFonts w:ascii="宋体" w:hAnsi="宋体" w:cs="宋体"/>
          <w:b/>
          <w:bCs/>
          <w:sz w:val="24"/>
        </w:rPr>
      </w:pPr>
      <w:r>
        <w:rPr>
          <w:rFonts w:asciiTheme="minorEastAsia" w:hAnsiTheme="minorEastAsia" w:cstheme="minorEastAsia" w:hint="eastAsia"/>
          <w:b/>
          <w:bCs/>
          <w:sz w:val="24"/>
        </w:rPr>
        <w:t>四、</w:t>
      </w:r>
      <w:r>
        <w:rPr>
          <w:rFonts w:ascii="宋体" w:hAnsi="宋体" w:cs="宋体" w:hint="eastAsia"/>
          <w:b/>
          <w:bCs/>
          <w:sz w:val="24"/>
        </w:rPr>
        <w:t>报名及入学条件</w:t>
      </w:r>
    </w:p>
    <w:p w:rsidR="00210765" w:rsidRDefault="00A15DE4">
      <w:pPr>
        <w:spacing w:line="360" w:lineRule="exact"/>
        <w:rPr>
          <w:rFonts w:ascii="宋体" w:hAnsi="宋体" w:cs="宋体"/>
          <w:sz w:val="24"/>
        </w:rPr>
      </w:pPr>
      <w:r>
        <w:rPr>
          <w:rFonts w:ascii="宋体" w:hAnsi="宋体" w:cs="宋体" w:hint="eastAsia"/>
          <w:sz w:val="24"/>
        </w:rPr>
        <w:t xml:space="preserve">　  1、报名条件：本科有学士学位或以上学位者；</w:t>
      </w:r>
    </w:p>
    <w:p w:rsidR="00210765" w:rsidRDefault="00A15DE4">
      <w:pPr>
        <w:spacing w:line="360" w:lineRule="exact"/>
        <w:rPr>
          <w:rFonts w:ascii="宋体" w:hAnsi="宋体" w:cs="宋体"/>
          <w:sz w:val="24"/>
        </w:rPr>
      </w:pPr>
      <w:r>
        <w:rPr>
          <w:rFonts w:ascii="宋体" w:hAnsi="宋体" w:cs="宋体" w:hint="eastAsia"/>
          <w:sz w:val="24"/>
        </w:rPr>
        <w:t xml:space="preserve">　　2、报名时间：正在报名中；</w:t>
      </w:r>
    </w:p>
    <w:p w:rsidR="00210765" w:rsidRDefault="00A15DE4">
      <w:pPr>
        <w:spacing w:line="360" w:lineRule="exact"/>
        <w:rPr>
          <w:rFonts w:ascii="宋体" w:hAnsi="宋体" w:cs="宋体"/>
          <w:sz w:val="24"/>
        </w:rPr>
      </w:pPr>
      <w:r>
        <w:rPr>
          <w:rFonts w:ascii="宋体" w:hAnsi="宋体" w:cs="宋体" w:hint="eastAsia"/>
          <w:sz w:val="24"/>
        </w:rPr>
        <w:t xml:space="preserve">　　3、报名手续：身份证、毕业证、学位证及复印件一份，一寸蓝底的免冠照片三张；</w:t>
      </w:r>
    </w:p>
    <w:p w:rsidR="00210765" w:rsidRDefault="00A15DE4">
      <w:pPr>
        <w:spacing w:line="360" w:lineRule="exact"/>
        <w:ind w:firstLineChars="200" w:firstLine="480"/>
        <w:rPr>
          <w:rFonts w:asciiTheme="minorEastAsia" w:hAnsiTheme="minorEastAsia" w:cstheme="minorEastAsia"/>
          <w:sz w:val="24"/>
        </w:rPr>
      </w:pPr>
      <w:r>
        <w:rPr>
          <w:rFonts w:ascii="宋体" w:hAnsi="宋体" w:cs="宋体" w:hint="eastAsia"/>
          <w:sz w:val="24"/>
        </w:rPr>
        <w:t>4、招生区域：南昌市、武汉市、重庆市、北京市、上海市、东莞市、深圳市、西安市、郑州市、福州市、天津市、济南市、宁波市、成都市、长沙市、杭州市、南京市、广州市等地区及周边大中小城市。</w:t>
      </w:r>
    </w:p>
    <w:p w:rsidR="00210765" w:rsidRDefault="00210765">
      <w:pPr>
        <w:spacing w:line="360" w:lineRule="exact"/>
        <w:jc w:val="left"/>
        <w:rPr>
          <w:rFonts w:asciiTheme="minorEastAsia" w:hAnsiTheme="minorEastAsia" w:cstheme="minorEastAsia"/>
          <w:sz w:val="24"/>
        </w:rPr>
      </w:pPr>
    </w:p>
    <w:p w:rsidR="00210765" w:rsidRDefault="00A15DE4">
      <w:pPr>
        <w:spacing w:line="360" w:lineRule="exact"/>
        <w:jc w:val="left"/>
        <w:rPr>
          <w:rFonts w:asciiTheme="minorEastAsia" w:hAnsiTheme="minorEastAsia" w:cstheme="minorEastAsia"/>
          <w:b/>
          <w:bCs/>
          <w:sz w:val="24"/>
        </w:rPr>
      </w:pPr>
      <w:r>
        <w:rPr>
          <w:rFonts w:asciiTheme="minorEastAsia" w:hAnsiTheme="minorEastAsia" w:cstheme="minorEastAsia" w:hint="eastAsia"/>
          <w:b/>
          <w:bCs/>
          <w:sz w:val="24"/>
        </w:rPr>
        <w:t>五、课程设置</w:t>
      </w:r>
    </w:p>
    <w:p w:rsidR="00210765" w:rsidRDefault="00210765">
      <w:pPr>
        <w:spacing w:line="360" w:lineRule="exact"/>
        <w:jc w:val="center"/>
        <w:rPr>
          <w:rFonts w:asciiTheme="minorEastAsia" w:hAnsiTheme="minorEastAsia" w:cstheme="minorEastAsia"/>
          <w:sz w:val="24"/>
        </w:rPr>
      </w:pPr>
    </w:p>
    <w:tbl>
      <w:tblPr>
        <w:tblStyle w:val="a5"/>
        <w:tblW w:w="8522" w:type="dxa"/>
        <w:tblLayout w:type="fixed"/>
        <w:tblLook w:val="04A0" w:firstRow="1" w:lastRow="0" w:firstColumn="1" w:lastColumn="0" w:noHBand="0" w:noVBand="1"/>
      </w:tblPr>
      <w:tblGrid>
        <w:gridCol w:w="2840"/>
        <w:gridCol w:w="2841"/>
        <w:gridCol w:w="2841"/>
      </w:tblGrid>
      <w:tr w:rsidR="00210765" w:rsidRPr="00987375">
        <w:trPr>
          <w:trHeight w:val="567"/>
        </w:trPr>
        <w:tc>
          <w:tcPr>
            <w:tcW w:w="2840" w:type="dxa"/>
            <w:vMerge w:val="restart"/>
            <w:tcMar>
              <w:top w:w="0" w:type="dxa"/>
              <w:left w:w="0" w:type="dxa"/>
              <w:bottom w:w="0" w:type="dxa"/>
              <w:right w:w="0" w:type="dxa"/>
            </w:tcMar>
            <w:vAlign w:val="center"/>
          </w:tcPr>
          <w:p w:rsidR="00210765" w:rsidRPr="00987375" w:rsidRDefault="00A15DE4" w:rsidP="00987375">
            <w:r w:rsidRPr="00987375">
              <w:rPr>
                <w:rFonts w:hint="eastAsia"/>
              </w:rPr>
              <w:t>公共基础课</w:t>
            </w:r>
          </w:p>
        </w:tc>
        <w:tc>
          <w:tcPr>
            <w:tcW w:w="2841" w:type="dxa"/>
            <w:tcMar>
              <w:top w:w="0" w:type="dxa"/>
              <w:left w:w="0" w:type="dxa"/>
              <w:bottom w:w="0" w:type="dxa"/>
              <w:right w:w="0" w:type="dxa"/>
            </w:tcMar>
            <w:vAlign w:val="center"/>
          </w:tcPr>
          <w:p w:rsidR="00210765" w:rsidRPr="00987375" w:rsidRDefault="00A15DE4" w:rsidP="00987375">
            <w:r w:rsidRPr="00987375">
              <w:rPr>
                <w:rFonts w:hint="eastAsia"/>
              </w:rPr>
              <w:t>英语</w:t>
            </w:r>
          </w:p>
        </w:tc>
        <w:tc>
          <w:tcPr>
            <w:tcW w:w="2841" w:type="dxa"/>
            <w:tcMar>
              <w:top w:w="0" w:type="dxa"/>
              <w:left w:w="0" w:type="dxa"/>
              <w:bottom w:w="0" w:type="dxa"/>
              <w:right w:w="0" w:type="dxa"/>
            </w:tcMar>
            <w:vAlign w:val="center"/>
          </w:tcPr>
          <w:p w:rsidR="00210765" w:rsidRPr="00987375" w:rsidRDefault="00A15DE4" w:rsidP="00987375">
            <w:r w:rsidRPr="00987375">
              <w:rPr>
                <w:rFonts w:hint="eastAsia"/>
              </w:rPr>
              <w:t>中国特色社会主义理论与实践研究</w:t>
            </w:r>
          </w:p>
        </w:tc>
      </w:tr>
      <w:tr w:rsidR="00210765" w:rsidRPr="00987375">
        <w:trPr>
          <w:trHeight w:val="567"/>
        </w:trPr>
        <w:tc>
          <w:tcPr>
            <w:tcW w:w="2840" w:type="dxa"/>
            <w:vMerge/>
            <w:tcMar>
              <w:top w:w="0" w:type="dxa"/>
              <w:left w:w="0" w:type="dxa"/>
              <w:bottom w:w="0" w:type="dxa"/>
              <w:right w:w="0" w:type="dxa"/>
            </w:tcMar>
            <w:vAlign w:val="center"/>
          </w:tcPr>
          <w:p w:rsidR="00210765" w:rsidRPr="00987375" w:rsidRDefault="00210765" w:rsidP="00987375"/>
        </w:tc>
        <w:tc>
          <w:tcPr>
            <w:tcW w:w="2841" w:type="dxa"/>
            <w:tcMar>
              <w:top w:w="0" w:type="dxa"/>
              <w:left w:w="0" w:type="dxa"/>
              <w:bottom w:w="0" w:type="dxa"/>
              <w:right w:w="0" w:type="dxa"/>
            </w:tcMar>
            <w:vAlign w:val="center"/>
          </w:tcPr>
          <w:p w:rsidR="00210765" w:rsidRPr="00987375" w:rsidRDefault="00A15DE4" w:rsidP="00987375">
            <w:r w:rsidRPr="00987375">
              <w:rPr>
                <w:rFonts w:hint="eastAsia"/>
              </w:rPr>
              <w:t>自然辩证法概论</w:t>
            </w:r>
          </w:p>
        </w:tc>
        <w:tc>
          <w:tcPr>
            <w:tcW w:w="2841" w:type="dxa"/>
            <w:tcMar>
              <w:top w:w="0" w:type="dxa"/>
              <w:left w:w="0" w:type="dxa"/>
              <w:bottom w:w="0" w:type="dxa"/>
              <w:right w:w="0" w:type="dxa"/>
            </w:tcMar>
            <w:vAlign w:val="center"/>
          </w:tcPr>
          <w:p w:rsidR="00210765" w:rsidRPr="00987375" w:rsidRDefault="00210765" w:rsidP="00987375"/>
        </w:tc>
      </w:tr>
      <w:tr w:rsidR="00210765" w:rsidRPr="00987375">
        <w:trPr>
          <w:trHeight w:val="567"/>
        </w:trPr>
        <w:tc>
          <w:tcPr>
            <w:tcW w:w="2840" w:type="dxa"/>
            <w:vMerge w:val="restart"/>
            <w:tcMar>
              <w:top w:w="0" w:type="dxa"/>
              <w:left w:w="0" w:type="dxa"/>
              <w:bottom w:w="0" w:type="dxa"/>
              <w:right w:w="0" w:type="dxa"/>
            </w:tcMar>
            <w:vAlign w:val="center"/>
          </w:tcPr>
          <w:p w:rsidR="00210765" w:rsidRPr="00987375" w:rsidRDefault="00A15DE4" w:rsidP="00987375">
            <w:r w:rsidRPr="00987375">
              <w:rPr>
                <w:rFonts w:hint="eastAsia"/>
              </w:rPr>
              <w:t>专业核心课</w:t>
            </w:r>
          </w:p>
        </w:tc>
        <w:tc>
          <w:tcPr>
            <w:tcW w:w="2841" w:type="dxa"/>
            <w:tcMar>
              <w:top w:w="0" w:type="dxa"/>
              <w:left w:w="0" w:type="dxa"/>
              <w:bottom w:w="0" w:type="dxa"/>
              <w:right w:w="0" w:type="dxa"/>
            </w:tcMar>
            <w:vAlign w:val="center"/>
          </w:tcPr>
          <w:p w:rsidR="00210765" w:rsidRPr="00987375" w:rsidRDefault="00A15DE4" w:rsidP="00987375">
            <w:r w:rsidRPr="00987375">
              <w:rPr>
                <w:rFonts w:hint="eastAsia"/>
              </w:rPr>
              <w:t>计算机控制系统</w:t>
            </w:r>
          </w:p>
        </w:tc>
        <w:tc>
          <w:tcPr>
            <w:tcW w:w="2841" w:type="dxa"/>
            <w:tcMar>
              <w:top w:w="0" w:type="dxa"/>
              <w:left w:w="0" w:type="dxa"/>
              <w:bottom w:w="0" w:type="dxa"/>
              <w:right w:w="0" w:type="dxa"/>
            </w:tcMar>
            <w:vAlign w:val="center"/>
          </w:tcPr>
          <w:p w:rsidR="00210765" w:rsidRPr="00987375" w:rsidRDefault="00A15DE4" w:rsidP="00987375">
            <w:r w:rsidRPr="00987375">
              <w:rPr>
                <w:rFonts w:hint="eastAsia"/>
              </w:rPr>
              <w:t>智能控制理论与应用</w:t>
            </w:r>
          </w:p>
        </w:tc>
      </w:tr>
      <w:tr w:rsidR="00210765" w:rsidRPr="00987375">
        <w:trPr>
          <w:trHeight w:val="567"/>
        </w:trPr>
        <w:tc>
          <w:tcPr>
            <w:tcW w:w="2840" w:type="dxa"/>
            <w:vMerge/>
            <w:tcMar>
              <w:top w:w="0" w:type="dxa"/>
              <w:left w:w="0" w:type="dxa"/>
              <w:bottom w:w="0" w:type="dxa"/>
              <w:right w:w="0" w:type="dxa"/>
            </w:tcMar>
            <w:vAlign w:val="center"/>
          </w:tcPr>
          <w:p w:rsidR="00210765" w:rsidRPr="00987375" w:rsidRDefault="00210765" w:rsidP="00987375"/>
        </w:tc>
        <w:tc>
          <w:tcPr>
            <w:tcW w:w="2841" w:type="dxa"/>
            <w:tcMar>
              <w:top w:w="0" w:type="dxa"/>
              <w:left w:w="0" w:type="dxa"/>
              <w:bottom w:w="0" w:type="dxa"/>
              <w:right w:w="0" w:type="dxa"/>
            </w:tcMar>
            <w:vAlign w:val="center"/>
          </w:tcPr>
          <w:p w:rsidR="00210765" w:rsidRPr="00987375" w:rsidRDefault="00A15DE4" w:rsidP="00987375">
            <w:r w:rsidRPr="00987375">
              <w:rPr>
                <w:rFonts w:hint="eastAsia"/>
              </w:rPr>
              <w:t>线性系统</w:t>
            </w:r>
          </w:p>
        </w:tc>
        <w:tc>
          <w:tcPr>
            <w:tcW w:w="2841" w:type="dxa"/>
            <w:tcMar>
              <w:top w:w="0" w:type="dxa"/>
              <w:left w:w="0" w:type="dxa"/>
              <w:bottom w:w="0" w:type="dxa"/>
              <w:right w:w="0" w:type="dxa"/>
            </w:tcMar>
            <w:vAlign w:val="center"/>
          </w:tcPr>
          <w:p w:rsidR="00210765" w:rsidRPr="00987375" w:rsidRDefault="00210765" w:rsidP="00987375"/>
        </w:tc>
      </w:tr>
      <w:tr w:rsidR="00210765" w:rsidRPr="00987375">
        <w:trPr>
          <w:trHeight w:val="567"/>
        </w:trPr>
        <w:tc>
          <w:tcPr>
            <w:tcW w:w="2840" w:type="dxa"/>
            <w:vMerge w:val="restart"/>
            <w:tcMar>
              <w:top w:w="0" w:type="dxa"/>
              <w:left w:w="0" w:type="dxa"/>
              <w:bottom w:w="0" w:type="dxa"/>
              <w:right w:w="0" w:type="dxa"/>
            </w:tcMar>
            <w:vAlign w:val="center"/>
          </w:tcPr>
          <w:p w:rsidR="00210765" w:rsidRPr="00987375" w:rsidRDefault="00A15DE4" w:rsidP="00987375">
            <w:r w:rsidRPr="00987375">
              <w:rPr>
                <w:rFonts w:hint="eastAsia"/>
              </w:rPr>
              <w:t>专业方向课</w:t>
            </w:r>
          </w:p>
        </w:tc>
        <w:tc>
          <w:tcPr>
            <w:tcW w:w="2841" w:type="dxa"/>
            <w:tcMar>
              <w:top w:w="0" w:type="dxa"/>
              <w:left w:w="0" w:type="dxa"/>
              <w:bottom w:w="0" w:type="dxa"/>
              <w:right w:w="0" w:type="dxa"/>
            </w:tcMar>
            <w:vAlign w:val="center"/>
          </w:tcPr>
          <w:p w:rsidR="00210765" w:rsidRPr="00987375" w:rsidRDefault="00A15DE4" w:rsidP="00987375">
            <w:r w:rsidRPr="00987375">
              <w:rPr>
                <w:rFonts w:hint="eastAsia"/>
              </w:rPr>
              <w:t>MATLAB</w:t>
            </w:r>
            <w:r w:rsidRPr="00987375">
              <w:rPr>
                <w:rFonts w:hint="eastAsia"/>
              </w:rPr>
              <w:t>与控制系统</w:t>
            </w:r>
            <w:r w:rsidRPr="00987375">
              <w:t>数字仿真</w:t>
            </w:r>
          </w:p>
        </w:tc>
        <w:tc>
          <w:tcPr>
            <w:tcW w:w="2841" w:type="dxa"/>
            <w:tcMar>
              <w:top w:w="0" w:type="dxa"/>
              <w:left w:w="0" w:type="dxa"/>
              <w:bottom w:w="0" w:type="dxa"/>
              <w:right w:w="0" w:type="dxa"/>
            </w:tcMar>
            <w:vAlign w:val="center"/>
          </w:tcPr>
          <w:p w:rsidR="00210765" w:rsidRPr="00987375" w:rsidRDefault="00A15DE4" w:rsidP="00987375">
            <w:r w:rsidRPr="00987375">
              <w:rPr>
                <w:rFonts w:hint="eastAsia"/>
              </w:rPr>
              <w:t>机器</w:t>
            </w:r>
            <w:r w:rsidRPr="00987375">
              <w:t>学习</w:t>
            </w:r>
          </w:p>
        </w:tc>
      </w:tr>
      <w:tr w:rsidR="00210765" w:rsidRPr="00987375">
        <w:trPr>
          <w:trHeight w:val="567"/>
        </w:trPr>
        <w:tc>
          <w:tcPr>
            <w:tcW w:w="2840" w:type="dxa"/>
            <w:vMerge/>
            <w:tcMar>
              <w:top w:w="0" w:type="dxa"/>
              <w:left w:w="0" w:type="dxa"/>
              <w:bottom w:w="0" w:type="dxa"/>
              <w:right w:w="0" w:type="dxa"/>
            </w:tcMar>
            <w:vAlign w:val="center"/>
          </w:tcPr>
          <w:p w:rsidR="00210765" w:rsidRPr="00987375" w:rsidRDefault="00210765" w:rsidP="00987375"/>
        </w:tc>
        <w:tc>
          <w:tcPr>
            <w:tcW w:w="2841" w:type="dxa"/>
            <w:tcMar>
              <w:top w:w="0" w:type="dxa"/>
              <w:left w:w="0" w:type="dxa"/>
              <w:bottom w:w="0" w:type="dxa"/>
              <w:right w:w="0" w:type="dxa"/>
            </w:tcMar>
            <w:vAlign w:val="center"/>
          </w:tcPr>
          <w:p w:rsidR="00210765" w:rsidRPr="00987375" w:rsidRDefault="00A15DE4" w:rsidP="00987375">
            <w:r w:rsidRPr="00987375">
              <w:rPr>
                <w:rFonts w:hint="eastAsia"/>
              </w:rPr>
              <w:t>控制网络</w:t>
            </w:r>
          </w:p>
        </w:tc>
        <w:tc>
          <w:tcPr>
            <w:tcW w:w="2841" w:type="dxa"/>
            <w:tcMar>
              <w:top w:w="0" w:type="dxa"/>
              <w:left w:w="0" w:type="dxa"/>
              <w:bottom w:w="0" w:type="dxa"/>
              <w:right w:w="0" w:type="dxa"/>
            </w:tcMar>
            <w:vAlign w:val="center"/>
          </w:tcPr>
          <w:p w:rsidR="00210765" w:rsidRPr="00987375" w:rsidRDefault="00A15DE4" w:rsidP="00987375">
            <w:r w:rsidRPr="00987375">
              <w:rPr>
                <w:rFonts w:hint="eastAsia"/>
              </w:rPr>
              <w:t>优化理论与优化控制</w:t>
            </w:r>
          </w:p>
        </w:tc>
      </w:tr>
      <w:tr w:rsidR="00210765" w:rsidRPr="00987375">
        <w:trPr>
          <w:trHeight w:val="567"/>
        </w:trPr>
        <w:tc>
          <w:tcPr>
            <w:tcW w:w="2840" w:type="dxa"/>
            <w:vMerge/>
            <w:tcMar>
              <w:top w:w="0" w:type="dxa"/>
              <w:left w:w="0" w:type="dxa"/>
              <w:bottom w:w="0" w:type="dxa"/>
              <w:right w:w="0" w:type="dxa"/>
            </w:tcMar>
            <w:vAlign w:val="center"/>
          </w:tcPr>
          <w:p w:rsidR="00210765" w:rsidRPr="00987375" w:rsidRDefault="00210765" w:rsidP="00987375"/>
        </w:tc>
        <w:tc>
          <w:tcPr>
            <w:tcW w:w="2841" w:type="dxa"/>
            <w:tcMar>
              <w:top w:w="0" w:type="dxa"/>
              <w:left w:w="0" w:type="dxa"/>
              <w:bottom w:w="0" w:type="dxa"/>
              <w:right w:w="0" w:type="dxa"/>
            </w:tcMar>
            <w:vAlign w:val="center"/>
          </w:tcPr>
          <w:p w:rsidR="00210765" w:rsidRPr="00987375" w:rsidRDefault="00A15DE4" w:rsidP="00987375">
            <w:r w:rsidRPr="00987375">
              <w:rPr>
                <w:rFonts w:hint="eastAsia"/>
              </w:rPr>
              <w:t>优化理论与优化控制</w:t>
            </w:r>
          </w:p>
        </w:tc>
        <w:tc>
          <w:tcPr>
            <w:tcW w:w="2841" w:type="dxa"/>
            <w:tcMar>
              <w:top w:w="0" w:type="dxa"/>
              <w:left w:w="0" w:type="dxa"/>
              <w:bottom w:w="0" w:type="dxa"/>
              <w:right w:w="0" w:type="dxa"/>
            </w:tcMar>
            <w:vAlign w:val="center"/>
          </w:tcPr>
          <w:p w:rsidR="00210765" w:rsidRPr="00987375" w:rsidRDefault="00A15DE4" w:rsidP="00987375">
            <w:r w:rsidRPr="00987375">
              <w:rPr>
                <w:rFonts w:hint="eastAsia"/>
              </w:rPr>
              <w:t>工业机器视觉系统</w:t>
            </w:r>
          </w:p>
        </w:tc>
      </w:tr>
      <w:tr w:rsidR="00210765" w:rsidRPr="00987375">
        <w:trPr>
          <w:trHeight w:val="567"/>
        </w:trPr>
        <w:tc>
          <w:tcPr>
            <w:tcW w:w="2840" w:type="dxa"/>
            <w:tcMar>
              <w:top w:w="0" w:type="dxa"/>
              <w:left w:w="0" w:type="dxa"/>
              <w:bottom w:w="0" w:type="dxa"/>
              <w:right w:w="0" w:type="dxa"/>
            </w:tcMar>
            <w:vAlign w:val="center"/>
          </w:tcPr>
          <w:p w:rsidR="00210765" w:rsidRPr="00987375" w:rsidRDefault="00A15DE4" w:rsidP="00987375">
            <w:r w:rsidRPr="00987375">
              <w:rPr>
                <w:rFonts w:hint="eastAsia"/>
              </w:rPr>
              <w:t>跨专业课程</w:t>
            </w:r>
          </w:p>
        </w:tc>
        <w:tc>
          <w:tcPr>
            <w:tcW w:w="2841" w:type="dxa"/>
            <w:tcMar>
              <w:top w:w="0" w:type="dxa"/>
              <w:left w:w="0" w:type="dxa"/>
              <w:bottom w:w="0" w:type="dxa"/>
              <w:right w:w="0" w:type="dxa"/>
            </w:tcMar>
            <w:vAlign w:val="center"/>
          </w:tcPr>
          <w:p w:rsidR="00210765" w:rsidRPr="00987375" w:rsidRDefault="00A15DE4" w:rsidP="00987375">
            <w:r w:rsidRPr="00987375">
              <w:rPr>
                <w:rFonts w:hint="eastAsia"/>
              </w:rPr>
              <w:t>现代电力电子技术</w:t>
            </w:r>
          </w:p>
        </w:tc>
        <w:tc>
          <w:tcPr>
            <w:tcW w:w="2841" w:type="dxa"/>
            <w:tcMar>
              <w:top w:w="0" w:type="dxa"/>
              <w:left w:w="0" w:type="dxa"/>
              <w:bottom w:w="0" w:type="dxa"/>
              <w:right w:w="0" w:type="dxa"/>
            </w:tcMar>
            <w:vAlign w:val="center"/>
          </w:tcPr>
          <w:p w:rsidR="00210765" w:rsidRPr="00987375" w:rsidRDefault="00210765" w:rsidP="00987375"/>
        </w:tc>
      </w:tr>
    </w:tbl>
    <w:p w:rsidR="00210765" w:rsidRDefault="00210765">
      <w:pPr>
        <w:spacing w:line="360" w:lineRule="exact"/>
        <w:rPr>
          <w:rFonts w:asciiTheme="minorEastAsia" w:hAnsiTheme="minorEastAsia" w:cstheme="minorEastAsia"/>
          <w:sz w:val="24"/>
        </w:rPr>
      </w:pPr>
    </w:p>
    <w:p w:rsidR="00210765" w:rsidRDefault="00A15DE4">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六、学制与学费</w:t>
      </w:r>
    </w:p>
    <w:p w:rsidR="00210765" w:rsidRDefault="00A15DE4">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1、学制：1-2年；</w:t>
      </w:r>
    </w:p>
    <w:p w:rsidR="00210765" w:rsidRDefault="00A15DE4">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2、报名审核费300元，学费</w:t>
      </w:r>
      <w:r w:rsidR="0019343D" w:rsidRPr="0019343D">
        <w:rPr>
          <w:rFonts w:asciiTheme="minorEastAsia" w:hAnsiTheme="minorEastAsia" w:cstheme="minorEastAsia"/>
          <w:sz w:val="24"/>
        </w:rPr>
        <w:t>26000</w:t>
      </w:r>
      <w:bookmarkStart w:id="0" w:name="_GoBack"/>
      <w:bookmarkEnd w:id="0"/>
      <w:r>
        <w:rPr>
          <w:rFonts w:asciiTheme="minorEastAsia" w:hAnsiTheme="minorEastAsia" w:cstheme="minorEastAsia" w:hint="eastAsia"/>
          <w:sz w:val="24"/>
        </w:rPr>
        <w:t>元，答辩费10000元，教材费1600元，增值服务费8200元。</w:t>
      </w:r>
    </w:p>
    <w:p w:rsidR="00210765" w:rsidRDefault="00210765">
      <w:pPr>
        <w:spacing w:line="360" w:lineRule="exact"/>
        <w:ind w:firstLineChars="200" w:firstLine="480"/>
        <w:jc w:val="left"/>
        <w:rPr>
          <w:rFonts w:asciiTheme="minorEastAsia" w:hAnsiTheme="minorEastAsia" w:cstheme="minorEastAsia"/>
          <w:sz w:val="24"/>
        </w:rPr>
      </w:pPr>
    </w:p>
    <w:p w:rsidR="00210765" w:rsidRDefault="00210765">
      <w:pPr>
        <w:spacing w:line="360" w:lineRule="exact"/>
        <w:jc w:val="left"/>
        <w:rPr>
          <w:rFonts w:asciiTheme="minorEastAsia" w:hAnsiTheme="minorEastAsia" w:cstheme="minorEastAsia"/>
          <w:sz w:val="24"/>
        </w:rPr>
      </w:pPr>
    </w:p>
    <w:p w:rsidR="00210765" w:rsidRDefault="00A15DE4">
      <w:pPr>
        <w:spacing w:line="360" w:lineRule="exact"/>
        <w:jc w:val="left"/>
        <w:rPr>
          <w:rFonts w:asciiTheme="minorEastAsia" w:hAnsiTheme="minorEastAsia" w:cstheme="minorEastAsia"/>
          <w:b/>
          <w:bCs/>
          <w:sz w:val="24"/>
        </w:rPr>
      </w:pPr>
      <w:r>
        <w:rPr>
          <w:rFonts w:asciiTheme="minorEastAsia" w:hAnsiTheme="minorEastAsia" w:cstheme="minorEastAsia" w:hint="eastAsia"/>
          <w:b/>
          <w:bCs/>
          <w:sz w:val="24"/>
        </w:rPr>
        <w:t>七、培养方式</w:t>
      </w:r>
    </w:p>
    <w:p w:rsidR="00210765" w:rsidRDefault="00A15DE4">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1、远程班学员可自行调节学习时间利用互联网学习；</w:t>
      </w:r>
    </w:p>
    <w:p w:rsidR="00210765" w:rsidRDefault="00A15DE4">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2、集中班学员利用假期集中到南昌大学校本部进行面授课程学习；</w:t>
      </w:r>
    </w:p>
    <w:p w:rsidR="00210765" w:rsidRDefault="00A15DE4">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3、本地班学员可利用周六、日期间到本地教学中心面授学习；</w:t>
      </w:r>
    </w:p>
    <w:p w:rsidR="00210765" w:rsidRDefault="00A15DE4">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4、学习期间采取理论与实践相结合、课堂讲授与自学相结合的方式。</w:t>
      </w:r>
    </w:p>
    <w:p w:rsidR="00210765" w:rsidRDefault="00210765">
      <w:pPr>
        <w:spacing w:line="360" w:lineRule="exact"/>
        <w:jc w:val="left"/>
        <w:rPr>
          <w:rFonts w:asciiTheme="minorEastAsia" w:hAnsiTheme="minorEastAsia" w:cstheme="minorEastAsia"/>
          <w:sz w:val="24"/>
        </w:rPr>
      </w:pPr>
    </w:p>
    <w:p w:rsidR="00210765" w:rsidRDefault="00A15DE4">
      <w:pPr>
        <w:spacing w:line="360" w:lineRule="exact"/>
        <w:jc w:val="left"/>
        <w:rPr>
          <w:rFonts w:asciiTheme="minorEastAsia" w:hAnsiTheme="minorEastAsia" w:cstheme="minorEastAsia"/>
          <w:b/>
          <w:bCs/>
          <w:sz w:val="24"/>
        </w:rPr>
      </w:pPr>
      <w:r>
        <w:rPr>
          <w:rFonts w:asciiTheme="minorEastAsia" w:hAnsiTheme="minorEastAsia" w:cstheme="minorEastAsia" w:hint="eastAsia"/>
          <w:b/>
          <w:bCs/>
          <w:sz w:val="24"/>
        </w:rPr>
        <w:t>八、获取证书</w:t>
      </w:r>
    </w:p>
    <w:p w:rsidR="00210765" w:rsidRDefault="00A15DE4">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学员通过同等学力人员申请硕士学位外国语水平全国统一考试和学科综合水平全国统一考试，进行硕士学位论文答辩。通过同等学力水平认定，经我校学位委员会批准，授予硕士学位并颁发学位证书。</w:t>
      </w:r>
    </w:p>
    <w:p w:rsidR="00210765" w:rsidRDefault="00A15DE4">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注：申请人</w:t>
      </w:r>
      <w:proofErr w:type="gramStart"/>
      <w:r>
        <w:rPr>
          <w:rFonts w:asciiTheme="minorEastAsia" w:hAnsiTheme="minorEastAsia" w:cstheme="minorEastAsia" w:hint="eastAsia"/>
          <w:sz w:val="24"/>
        </w:rPr>
        <w:t>自资格</w:t>
      </w:r>
      <w:proofErr w:type="gramEnd"/>
      <w:r>
        <w:rPr>
          <w:rFonts w:asciiTheme="minorEastAsia" w:hAnsiTheme="minorEastAsia" w:cstheme="minorEastAsia" w:hint="eastAsia"/>
          <w:sz w:val="24"/>
        </w:rPr>
        <w:t>审查合格之日起，必须在七年之内修完所申请专业硕士研究生培养方案规定的课程，按要求参加考试，取得合格成绩，修满规定的学分，在省级学术刊物发表一篇与所学专业相关的学术论文（第一作者或独立完成）。</w:t>
      </w:r>
    </w:p>
    <w:p w:rsidR="00210765" w:rsidRDefault="00A15DE4">
      <w:pPr>
        <w:spacing w:line="360" w:lineRule="exact"/>
        <w:jc w:val="left"/>
        <w:rPr>
          <w:rFonts w:asciiTheme="minorEastAsia" w:hAnsiTheme="minorEastAsia" w:cstheme="minorEastAsia"/>
          <w:sz w:val="24"/>
        </w:rPr>
      </w:pPr>
      <w:r>
        <w:rPr>
          <w:rFonts w:asciiTheme="minorEastAsia" w:hAnsiTheme="minorEastAsia" w:cstheme="minorEastAsia" w:hint="eastAsia"/>
          <w:sz w:val="24"/>
        </w:rPr>
        <w:t xml:space="preserve"> </w:t>
      </w:r>
    </w:p>
    <w:p w:rsidR="00A15DE4" w:rsidRDefault="00A15DE4">
      <w:pPr>
        <w:spacing w:line="360" w:lineRule="exact"/>
        <w:jc w:val="left"/>
        <w:rPr>
          <w:rFonts w:asciiTheme="minorEastAsia" w:hAnsiTheme="minorEastAsia" w:cstheme="minorEastAsia"/>
          <w:b/>
          <w:bCs/>
          <w:sz w:val="24"/>
        </w:rPr>
      </w:pPr>
    </w:p>
    <w:p w:rsidR="00987375" w:rsidRDefault="00987375">
      <w:pPr>
        <w:spacing w:line="360" w:lineRule="exact"/>
        <w:jc w:val="left"/>
        <w:rPr>
          <w:rFonts w:asciiTheme="minorEastAsia" w:hAnsiTheme="minorEastAsia" w:cstheme="minorEastAsia"/>
          <w:b/>
          <w:bCs/>
          <w:sz w:val="24"/>
        </w:rPr>
      </w:pPr>
    </w:p>
    <w:p w:rsidR="00A15DE4" w:rsidRDefault="00A15DE4">
      <w:pPr>
        <w:spacing w:line="360" w:lineRule="exact"/>
        <w:jc w:val="left"/>
        <w:rPr>
          <w:rFonts w:asciiTheme="minorEastAsia" w:hAnsiTheme="minorEastAsia" w:cstheme="minorEastAsia"/>
          <w:b/>
          <w:bCs/>
          <w:sz w:val="24"/>
        </w:rPr>
      </w:pPr>
    </w:p>
    <w:p w:rsidR="00A15DE4" w:rsidRDefault="00A15DE4">
      <w:pPr>
        <w:spacing w:line="360" w:lineRule="exact"/>
        <w:jc w:val="left"/>
        <w:rPr>
          <w:rFonts w:asciiTheme="minorEastAsia" w:hAnsiTheme="minorEastAsia" w:cstheme="minorEastAsia"/>
          <w:b/>
          <w:bCs/>
          <w:sz w:val="24"/>
        </w:rPr>
      </w:pPr>
    </w:p>
    <w:p w:rsidR="00A15DE4" w:rsidRDefault="00A15DE4">
      <w:pPr>
        <w:spacing w:line="360" w:lineRule="exact"/>
        <w:jc w:val="left"/>
        <w:rPr>
          <w:rFonts w:asciiTheme="minorEastAsia" w:hAnsiTheme="minorEastAsia" w:cstheme="minorEastAsia"/>
          <w:b/>
          <w:bCs/>
          <w:sz w:val="24"/>
        </w:rPr>
      </w:pPr>
    </w:p>
    <w:p w:rsidR="00A15DE4" w:rsidRDefault="00A15DE4">
      <w:pPr>
        <w:spacing w:line="360" w:lineRule="exact"/>
        <w:jc w:val="left"/>
        <w:rPr>
          <w:rFonts w:asciiTheme="minorEastAsia" w:hAnsiTheme="minorEastAsia" w:cstheme="minorEastAsia"/>
          <w:b/>
          <w:bCs/>
          <w:sz w:val="24"/>
        </w:rPr>
      </w:pPr>
    </w:p>
    <w:p w:rsidR="00A15DE4" w:rsidRDefault="00A15DE4">
      <w:pPr>
        <w:spacing w:line="360" w:lineRule="exact"/>
        <w:jc w:val="left"/>
        <w:rPr>
          <w:rFonts w:asciiTheme="minorEastAsia" w:hAnsiTheme="minorEastAsia" w:cstheme="minorEastAsia"/>
          <w:b/>
          <w:bCs/>
          <w:sz w:val="24"/>
        </w:rPr>
      </w:pPr>
    </w:p>
    <w:p w:rsidR="00A15DE4" w:rsidRDefault="00A15DE4">
      <w:pPr>
        <w:spacing w:line="360" w:lineRule="exact"/>
        <w:jc w:val="left"/>
        <w:rPr>
          <w:rFonts w:asciiTheme="minorEastAsia" w:hAnsiTheme="minorEastAsia" w:cstheme="minorEastAsia"/>
          <w:b/>
          <w:bCs/>
          <w:sz w:val="24"/>
        </w:rPr>
      </w:pPr>
    </w:p>
    <w:p w:rsidR="00A15DE4" w:rsidRDefault="00A15DE4">
      <w:pPr>
        <w:spacing w:line="360" w:lineRule="exact"/>
        <w:jc w:val="left"/>
        <w:rPr>
          <w:rFonts w:asciiTheme="minorEastAsia" w:hAnsiTheme="minorEastAsia" w:cstheme="minorEastAsia"/>
          <w:b/>
          <w:bCs/>
          <w:sz w:val="24"/>
        </w:rPr>
      </w:pPr>
    </w:p>
    <w:p w:rsidR="00A15DE4" w:rsidRDefault="00A15DE4">
      <w:pPr>
        <w:spacing w:line="360" w:lineRule="exact"/>
        <w:jc w:val="left"/>
        <w:rPr>
          <w:rFonts w:asciiTheme="minorEastAsia" w:hAnsiTheme="minorEastAsia" w:cstheme="minorEastAsia"/>
          <w:b/>
          <w:bCs/>
          <w:sz w:val="24"/>
        </w:rPr>
      </w:pPr>
    </w:p>
    <w:p w:rsidR="00A15DE4" w:rsidRDefault="00A15DE4">
      <w:pPr>
        <w:spacing w:line="360" w:lineRule="exact"/>
        <w:jc w:val="left"/>
        <w:rPr>
          <w:rFonts w:asciiTheme="minorEastAsia" w:hAnsiTheme="minorEastAsia" w:cstheme="minorEastAsia"/>
          <w:b/>
          <w:bCs/>
          <w:sz w:val="24"/>
        </w:rPr>
      </w:pPr>
    </w:p>
    <w:p w:rsidR="00A15DE4" w:rsidRDefault="00A15DE4">
      <w:pPr>
        <w:spacing w:line="360" w:lineRule="exact"/>
        <w:jc w:val="left"/>
        <w:rPr>
          <w:rFonts w:asciiTheme="minorEastAsia" w:hAnsiTheme="minorEastAsia" w:cstheme="minorEastAsia"/>
          <w:b/>
          <w:bCs/>
          <w:sz w:val="24"/>
        </w:rPr>
      </w:pPr>
    </w:p>
    <w:p w:rsidR="00A15DE4" w:rsidRDefault="00A15DE4">
      <w:pPr>
        <w:spacing w:line="360" w:lineRule="exact"/>
        <w:jc w:val="left"/>
        <w:rPr>
          <w:rFonts w:asciiTheme="minorEastAsia" w:hAnsiTheme="minorEastAsia" w:cstheme="minorEastAsia"/>
          <w:b/>
          <w:bCs/>
          <w:sz w:val="24"/>
        </w:rPr>
      </w:pPr>
    </w:p>
    <w:p w:rsidR="00A15DE4" w:rsidRDefault="00A15DE4">
      <w:pPr>
        <w:spacing w:line="360" w:lineRule="exact"/>
        <w:jc w:val="left"/>
        <w:rPr>
          <w:rFonts w:asciiTheme="minorEastAsia" w:hAnsiTheme="minorEastAsia" w:cstheme="minorEastAsia"/>
          <w:b/>
          <w:bCs/>
          <w:sz w:val="24"/>
        </w:rPr>
      </w:pPr>
    </w:p>
    <w:p w:rsidR="00A15DE4" w:rsidRDefault="00A15DE4">
      <w:pPr>
        <w:spacing w:line="360" w:lineRule="exact"/>
        <w:jc w:val="left"/>
        <w:rPr>
          <w:rFonts w:asciiTheme="minorEastAsia" w:hAnsiTheme="minorEastAsia" w:cstheme="minorEastAsia"/>
          <w:b/>
          <w:bCs/>
          <w:sz w:val="24"/>
        </w:rPr>
      </w:pPr>
    </w:p>
    <w:p w:rsidR="00A15DE4" w:rsidRDefault="00A15DE4">
      <w:pPr>
        <w:spacing w:line="360" w:lineRule="exact"/>
        <w:jc w:val="left"/>
        <w:rPr>
          <w:rFonts w:asciiTheme="minorEastAsia" w:hAnsiTheme="minorEastAsia" w:cstheme="minorEastAsia"/>
          <w:b/>
          <w:bCs/>
          <w:sz w:val="24"/>
        </w:rPr>
      </w:pPr>
    </w:p>
    <w:p w:rsidR="00A15DE4" w:rsidRDefault="00A15DE4">
      <w:pPr>
        <w:spacing w:line="360" w:lineRule="exact"/>
        <w:jc w:val="left"/>
        <w:rPr>
          <w:rFonts w:asciiTheme="minorEastAsia" w:hAnsiTheme="minorEastAsia" w:cstheme="minorEastAsia"/>
          <w:b/>
          <w:bCs/>
          <w:sz w:val="24"/>
        </w:rPr>
      </w:pPr>
    </w:p>
    <w:p w:rsidR="00A15DE4" w:rsidRDefault="00A15DE4">
      <w:pPr>
        <w:spacing w:line="360" w:lineRule="exact"/>
        <w:jc w:val="left"/>
        <w:rPr>
          <w:rFonts w:asciiTheme="minorEastAsia" w:hAnsiTheme="minorEastAsia" w:cstheme="minorEastAsia"/>
          <w:b/>
          <w:bCs/>
          <w:sz w:val="24"/>
        </w:rPr>
      </w:pPr>
    </w:p>
    <w:p w:rsidR="00A15DE4" w:rsidRDefault="00A15DE4">
      <w:pPr>
        <w:spacing w:line="360" w:lineRule="exact"/>
        <w:jc w:val="left"/>
        <w:rPr>
          <w:rFonts w:asciiTheme="minorEastAsia" w:hAnsiTheme="minorEastAsia" w:cstheme="minorEastAsia"/>
          <w:b/>
          <w:bCs/>
          <w:sz w:val="24"/>
        </w:rPr>
      </w:pPr>
    </w:p>
    <w:p w:rsidR="00A15DE4" w:rsidRDefault="00A15DE4">
      <w:pPr>
        <w:spacing w:line="360" w:lineRule="exact"/>
        <w:jc w:val="left"/>
        <w:rPr>
          <w:rFonts w:asciiTheme="minorEastAsia" w:hAnsiTheme="minorEastAsia" w:cstheme="minorEastAsia"/>
          <w:b/>
          <w:bCs/>
          <w:sz w:val="24"/>
        </w:rPr>
      </w:pPr>
    </w:p>
    <w:p w:rsidR="00A15DE4" w:rsidRDefault="00A15DE4">
      <w:pPr>
        <w:spacing w:line="360" w:lineRule="exact"/>
        <w:jc w:val="left"/>
        <w:rPr>
          <w:rFonts w:asciiTheme="minorEastAsia" w:hAnsiTheme="minorEastAsia" w:cstheme="minorEastAsia"/>
          <w:b/>
          <w:bCs/>
          <w:sz w:val="24"/>
        </w:rPr>
      </w:pPr>
    </w:p>
    <w:p w:rsidR="00A15DE4" w:rsidRDefault="00A15DE4">
      <w:pPr>
        <w:spacing w:line="360" w:lineRule="exact"/>
        <w:jc w:val="left"/>
        <w:rPr>
          <w:rFonts w:asciiTheme="minorEastAsia" w:hAnsiTheme="minorEastAsia" w:cstheme="minorEastAsia"/>
          <w:b/>
          <w:bCs/>
          <w:sz w:val="24"/>
        </w:rPr>
      </w:pPr>
    </w:p>
    <w:p w:rsidR="00A15DE4" w:rsidRDefault="00A15DE4">
      <w:pPr>
        <w:spacing w:line="360" w:lineRule="exact"/>
        <w:jc w:val="left"/>
        <w:rPr>
          <w:rFonts w:asciiTheme="minorEastAsia" w:hAnsiTheme="minorEastAsia" w:cstheme="minorEastAsia"/>
          <w:b/>
          <w:bCs/>
          <w:sz w:val="24"/>
        </w:rPr>
      </w:pPr>
    </w:p>
    <w:p w:rsidR="00BE000A" w:rsidRDefault="00BE000A" w:rsidP="00BE000A">
      <w:pPr>
        <w:jc w:val="center"/>
        <w:rPr>
          <w:sz w:val="36"/>
          <w:szCs w:val="36"/>
        </w:rPr>
      </w:pPr>
      <w:r>
        <w:rPr>
          <w:rFonts w:hint="eastAsia"/>
          <w:sz w:val="36"/>
          <w:szCs w:val="36"/>
        </w:rPr>
        <w:lastRenderedPageBreak/>
        <w:t>校方通用报名表</w:t>
      </w:r>
    </w:p>
    <w:p w:rsidR="00BE000A" w:rsidRDefault="00BE000A" w:rsidP="00BE000A">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BE000A" w:rsidTr="00BE000A">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BE000A" w:rsidRDefault="00BE000A">
            <w:pPr>
              <w:jc w:val="left"/>
              <w:rPr>
                <w:szCs w:val="21"/>
              </w:rPr>
            </w:pPr>
          </w:p>
        </w:tc>
      </w:tr>
      <w:tr w:rsidR="00BE000A" w:rsidTr="00BE000A">
        <w:tc>
          <w:tcPr>
            <w:tcW w:w="1217" w:type="dxa"/>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BE000A" w:rsidRDefault="00BE000A">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BE000A" w:rsidRDefault="00BE000A">
            <w:pPr>
              <w:jc w:val="left"/>
              <w:rPr>
                <w:szCs w:val="21"/>
              </w:rPr>
            </w:pPr>
          </w:p>
        </w:tc>
      </w:tr>
      <w:tr w:rsidR="00BE000A" w:rsidTr="00BE000A">
        <w:tc>
          <w:tcPr>
            <w:tcW w:w="1217" w:type="dxa"/>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BE000A" w:rsidRDefault="00BE000A">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BE000A" w:rsidRDefault="00BE000A">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BE000A" w:rsidRDefault="00BE000A">
            <w:pPr>
              <w:jc w:val="left"/>
              <w:rPr>
                <w:szCs w:val="21"/>
              </w:rPr>
            </w:pPr>
          </w:p>
        </w:tc>
      </w:tr>
      <w:tr w:rsidR="00BE000A" w:rsidTr="00BE000A">
        <w:tc>
          <w:tcPr>
            <w:tcW w:w="1217" w:type="dxa"/>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BE000A" w:rsidRDefault="00BE000A">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BE000A" w:rsidRDefault="00BE000A">
            <w:pPr>
              <w:jc w:val="left"/>
              <w:rPr>
                <w:szCs w:val="21"/>
              </w:rPr>
            </w:pPr>
          </w:p>
        </w:tc>
      </w:tr>
      <w:tr w:rsidR="00BE000A" w:rsidTr="00BE000A">
        <w:tc>
          <w:tcPr>
            <w:tcW w:w="1217" w:type="dxa"/>
            <w:vMerge w:val="restart"/>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BE000A" w:rsidRDefault="00BE000A">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BE000A" w:rsidRDefault="00BE000A">
            <w:pPr>
              <w:jc w:val="left"/>
              <w:rPr>
                <w:szCs w:val="21"/>
              </w:rPr>
            </w:pPr>
          </w:p>
        </w:tc>
      </w:tr>
      <w:tr w:rsidR="00BE000A" w:rsidTr="00BE000A">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BE000A" w:rsidRDefault="00BE000A">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BE000A" w:rsidRDefault="00BE000A">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BE000A" w:rsidRDefault="00BE000A">
            <w:pPr>
              <w:jc w:val="left"/>
              <w:rPr>
                <w:szCs w:val="21"/>
              </w:rPr>
            </w:pPr>
          </w:p>
        </w:tc>
      </w:tr>
      <w:tr w:rsidR="00BE000A" w:rsidTr="00BE000A">
        <w:tc>
          <w:tcPr>
            <w:tcW w:w="1217" w:type="dxa"/>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BE000A" w:rsidRDefault="00BE000A">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BE000A" w:rsidRDefault="0019343D">
            <w:pPr>
              <w:ind w:firstLineChars="150" w:firstLine="315"/>
              <w:jc w:val="left"/>
              <w:rPr>
                <w:szCs w:val="21"/>
              </w:rPr>
            </w:pPr>
            <w:r>
              <w:rPr>
                <w:rFonts w:ascii="Calibri" w:eastAsia="宋体" w:hAnsi="Calibri" w:cs="Times New Roman"/>
              </w:rPr>
              <w:pict>
                <v:rect id="_x0000_s1027" style="position:absolute;left:0;text-align:left;margin-left:.65pt;margin-top:2.35pt;width:9.8pt;height:9.75pt;z-index:251656704;mso-position-horizontal-relative:text;mso-position-vertical-relative:text"/>
              </w:pict>
            </w:r>
            <w:r>
              <w:rPr>
                <w:rFonts w:ascii="Calibri" w:eastAsia="宋体" w:hAnsi="Calibri" w:cs="Times New Roman"/>
              </w:rPr>
              <w:pict>
                <v:rect id="_x0000_s1026" style="position:absolute;left:0;text-align:left;margin-left:59.95pt;margin-top:2.35pt;width:9.75pt;height:9.75pt;z-index:251657728;mso-position-horizontal-relative:text;mso-position-vertical-relative:text"/>
              </w:pict>
            </w:r>
            <w:r>
              <w:rPr>
                <w:rFonts w:ascii="Calibri" w:eastAsia="宋体" w:hAnsi="Calibri" w:cs="Times New Roman"/>
              </w:rPr>
              <w:pict>
                <v:rect id="_x0000_s1028" style="position:absolute;left:0;text-align:left;margin-left:118.4pt;margin-top:2.35pt;width:8.3pt;height:9.75pt;z-index:251658752;mso-position-horizontal-relative:text;mso-position-vertical-relative:text"/>
              </w:pict>
            </w:r>
            <w:r w:rsidR="00BE000A">
              <w:rPr>
                <w:rFonts w:hint="eastAsia"/>
                <w:szCs w:val="21"/>
              </w:rPr>
              <w:t>银行汇款</w:t>
            </w:r>
            <w:r w:rsidR="00BE000A">
              <w:rPr>
                <w:szCs w:val="21"/>
              </w:rPr>
              <w:t xml:space="preserve">   </w:t>
            </w:r>
            <w:r w:rsidR="00BE000A">
              <w:rPr>
                <w:rFonts w:hint="eastAsia"/>
                <w:szCs w:val="21"/>
              </w:rPr>
              <w:t>现今付款</w:t>
            </w:r>
            <w:r w:rsidR="00BE000A">
              <w:rPr>
                <w:szCs w:val="21"/>
              </w:rPr>
              <w:t xml:space="preserve">   </w:t>
            </w:r>
            <w:r w:rsidR="00BE000A">
              <w:rPr>
                <w:rFonts w:hint="eastAsia"/>
                <w:szCs w:val="21"/>
              </w:rPr>
              <w:t>电子转账</w:t>
            </w:r>
          </w:p>
        </w:tc>
      </w:tr>
      <w:tr w:rsidR="00BE000A" w:rsidTr="00BE000A">
        <w:tc>
          <w:tcPr>
            <w:tcW w:w="1217" w:type="dxa"/>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BE000A" w:rsidRDefault="00BE000A">
            <w:pPr>
              <w:jc w:val="left"/>
              <w:rPr>
                <w:szCs w:val="21"/>
              </w:rPr>
            </w:pPr>
          </w:p>
        </w:tc>
      </w:tr>
      <w:tr w:rsidR="00BE000A" w:rsidTr="00BE000A">
        <w:tc>
          <w:tcPr>
            <w:tcW w:w="1217" w:type="dxa"/>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BE000A" w:rsidRDefault="00BE000A">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BE000A" w:rsidRDefault="00BE000A">
            <w:pPr>
              <w:jc w:val="left"/>
              <w:rPr>
                <w:szCs w:val="21"/>
              </w:rPr>
            </w:pPr>
          </w:p>
        </w:tc>
      </w:tr>
      <w:tr w:rsidR="00BE000A" w:rsidTr="00BE000A">
        <w:tc>
          <w:tcPr>
            <w:tcW w:w="1217" w:type="dxa"/>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BE000A" w:rsidRDefault="00BE000A">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proofErr w:type="gramStart"/>
            <w:r>
              <w:rPr>
                <w:rFonts w:hint="eastAsia"/>
                <w:szCs w:val="21"/>
              </w:rPr>
              <w:t>邮</w:t>
            </w:r>
            <w:proofErr w:type="gramEnd"/>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BE000A" w:rsidRDefault="00BE000A">
            <w:pPr>
              <w:jc w:val="left"/>
              <w:rPr>
                <w:szCs w:val="21"/>
              </w:rPr>
            </w:pPr>
          </w:p>
        </w:tc>
      </w:tr>
      <w:tr w:rsidR="00BE000A" w:rsidTr="00BE000A">
        <w:tc>
          <w:tcPr>
            <w:tcW w:w="1217" w:type="dxa"/>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BE000A" w:rsidRDefault="00BE000A">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BE000A" w:rsidRDefault="00BE000A">
            <w:pPr>
              <w:jc w:val="left"/>
              <w:rPr>
                <w:szCs w:val="21"/>
              </w:rPr>
            </w:pPr>
          </w:p>
        </w:tc>
      </w:tr>
      <w:tr w:rsidR="00BE000A" w:rsidTr="00BE000A">
        <w:tc>
          <w:tcPr>
            <w:tcW w:w="1217" w:type="dxa"/>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BE000A" w:rsidRDefault="00BE000A">
            <w:pPr>
              <w:jc w:val="left"/>
              <w:rPr>
                <w:szCs w:val="21"/>
              </w:rPr>
            </w:pPr>
          </w:p>
        </w:tc>
      </w:tr>
      <w:tr w:rsidR="00BE000A" w:rsidTr="00BE000A">
        <w:tc>
          <w:tcPr>
            <w:tcW w:w="8522" w:type="dxa"/>
            <w:gridSpan w:val="6"/>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工作简历</w:t>
            </w:r>
          </w:p>
        </w:tc>
      </w:tr>
      <w:tr w:rsidR="00BE000A" w:rsidTr="00BE000A">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BE000A" w:rsidRDefault="00BE000A">
            <w:pPr>
              <w:jc w:val="left"/>
              <w:rPr>
                <w:szCs w:val="21"/>
              </w:rPr>
            </w:pPr>
          </w:p>
        </w:tc>
      </w:tr>
      <w:tr w:rsidR="00BE000A" w:rsidTr="00BE000A">
        <w:tc>
          <w:tcPr>
            <w:tcW w:w="8522" w:type="dxa"/>
            <w:gridSpan w:val="6"/>
            <w:tcBorders>
              <w:top w:val="single" w:sz="4" w:space="0" w:color="000000"/>
              <w:left w:val="single" w:sz="4" w:space="0" w:color="000000"/>
              <w:bottom w:val="single" w:sz="4" w:space="0" w:color="000000"/>
              <w:right w:val="single" w:sz="4" w:space="0" w:color="000000"/>
            </w:tcBorders>
            <w:hideMark/>
          </w:tcPr>
          <w:p w:rsidR="00BE000A" w:rsidRDefault="00BE000A">
            <w:pPr>
              <w:jc w:val="left"/>
              <w:rPr>
                <w:szCs w:val="21"/>
              </w:rPr>
            </w:pPr>
            <w:r>
              <w:rPr>
                <w:rFonts w:hint="eastAsia"/>
                <w:szCs w:val="21"/>
              </w:rPr>
              <w:t>学习建议</w:t>
            </w:r>
          </w:p>
        </w:tc>
      </w:tr>
    </w:tbl>
    <w:p w:rsidR="00BE000A" w:rsidRDefault="00BE000A" w:rsidP="00BE000A">
      <w:pPr>
        <w:jc w:val="left"/>
        <w:rPr>
          <w:rFonts w:ascii="Calibri" w:hAnsi="Calibri" w:cs="Times New Roman"/>
          <w:szCs w:val="21"/>
        </w:rPr>
      </w:pPr>
    </w:p>
    <w:p w:rsidR="00BE000A" w:rsidRDefault="00BE000A" w:rsidP="00BE000A">
      <w:pPr>
        <w:jc w:val="left"/>
        <w:rPr>
          <w:szCs w:val="21"/>
        </w:rPr>
      </w:pPr>
    </w:p>
    <w:p w:rsidR="00BE000A" w:rsidRDefault="00BE000A">
      <w:pPr>
        <w:spacing w:line="360" w:lineRule="exact"/>
        <w:jc w:val="left"/>
        <w:rPr>
          <w:rFonts w:asciiTheme="minorEastAsia" w:hAnsiTheme="minorEastAsia" w:cstheme="minorEastAsia"/>
          <w:b/>
          <w:bCs/>
          <w:sz w:val="24"/>
        </w:rPr>
      </w:pPr>
    </w:p>
    <w:p w:rsidR="00210765" w:rsidRDefault="00210765">
      <w:pPr>
        <w:spacing w:line="360" w:lineRule="exact"/>
        <w:jc w:val="left"/>
        <w:rPr>
          <w:rFonts w:asciiTheme="minorEastAsia" w:hAnsiTheme="minorEastAsia" w:cstheme="minorEastAsia"/>
          <w:sz w:val="24"/>
        </w:rPr>
      </w:pPr>
    </w:p>
    <w:p w:rsidR="00210765" w:rsidRDefault="00210765"/>
    <w:sectPr w:rsidR="00210765" w:rsidSect="002107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5C034B"/>
    <w:rsid w:val="0019343D"/>
    <w:rsid w:val="00210765"/>
    <w:rsid w:val="0031644C"/>
    <w:rsid w:val="005C034B"/>
    <w:rsid w:val="00987375"/>
    <w:rsid w:val="00A15DE4"/>
    <w:rsid w:val="00BE000A"/>
    <w:rsid w:val="22023B4F"/>
    <w:rsid w:val="23557A1C"/>
    <w:rsid w:val="4FBB1D23"/>
    <w:rsid w:val="5B797F16"/>
    <w:rsid w:val="649F6180"/>
    <w:rsid w:val="6DE575DB"/>
    <w:rsid w:val="734806A2"/>
    <w:rsid w:val="740028E5"/>
    <w:rsid w:val="784C3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A659F9F2-585A-41F8-A00D-71E87597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1076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sid w:val="00210765"/>
    <w:rPr>
      <w:color w:val="5A5A5A"/>
      <w:u w:val="none"/>
    </w:rPr>
  </w:style>
  <w:style w:type="character" w:styleId="a4">
    <w:name w:val="Hyperlink"/>
    <w:basedOn w:val="a0"/>
    <w:qFormat/>
    <w:rsid w:val="00210765"/>
    <w:rPr>
      <w:color w:val="0000FF"/>
      <w:u w:val="single"/>
    </w:rPr>
  </w:style>
  <w:style w:type="table" w:styleId="a5">
    <w:name w:val="Table Grid"/>
    <w:basedOn w:val="a1"/>
    <w:qFormat/>
    <w:rsid w:val="002107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937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so.com/doc/5411018-564911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ike.so.com/doc/1382831-1461868.html" TargetMode="External"/><Relationship Id="rId5" Type="http://schemas.openxmlformats.org/officeDocument/2006/relationships/hyperlink" Target="https://baike.so.com/doc/6024987-623798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 </cp:lastModifiedBy>
  <cp:revision>5</cp:revision>
  <dcterms:created xsi:type="dcterms:W3CDTF">2017-12-26T08:45:00Z</dcterms:created>
  <dcterms:modified xsi:type="dcterms:W3CDTF">2019-02-22T01:18:00Z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