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_9ed1_4f53" w:hAnsi="_9ed1_4f53" w:eastAsia="_9ed1_4f53" w:cs="_9ed1_4f53"/>
          <w:b/>
          <w:color w:val="000000"/>
          <w:kern w:val="0"/>
          <w:sz w:val="32"/>
          <w:szCs w:val="32"/>
          <w:shd w:val="clear" w:color="auto" w:fill="FFFFFF"/>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金融理财与投资分析</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w:t>
      </w:r>
      <w:bookmarkStart w:id="3" w:name="_GoBack"/>
      <w:bookmarkEnd w:id="3"/>
      <w:r>
        <w:rPr>
          <w:rFonts w:ascii="_9ed1_4f53" w:hAnsi="_9ed1_4f53" w:eastAsia="_9ed1_4f53" w:cs="_9ed1_4f53"/>
          <w:b/>
          <w:color w:val="000000"/>
          <w:kern w:val="0"/>
          <w:sz w:val="32"/>
          <w:szCs w:val="32"/>
          <w:shd w:val="clear" w:color="auto" w:fill="FFFFFF"/>
        </w:rPr>
        <w:t>班招生简章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pStyle w:val="4"/>
        <w:widowControl/>
        <w:shd w:val="clear" w:color="auto" w:fill="FFFFFF"/>
        <w:spacing w:line="420" w:lineRule="atLeast"/>
        <w:ind w:firstLine="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帮助学员建立在金融学理论方面的厚实功底，为学员拓展资本运作思路，剖析金融投资模式，培养具有扎实的金融学理论基础，掌握银行、证券、保险、投资等金融业务与创新的前沿理论和实务的复合型高级人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金融理财与投资分析</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 xml:space="preserve">   课程设置</w:t>
      </w:r>
    </w:p>
    <w:tbl>
      <w:tblPr>
        <w:tblStyle w:val="7"/>
        <w:tblW w:w="9580" w:type="dxa"/>
        <w:tblInd w:w="0" w:type="dxa"/>
        <w:tblLayout w:type="fixed"/>
        <w:tblCellMar>
          <w:top w:w="15" w:type="dxa"/>
          <w:left w:w="15" w:type="dxa"/>
          <w:bottom w:w="15" w:type="dxa"/>
          <w:right w:w="15" w:type="dxa"/>
        </w:tblCellMar>
      </w:tblPr>
      <w:tblGrid>
        <w:gridCol w:w="4790"/>
        <w:gridCol w:w="4790"/>
      </w:tblGrid>
      <w:tr>
        <w:tblPrEx>
          <w:tblLayout w:type="fixed"/>
          <w:tblCellMar>
            <w:top w:w="15" w:type="dxa"/>
            <w:left w:w="15" w:type="dxa"/>
            <w:bottom w:w="15" w:type="dxa"/>
            <w:right w:w="15" w:type="dxa"/>
          </w:tblCellMar>
        </w:tblPrEx>
        <w:trPr>
          <w:trHeight w:val="90" w:hRule="atLeast"/>
        </w:trPr>
        <w:tc>
          <w:tcPr>
            <w:tcW w:w="4790" w:type="dxa"/>
            <w:tcBorders>
              <w:top w:val="single" w:color="000000" w:sz="12" w:space="0"/>
              <w:bottom w:val="single" w:color="000000" w:sz="12" w:space="0"/>
              <w:right w:val="single" w:color="000000" w:sz="12"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c>
          <w:tcPr>
            <w:tcW w:w="4790" w:type="dxa"/>
            <w:tcBorders>
              <w:top w:val="single" w:color="000000" w:sz="12" w:space="0"/>
              <w:bottom w:val="single" w:color="000000" w:sz="12" w:space="0"/>
              <w:right w:val="single" w:color="000000" w:sz="12" w:space="0"/>
            </w:tcBorders>
            <w:shd w:val="clear" w:color="auto" w:fill="8DB3E2"/>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r>
      <w:tr>
        <w:tblPrEx>
          <w:tblLayout w:type="fixed"/>
          <w:tblCellMar>
            <w:top w:w="15" w:type="dxa"/>
            <w:left w:w="15" w:type="dxa"/>
            <w:bottom w:w="15" w:type="dxa"/>
            <w:right w:w="15" w:type="dxa"/>
          </w:tblCellMar>
        </w:tblPrEx>
        <w:trPr>
          <w:trHeight w:val="90" w:hRule="atLeast"/>
        </w:trPr>
        <w:tc>
          <w:tcPr>
            <w:tcW w:w="4790" w:type="dxa"/>
            <w:vMerge w:val="restart"/>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b/>
                <w:color w:val="000000"/>
                <w:kern w:val="0"/>
                <w:szCs w:val="21"/>
              </w:rPr>
              <w:t>学位课程</w:t>
            </w:r>
          </w:p>
        </w:tc>
        <w:tc>
          <w:tcPr>
            <w:tcW w:w="4790" w:type="dxa"/>
            <w:shd w:val="clear" w:color="auto" w:fill="FFFFFF"/>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Cs w:val="21"/>
              </w:rPr>
              <w:t xml:space="preserve">  微观经济学</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 xml:space="preserve">  宏观经济学</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 xml:space="preserve"> 社会主义经济理论</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Cs w:val="21"/>
              </w:rPr>
              <w:t xml:space="preserve">  国际经济学</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Cs w:val="21"/>
              </w:rPr>
              <w:t xml:space="preserve">  货币银行学</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Cs w:val="21"/>
              </w:rPr>
              <w:t xml:space="preserve"> 财政学</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right w:val="single" w:color="000000" w:sz="12" w:space="0"/>
            </w:tcBorders>
            <w:shd w:val="clear" w:color="auto" w:fill="FFFFFF"/>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Cs w:val="21"/>
              </w:rPr>
              <w:t xml:space="preserve">  英语</w:t>
            </w:r>
          </w:p>
        </w:tc>
      </w:tr>
      <w:tr>
        <w:tblPrEx>
          <w:tblLayout w:type="fixed"/>
          <w:tblCellMar>
            <w:top w:w="15" w:type="dxa"/>
            <w:left w:w="15" w:type="dxa"/>
            <w:bottom w:w="15" w:type="dxa"/>
            <w:right w:w="15" w:type="dxa"/>
          </w:tblCellMar>
        </w:tblPrEx>
        <w:trPr>
          <w:trHeight w:val="90" w:hRule="atLeast"/>
        </w:trPr>
        <w:tc>
          <w:tcPr>
            <w:tcW w:w="4790" w:type="dxa"/>
            <w:vMerge w:val="restart"/>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b/>
                <w:color w:val="000000"/>
                <w:kern w:val="0"/>
                <w:szCs w:val="21"/>
              </w:rPr>
              <w:t>专业课程</w:t>
            </w: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Cs w:val="21"/>
              </w:rPr>
              <w:t>投资分析与证券估值</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国际金融与资本市场</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项目融资与可行性分析</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风险投资与创业板</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资产组合管理</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现代金融风险管理与控制</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固定收益证券产品分析</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投资银行经营与管理</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金融衍生产品实务</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投资实务</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信托与租赁</w:t>
            </w:r>
          </w:p>
        </w:tc>
      </w:tr>
      <w:tr>
        <w:tblPrEx>
          <w:tblLayout w:type="fixed"/>
          <w:tblCellMar>
            <w:top w:w="15" w:type="dxa"/>
            <w:left w:w="15" w:type="dxa"/>
            <w:bottom w:w="15" w:type="dxa"/>
            <w:right w:w="15" w:type="dxa"/>
          </w:tblCellMar>
        </w:tblPrEx>
        <w:trPr>
          <w:trHeight w:val="90" w:hRule="atLeast"/>
        </w:trPr>
        <w:tc>
          <w:tcPr>
            <w:tcW w:w="4790" w:type="dxa"/>
            <w:vMerge w:val="continue"/>
            <w:tcBorders>
              <w:right w:val="single" w:color="000000" w:sz="12" w:space="0"/>
            </w:tcBorders>
            <w:shd w:val="clear" w:color="auto" w:fill="FFFFFF"/>
            <w:vAlign w:val="center"/>
          </w:tcPr>
          <w:p>
            <w:pPr>
              <w:jc w:val="center"/>
              <w:rPr>
                <w:rFonts w:ascii="宋体" w:hAnsi="宋体" w:eastAsia="宋体" w:cs="宋体"/>
                <w:color w:val="000000"/>
                <w:szCs w:val="21"/>
              </w:rPr>
            </w:pPr>
          </w:p>
        </w:tc>
        <w:tc>
          <w:tcPr>
            <w:tcW w:w="4790"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个人理财</w:t>
            </w: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1、学费：24000元/2年，</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bookmarkStart w:id="2" w:name="OLE_LINK4"/>
      <w:r>
        <w:rPr>
          <w:rFonts w:hint="eastAsia" w:ascii="_5b8b_4f53" w:hAnsi="_5b8b_4f53" w:cs="_5b8b_4f53"/>
          <w:color w:val="FF0000"/>
          <w:kern w:val="0"/>
          <w:sz w:val="18"/>
          <w:szCs w:val="18"/>
          <w:shd w:val="clear" w:color="auto" w:fill="FFFFFF"/>
        </w:rPr>
        <w:t>联系电话：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bookmarkEnd w:id="2"/>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775D"/>
    <w:rsid w:val="000B5E8A"/>
    <w:rsid w:val="0027775D"/>
    <w:rsid w:val="00483B12"/>
    <w:rsid w:val="00533FB0"/>
    <w:rsid w:val="00720472"/>
    <w:rsid w:val="00C33D60"/>
    <w:rsid w:val="00DD7AD3"/>
    <w:rsid w:val="00EB7228"/>
    <w:rsid w:val="00FE540A"/>
    <w:rsid w:val="030F7999"/>
    <w:rsid w:val="039E38AF"/>
    <w:rsid w:val="03CF7EA1"/>
    <w:rsid w:val="0FBC3BDB"/>
    <w:rsid w:val="148B69C0"/>
    <w:rsid w:val="2B2E0675"/>
    <w:rsid w:val="2CED3351"/>
    <w:rsid w:val="2D325EF8"/>
    <w:rsid w:val="39D579F8"/>
    <w:rsid w:val="3BAC4D31"/>
    <w:rsid w:val="40685E58"/>
    <w:rsid w:val="4C9F59B8"/>
    <w:rsid w:val="51411687"/>
    <w:rsid w:val="555A10B3"/>
    <w:rsid w:val="5BA814CE"/>
    <w:rsid w:val="5DD14D9D"/>
    <w:rsid w:val="5EE609C8"/>
    <w:rsid w:val="5F9E75BA"/>
    <w:rsid w:val="6C6D110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1909</Characters>
  <Lines>15</Lines>
  <Paragraphs>4</Paragraphs>
  <TotalTime>0</TotalTime>
  <ScaleCrop>false</ScaleCrop>
  <LinksUpToDate>false</LinksUpToDate>
  <CharactersWithSpaces>2239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