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70" w:firstLineChars="700"/>
        <w:rPr>
          <w:rFonts w:hint="eastAsia"/>
        </w:rPr>
      </w:pPr>
    </w:p>
    <w:p>
      <w:pPr>
        <w:ind w:firstLine="602" w:firstLineChars="200"/>
        <w:rPr>
          <w:rFonts w:hint="default" w:eastAsiaTheme="minorEastAsia"/>
          <w:b/>
          <w:bCs/>
          <w:sz w:val="30"/>
          <w:szCs w:val="30"/>
          <w:lang w:val="en-US" w:eastAsia="zh-CN"/>
        </w:rPr>
      </w:pPr>
      <w:r>
        <w:rPr>
          <w:rFonts w:hint="eastAsia"/>
          <w:b/>
          <w:bCs/>
          <w:sz w:val="30"/>
          <w:szCs w:val="30"/>
        </w:rPr>
        <w:t>工程总承包（EPC）工程师（中、高级）</w:t>
      </w:r>
      <w:r>
        <w:rPr>
          <w:rFonts w:hint="eastAsia"/>
          <w:b/>
          <w:bCs/>
          <w:sz w:val="30"/>
          <w:szCs w:val="30"/>
          <w:lang w:val="en-US" w:eastAsia="zh-CN"/>
        </w:rPr>
        <w:t>职业技能培训证书</w:t>
      </w:r>
    </w:p>
    <w:p>
      <w:pPr>
        <w:ind w:firstLine="1506" w:firstLineChars="500"/>
        <w:rPr>
          <w:rFonts w:hint="eastAsia"/>
          <w:b/>
          <w:bCs/>
          <w:sz w:val="30"/>
          <w:szCs w:val="30"/>
        </w:rPr>
      </w:pPr>
    </w:p>
    <w:p>
      <w:pPr>
        <w:ind w:firstLine="1800" w:firstLineChars="600"/>
        <w:rPr>
          <w:rFonts w:hint="default" w:eastAsiaTheme="minorEastAsia"/>
          <w:sz w:val="30"/>
          <w:szCs w:val="30"/>
          <w:lang w:val="en-US" w:eastAsia="zh-CN"/>
        </w:rPr>
      </w:pPr>
      <w:r>
        <w:rPr>
          <w:rFonts w:hint="eastAsia"/>
          <w:sz w:val="30"/>
          <w:szCs w:val="30"/>
          <w:lang w:val="en-US" w:eastAsia="zh-CN"/>
        </w:rPr>
        <w:t>培训费用：2980   培训地点：</w:t>
      </w:r>
      <w:bookmarkStart w:id="0" w:name="_GoBack"/>
      <w:r>
        <w:rPr>
          <w:rFonts w:hint="eastAsia"/>
          <w:sz w:val="30"/>
          <w:szCs w:val="30"/>
          <w:lang w:val="en-US" w:eastAsia="zh-CN"/>
        </w:rPr>
        <w:t>线</w:t>
      </w:r>
      <w:bookmarkEnd w:id="0"/>
      <w:r>
        <w:rPr>
          <w:rFonts w:hint="eastAsia"/>
          <w:sz w:val="30"/>
          <w:szCs w:val="30"/>
          <w:lang w:val="en-US" w:eastAsia="zh-CN"/>
        </w:rPr>
        <w:t>上</w:t>
      </w:r>
    </w:p>
    <w:p>
      <w:pPr>
        <w:ind w:firstLine="1500" w:firstLineChars="500"/>
        <w:rPr>
          <w:rFonts w:hint="eastAsia"/>
          <w:sz w:val="30"/>
          <w:szCs w:val="30"/>
        </w:rPr>
      </w:pPr>
    </w:p>
    <w:p>
      <w:pPr>
        <w:pStyle w:val="3"/>
        <w:keepNext w:val="0"/>
        <w:keepLines w:val="0"/>
        <w:widowControl/>
        <w:suppressLineNumbers w:val="0"/>
        <w:shd w:val="clear" w:fill="FFFFFF"/>
        <w:spacing w:before="0" w:beforeAutospacing="0" w:after="294" w:afterAutospacing="0"/>
        <w:ind w:right="0" w:firstLine="540" w:firstLineChars="20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随着国家从2014年开始倡导工程总承包模式，并对开展工程总承包业务相关政策的不断完善，“十三五”期间国内部分先进企业在顺应工程总承包发展趋势、整合设计资源、加强设计管理方面积极开展探索和实践，2021年作为“十四五”开局之年，国家对工程总承包的推行力度逐渐加大，对建筑企业打通全产业链提出更高要求。</w:t>
      </w:r>
    </w:p>
    <w:p>
      <w:pPr>
        <w:pStyle w:val="3"/>
        <w:keepNext w:val="0"/>
        <w:keepLines w:val="0"/>
        <w:widowControl/>
        <w:suppressLineNumbers w:val="0"/>
        <w:shd w:val="clear" w:fill="FFFFFF"/>
        <w:spacing w:before="294" w:beforeAutospacing="0" w:after="294" w:afterAutospacing="0"/>
        <w:ind w:left="0" w:right="0" w:firstLine="540" w:firstLineChars="200"/>
        <w:rPr>
          <w:rFonts w:hint="eastAsia" w:ascii="微软雅黑" w:hAnsi="微软雅黑" w:eastAsia="微软雅黑" w:cs="微软雅黑"/>
          <w:i w:val="0"/>
          <w:iCs w:val="0"/>
          <w:caps w:val="0"/>
          <w:color w:val="121212"/>
          <w:spacing w:val="0"/>
          <w:sz w:val="27"/>
          <w:szCs w:val="27"/>
          <w:shd w:val="clear" w:fill="FFFFFF"/>
        </w:rPr>
      </w:pPr>
      <w:r>
        <w:rPr>
          <w:rFonts w:hint="eastAsia" w:ascii="微软雅黑" w:hAnsi="微软雅黑" w:eastAsia="微软雅黑" w:cs="微软雅黑"/>
          <w:i w:val="0"/>
          <w:iCs w:val="0"/>
          <w:caps w:val="0"/>
          <w:color w:val="121212"/>
          <w:spacing w:val="0"/>
          <w:sz w:val="27"/>
          <w:szCs w:val="27"/>
          <w:shd w:val="clear" w:fill="FFFFFF"/>
        </w:rPr>
        <w:t>为更好地推动工程总承包（EPC）领域专业技术人才队伍建设，促进工程总承包（EPC）项目专业技术人才能力素质提升，根据《中共中央国务院关于进一步加强城市规划建设管理工作的若干意见》和《国务院办公厅关于促进建筑业持续健康发展的意见》（国办发〔2017〕19号），以及国家住房和城乡建设部、国家发展和改革委员会《房屋建筑和市政基础设施项目工程总承包管理办法的通知》，人社部中国国家人事人才培训网决定开展工程总承包（EPC）领域专业人才培养工作，设定工程总承包（EPC）高级项目经理/项目管理师/项目咨询师/工程师培训考核项目，开发专业课程和实践操作相结合学习培训与考核体系。</w:t>
      </w:r>
    </w:p>
    <w:p>
      <w:pPr>
        <w:pStyle w:val="3"/>
        <w:keepNext w:val="0"/>
        <w:keepLines w:val="0"/>
        <w:widowControl/>
        <w:suppressLineNumbers w:val="0"/>
        <w:shd w:val="clear" w:fill="FFFFFF"/>
        <w:spacing w:before="294" w:beforeAutospacing="0" w:after="294" w:afterAutospacing="0"/>
        <w:ind w:left="0" w:right="0" w:firstLine="540" w:firstLineChars="200"/>
        <w:rPr>
          <w:rFonts w:hint="eastAsia" w:ascii="微软雅黑" w:hAnsi="微软雅黑" w:eastAsia="微软雅黑" w:cs="微软雅黑"/>
          <w:i w:val="0"/>
          <w:iCs w:val="0"/>
          <w:caps w:val="0"/>
          <w:color w:val="121212"/>
          <w:spacing w:val="0"/>
          <w:sz w:val="27"/>
          <w:szCs w:val="27"/>
          <w:shd w:val="clear" w:fill="FFFFFF"/>
        </w:rPr>
      </w:pPr>
    </w:p>
    <w:p>
      <w:pPr>
        <w:pStyle w:val="3"/>
        <w:keepNext w:val="0"/>
        <w:keepLines w:val="0"/>
        <w:widowControl/>
        <w:suppressLineNumbers w:val="0"/>
        <w:shd w:val="clear" w:fill="FFFFFF"/>
        <w:spacing w:before="294" w:beforeAutospacing="0" w:after="294" w:afterAutospacing="0"/>
        <w:ind w:left="0" w:right="0" w:firstLine="540" w:firstLineChars="200"/>
        <w:rPr>
          <w:rFonts w:hint="eastAsia" w:ascii="微软雅黑" w:hAnsi="微软雅黑" w:eastAsia="微软雅黑" w:cs="微软雅黑"/>
          <w:i w:val="0"/>
          <w:iCs w:val="0"/>
          <w:caps w:val="0"/>
          <w:color w:val="121212"/>
          <w:spacing w:val="0"/>
          <w:sz w:val="27"/>
          <w:szCs w:val="27"/>
          <w:shd w:val="clear" w:fill="FFFFFF"/>
        </w:rPr>
      </w:pPr>
    </w:p>
    <w:p>
      <w:pPr>
        <w:pStyle w:val="3"/>
        <w:keepNext w:val="0"/>
        <w:keepLines w:val="0"/>
        <w:widowControl/>
        <w:suppressLineNumbers w:val="0"/>
        <w:shd w:val="clear" w:fill="FFFFFF"/>
        <w:spacing w:before="294" w:beforeAutospacing="0" w:after="294" w:afterAutospacing="0"/>
        <w:ind w:left="0" w:right="0" w:firstLine="540" w:firstLineChars="200"/>
        <w:rPr>
          <w:rFonts w:hint="eastAsia" w:ascii="微软雅黑" w:hAnsi="微软雅黑" w:eastAsia="微软雅黑" w:cs="微软雅黑"/>
          <w:i w:val="0"/>
          <w:iCs w:val="0"/>
          <w:caps w:val="0"/>
          <w:color w:val="121212"/>
          <w:spacing w:val="0"/>
          <w:sz w:val="27"/>
          <w:szCs w:val="27"/>
          <w:shd w:val="clear" w:fill="FFFFFF"/>
        </w:rPr>
      </w:pPr>
    </w:p>
    <w:p>
      <w:pPr>
        <w:pStyle w:val="2"/>
        <w:keepNext w:val="0"/>
        <w:keepLines w:val="0"/>
        <w:widowControl/>
        <w:suppressLineNumbers w:val="0"/>
        <w:shd w:val="clear" w:fill="FFFFFF"/>
        <w:spacing w:line="23" w:lineRule="atLeast"/>
        <w:ind w:left="0" w:firstLine="0"/>
        <w:rPr>
          <w:rFonts w:hint="eastAsia" w:ascii="微软雅黑" w:hAnsi="微软雅黑" w:eastAsia="微软雅黑" w:cs="微软雅黑"/>
          <w:b/>
          <w:bCs/>
          <w:i w:val="0"/>
          <w:iCs w:val="0"/>
          <w:caps w:val="0"/>
          <w:color w:val="121212"/>
          <w:spacing w:val="0"/>
          <w:sz w:val="25"/>
          <w:szCs w:val="25"/>
        </w:rPr>
      </w:pPr>
      <w:r>
        <w:rPr>
          <w:rFonts w:hint="eastAsia" w:ascii="微软雅黑" w:hAnsi="微软雅黑" w:eastAsia="微软雅黑" w:cs="微软雅黑"/>
          <w:b/>
          <w:bCs/>
          <w:i w:val="0"/>
          <w:iCs w:val="0"/>
          <w:caps w:val="0"/>
          <w:color w:val="121212"/>
          <w:spacing w:val="0"/>
          <w:sz w:val="25"/>
          <w:szCs w:val="25"/>
          <w:shd w:val="clear" w:fill="FFFFFF"/>
        </w:rPr>
        <w:t>培训目标</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掌握工程总承包（EPC）项目组织结构及模式、前期策划、设计管理、采购管理、施工管理以及试运行及竣工验收等阶段的工作内容与工作要点及工作方法；</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明确工程总承包（EPC）项目策划管理、设计流程及方案实施管理、采购精细化管理、采购成本控制管理、施工管理以及竣工验收管理的基本环节、指标体系构建及管理策略；</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了解绿色建筑申报条件、控制要点及创优资料整理与制作方法；优化工程总承包（EPC）项目的运作程序，强化工程总承包（EPC）项目经理风险管理能力、项目团队管理能力以及合作伙伴管理能力，提升团队效率，提高项目业绩。</w:t>
      </w:r>
    </w:p>
    <w:p>
      <w:pPr>
        <w:pStyle w:val="2"/>
        <w:keepNext w:val="0"/>
        <w:keepLines w:val="0"/>
        <w:widowControl/>
        <w:suppressLineNumbers w:val="0"/>
        <w:shd w:val="clear" w:fill="FFFFFF"/>
        <w:spacing w:line="23" w:lineRule="atLeast"/>
        <w:ind w:left="0" w:firstLine="0"/>
        <w:rPr>
          <w:rFonts w:hint="eastAsia" w:ascii="微软雅黑" w:hAnsi="微软雅黑" w:eastAsia="微软雅黑" w:cs="微软雅黑"/>
          <w:b/>
          <w:bCs/>
          <w:i w:val="0"/>
          <w:iCs w:val="0"/>
          <w:caps w:val="0"/>
          <w:color w:val="121212"/>
          <w:spacing w:val="0"/>
          <w:sz w:val="25"/>
          <w:szCs w:val="25"/>
        </w:rPr>
      </w:pPr>
      <w:r>
        <w:rPr>
          <w:rFonts w:hint="eastAsia" w:ascii="微软雅黑" w:hAnsi="微软雅黑" w:eastAsia="微软雅黑" w:cs="微软雅黑"/>
          <w:b/>
          <w:bCs/>
          <w:i w:val="0"/>
          <w:iCs w:val="0"/>
          <w:caps w:val="0"/>
          <w:color w:val="121212"/>
          <w:spacing w:val="0"/>
          <w:sz w:val="25"/>
          <w:szCs w:val="25"/>
          <w:shd w:val="clear" w:fill="FFFFFF"/>
        </w:rPr>
        <w:t>培训对象</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1、各建筑施工企业、工程公司、房地产企业、总承包公司、设计院及各公司的总经理、副总经理、部门经理、项目经理、市场开发、法务专员等相关部门负责人；</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2、各勘察单位、电力公司、成套设备公司、国际招标公司、设备材料供应商、律师事务所人员；</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3、各地政府建设项目监管部门、工程交易中心、投资项目评审中心人员；</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4、各业主单位从事项目管理、合同管理、工程项目建设、开发、审计等相关部门人员；</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5、参与EPC项目管理的所有管理者。</w:t>
      </w:r>
    </w:p>
    <w:p>
      <w:pPr>
        <w:pStyle w:val="2"/>
        <w:keepNext w:val="0"/>
        <w:keepLines w:val="0"/>
        <w:widowControl/>
        <w:suppressLineNumbers w:val="0"/>
        <w:shd w:val="clear" w:fill="FFFFFF"/>
        <w:spacing w:line="23" w:lineRule="atLeast"/>
        <w:ind w:lef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b/>
          <w:bCs/>
          <w:i w:val="0"/>
          <w:iCs w:val="0"/>
          <w:caps w:val="0"/>
          <w:color w:val="121212"/>
          <w:spacing w:val="0"/>
          <w:sz w:val="25"/>
          <w:szCs w:val="25"/>
          <w:shd w:val="clear" w:fill="FFFFFF"/>
        </w:rPr>
        <w:t>证书颁发</w:t>
      </w:r>
    </w:p>
    <w:p>
      <w:pPr>
        <w:ind w:firstLine="1350" w:firstLineChars="50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成绩合格者获得由人力资源与社会保障部中国国家人事人才培训网颁发的</w:t>
      </w:r>
      <w:r>
        <w:rPr>
          <w:rFonts w:hint="eastAsia" w:ascii="微软雅黑" w:hAnsi="微软雅黑" w:eastAsia="微软雅黑" w:cs="微软雅黑"/>
          <w:sz w:val="24"/>
          <w:szCs w:val="24"/>
        </w:rPr>
        <w:t>工程总承包（EPC）工程师（中、高级）</w:t>
      </w:r>
      <w:r>
        <w:rPr>
          <w:rFonts w:hint="eastAsia" w:ascii="微软雅黑" w:hAnsi="微软雅黑" w:eastAsia="微软雅黑" w:cs="微软雅黑"/>
          <w:i w:val="0"/>
          <w:iCs w:val="0"/>
          <w:caps w:val="0"/>
          <w:color w:val="121212"/>
          <w:spacing w:val="0"/>
          <w:sz w:val="27"/>
          <w:szCs w:val="27"/>
          <w:shd w:val="clear" w:fill="FFFFFF"/>
        </w:rPr>
        <w:t>（职业）技能培训合格证书。持证人纳入中国国家人事人才培训网人才数据库。</w:t>
      </w: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3A1449"/>
    <w:rsid w:val="0E3A1449"/>
    <w:rsid w:val="261D46E9"/>
    <w:rsid w:val="3F40366E"/>
    <w:rsid w:val="4CDD5E7C"/>
    <w:rsid w:val="50A7310E"/>
    <w:rsid w:val="5E1611EE"/>
    <w:rsid w:val="69180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2021-11-17T06:03:00Z</dcterms:created>
  <dc:creator>pc</dc:creator>
  <cp:lastModifiedBy>冰冰⊙▽⊙＊</cp:lastModifiedBy>
  <dcterms:modified xsi:type="dcterms:W3CDTF">2021-11-30T04:04:24Z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9A0B1232E28E4FCD9C21E3462E5BE6C8</vt:lpwstr>
  </property>
</Properties>
</file>