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450"/>
        <w:ind w:firstLine="2521" w:firstLineChars="700"/>
        <w:rPr>
          <w:rFonts w:ascii="Helvetica" w:hAnsi="Helvetica" w:eastAsia="Helvetica" w:cs="Helvetica"/>
          <w:b/>
          <w:color w:val="000000"/>
          <w:kern w:val="0"/>
          <w:sz w:val="36"/>
          <w:szCs w:val="36"/>
          <w:shd w:val="clear" w:color="auto" w:fill="FFFFFF"/>
          <w:lang w:bidi="ar"/>
        </w:rPr>
      </w:pPr>
      <w:r>
        <w:rPr>
          <w:rFonts w:hint="eastAsia" w:ascii="Helvetica" w:hAnsi="Helvetica" w:eastAsia="Helvetica" w:cs="Helvetica"/>
          <w:b/>
          <w:color w:val="000000"/>
          <w:kern w:val="0"/>
          <w:sz w:val="36"/>
          <w:szCs w:val="36"/>
          <w:shd w:val="clear" w:color="auto" w:fill="FFFFFF"/>
          <w:lang w:bidi="ar"/>
        </w:rPr>
        <w:t>健康管理师</w:t>
      </w:r>
      <w:r>
        <w:rPr>
          <w:rFonts w:hint="eastAsia" w:cs="Helvetica" w:asciiTheme="minorEastAsia" w:hAnsiTheme="minorEastAsia"/>
          <w:b/>
          <w:color w:val="000000"/>
          <w:kern w:val="0"/>
          <w:sz w:val="36"/>
          <w:szCs w:val="36"/>
          <w:shd w:val="clear" w:color="auto" w:fill="FFFFFF"/>
          <w:lang w:bidi="ar"/>
        </w:rPr>
        <w:t>资格认证培训课程</w:t>
      </w:r>
    </w:p>
    <w:p>
      <w:pPr>
        <w:widowControl/>
        <w:shd w:val="clear" w:color="auto" w:fill="FFFFFF"/>
        <w:spacing w:after="450"/>
        <w:ind w:firstLine="600" w:firstLineChars="200"/>
        <w:rPr>
          <w:rFonts w:ascii="Helvetica" w:hAnsi="Helvetica" w:cs="Helvetica"/>
          <w:bCs/>
          <w:color w:val="000000"/>
          <w:kern w:val="0"/>
          <w:sz w:val="30"/>
          <w:szCs w:val="30"/>
          <w:shd w:val="clear" w:color="auto" w:fill="FFFFFF"/>
          <w:lang w:bidi="ar"/>
        </w:rPr>
      </w:pPr>
      <w:r>
        <w:rPr>
          <w:rFonts w:hint="eastAsia" w:ascii="Helvetica" w:hAnsi="Helvetica" w:eastAsia="Helvetica" w:cs="Helvetica"/>
          <w:bCs/>
          <w:color w:val="000000"/>
          <w:kern w:val="0"/>
          <w:sz w:val="30"/>
          <w:szCs w:val="30"/>
          <w:shd w:val="clear" w:color="auto" w:fill="FFFFFF"/>
          <w:lang w:bidi="ar"/>
        </w:rPr>
        <w:t xml:space="preserve">  </w:t>
      </w:r>
      <w:r>
        <w:rPr>
          <w:rFonts w:hint="eastAsia" w:ascii="Helvetica" w:hAnsi="Helvetica" w:cs="Helvetica"/>
          <w:bCs/>
          <w:color w:val="000000"/>
          <w:kern w:val="0"/>
          <w:sz w:val="30"/>
          <w:szCs w:val="30"/>
          <w:shd w:val="clear" w:color="auto" w:fill="FFFFFF"/>
          <w:lang w:bidi="ar"/>
        </w:rPr>
        <w:t xml:space="preserve">      </w:t>
      </w:r>
      <w:r>
        <w:rPr>
          <w:rFonts w:hint="eastAsia" w:ascii="Helvetica" w:hAnsi="Helvetica" w:eastAsia="Helvetica" w:cs="Helvetica"/>
          <w:bCs/>
          <w:color w:val="000000"/>
          <w:kern w:val="0"/>
          <w:sz w:val="30"/>
          <w:szCs w:val="30"/>
          <w:shd w:val="clear" w:color="auto" w:fill="FFFFFF"/>
          <w:lang w:bidi="ar"/>
        </w:rPr>
        <w:t xml:space="preserve">培训地点：北京    </w:t>
      </w:r>
      <w:r>
        <w:rPr>
          <w:rFonts w:hint="eastAsia" w:ascii="Helvetica" w:hAnsi="Helvetica" w:cs="Helvetica"/>
          <w:bCs/>
          <w:color w:val="000000"/>
          <w:kern w:val="0"/>
          <w:sz w:val="30"/>
          <w:szCs w:val="30"/>
          <w:shd w:val="clear" w:color="auto" w:fill="FFFFFF"/>
          <w:lang w:bidi="ar"/>
        </w:rPr>
        <w:t xml:space="preserve">      </w:t>
      </w:r>
      <w:r>
        <w:rPr>
          <w:rFonts w:hint="eastAsia" w:ascii="Helvetica" w:hAnsi="Helvetica" w:eastAsia="Helvetica" w:cs="Helvetica"/>
          <w:bCs/>
          <w:color w:val="000000"/>
          <w:kern w:val="0"/>
          <w:sz w:val="30"/>
          <w:szCs w:val="30"/>
          <w:shd w:val="clear" w:color="auto" w:fill="FFFFFF"/>
          <w:lang w:bidi="ar"/>
        </w:rPr>
        <w:t>学费：</w:t>
      </w:r>
      <w:r>
        <w:rPr>
          <w:rFonts w:hint="eastAsia" w:cs="Helvetica" w:asciiTheme="minorEastAsia" w:hAnsiTheme="minorEastAsia"/>
          <w:bCs/>
          <w:color w:val="000000"/>
          <w:kern w:val="0"/>
          <w:sz w:val="30"/>
          <w:szCs w:val="30"/>
          <w:shd w:val="clear" w:color="auto" w:fill="FFFFFF"/>
          <w:lang w:bidi="ar"/>
        </w:rPr>
        <w:t>5980-9800元</w:t>
      </w:r>
    </w:p>
    <w:p>
      <w:pPr>
        <w:rPr>
          <w:b/>
          <w:bCs/>
          <w:sz w:val="28"/>
          <w:szCs w:val="28"/>
        </w:rPr>
      </w:pPr>
      <w:r>
        <w:rPr>
          <w:rFonts w:hint="eastAsia"/>
          <w:b/>
          <w:bCs/>
          <w:sz w:val="28"/>
          <w:szCs w:val="28"/>
        </w:rPr>
        <w:t>一、项目背景</w:t>
      </w:r>
    </w:p>
    <w:p>
      <w:pPr>
        <w:spacing w:after="120"/>
        <w:ind w:firstLine="420" w:firstLineChars="200"/>
      </w:pPr>
      <w:r>
        <w:rPr>
          <w:rFonts w:hint="eastAsia"/>
        </w:rPr>
        <w:t>健康是人类永恒的主题，也是社会进步的重要标志。随着十八届五中全会公报的发布，一个全新概念以白纸黑字的形式进入人们视野，落入人们的日常生活——</w:t>
      </w:r>
      <w:r>
        <w:rPr>
          <w:rFonts w:hint="eastAsia"/>
          <w:b/>
          <w:bCs/>
          <w:color w:val="0000FF"/>
        </w:rPr>
        <w:t>健康中国</w:t>
      </w:r>
      <w:r>
        <w:rPr>
          <w:rFonts w:hint="eastAsia"/>
        </w:rPr>
        <w:t>。2016年10月25日，国务院印发了“健康中国2030”规划纲要，规划从普及健康生活、优化健康服务等五大任务出发对未来15年的健康工作进行了部署。这是国内首个且最高规格的健康产业规划，也意味着“健康中国”战略的正式落地和实施。</w:t>
      </w:r>
    </w:p>
    <w:p>
      <w:pPr>
        <w:widowControl/>
        <w:shd w:val="clear" w:color="auto" w:fill="FFFFFF"/>
        <w:spacing w:after="120"/>
      </w:pPr>
      <w:r>
        <w:rPr>
          <w:rFonts w:hint="eastAsia" w:ascii="Helvetica" w:hAnsi="Helvetica" w:eastAsia="Helvetica" w:cs="Helvetica"/>
          <w:b/>
          <w:color w:val="000000"/>
          <w:kern w:val="0"/>
          <w:sz w:val="36"/>
          <w:szCs w:val="36"/>
          <w:shd w:val="clear" w:color="auto" w:fill="FFFFFF"/>
          <w:lang w:bidi="ar"/>
        </w:rPr>
        <w:t xml:space="preserve">   </w:t>
      </w:r>
      <w:r>
        <w:rPr>
          <w:rFonts w:hint="eastAsia"/>
        </w:rPr>
        <w:t>2017年10月18日习近平主席在十九大报告中第八条：【提高保障和改善民生水平，加强和创新社会治理】中共计7点都提到了有关民生培训和民生救助及提高全民素质的话题，尤其是第5点和第6点重点提到了【实施健康中国战略】、【加强社会心理服务体系建设】。。。。。。。</w:t>
      </w:r>
    </w:p>
    <w:p>
      <w:pPr>
        <w:widowControl/>
        <w:shd w:val="clear" w:color="auto" w:fill="FFFFFF"/>
        <w:spacing w:after="120"/>
        <w:ind w:firstLine="420" w:firstLineChars="200"/>
      </w:pPr>
      <w:r>
        <w:rPr>
          <w:rFonts w:hint="eastAsia"/>
        </w:rPr>
        <w:t>随着生活节奏的加快，社会竞争的日益加剧，人们的身体状况每况愈下、尤其是心理压力也越来越大，对心理咨询、心理辅导的需要越来越迫切，身心健康已经成为影响人类健康的核心组成。然而截止到目前为止中国并没有一个身心健康的复合型人才，以企事业单位为纽带，展开以企业人力资源为核心的健康管理师培训势在必行，本项目以提高人们在工作、学习、社交等方面的能力为起点；以家庭幸福指数为终点。真正的将健康中国落地，服务于人民，全面提高人们的生活品质，促进社会和谐发展，提高国民的整体素质。</w:t>
      </w:r>
    </w:p>
    <w:p>
      <w:pPr>
        <w:widowControl/>
        <w:shd w:val="clear" w:color="auto" w:fill="FFFFFF"/>
        <w:spacing w:after="120"/>
        <w:rPr>
          <w:b/>
          <w:bCs/>
          <w:sz w:val="28"/>
          <w:szCs w:val="28"/>
        </w:rPr>
      </w:pPr>
      <w:r>
        <w:rPr>
          <w:rFonts w:hint="eastAsia"/>
          <w:b/>
          <w:bCs/>
          <w:sz w:val="28"/>
          <w:szCs w:val="28"/>
        </w:rPr>
        <w:t>二、项目说明</w:t>
      </w:r>
    </w:p>
    <w:p>
      <w:pPr>
        <w:widowControl/>
        <w:numPr>
          <w:ilvl w:val="0"/>
          <w:numId w:val="1"/>
        </w:numPr>
        <w:shd w:val="clear" w:color="auto" w:fill="FFFFFF"/>
        <w:spacing w:after="120"/>
        <w:rPr>
          <w:rFonts w:ascii="Helvetica" w:hAnsi="Helvetica" w:eastAsia="Helvetica" w:cs="Helvetica"/>
          <w:b/>
          <w:bCs/>
          <w:color w:val="000000"/>
          <w:sz w:val="24"/>
        </w:rPr>
      </w:pPr>
      <w:r>
        <w:rPr>
          <w:rFonts w:ascii="Helvetica" w:hAnsi="Helvetica" w:eastAsia="Helvetica" w:cs="Helvetica"/>
          <w:b/>
          <w:bCs/>
          <w:color w:val="000000"/>
          <w:sz w:val="24"/>
          <w:shd w:val="clear" w:color="auto" w:fill="FFFFFF"/>
        </w:rPr>
        <w:t>健康管理师证书的含金量怎么样？</w:t>
      </w:r>
    </w:p>
    <w:p>
      <w:pPr>
        <w:pStyle w:val="5"/>
        <w:widowControl/>
        <w:shd w:val="clear" w:color="auto" w:fill="FFFFFF"/>
        <w:spacing w:beforeAutospacing="0" w:after="120" w:afterAutospacing="0"/>
        <w:ind w:firstLine="420" w:firstLineChars="200"/>
        <w:rPr>
          <w:rFonts w:ascii="Helvetica" w:hAnsi="Helvetica" w:eastAsia="Helvetica" w:cs="Helvetica"/>
          <w:color w:val="000000"/>
          <w:sz w:val="21"/>
          <w:szCs w:val="21"/>
          <w:shd w:val="clear" w:color="auto" w:fill="FFFFFF"/>
        </w:rPr>
      </w:pPr>
      <w:r>
        <w:rPr>
          <w:rFonts w:ascii="Helvetica" w:hAnsi="Helvetica" w:eastAsia="Helvetica" w:cs="Helvetica"/>
          <w:color w:val="000000"/>
          <w:sz w:val="21"/>
          <w:szCs w:val="21"/>
          <w:shd w:val="clear" w:color="auto" w:fill="FFFFFF"/>
        </w:rPr>
        <w:t>健康管理师被列为卫生行业特有职业（工种）归入卫健委进行管理，卫健委职业技能鉴定指导中心负责鉴定，是该职业国家职业资格唯一的认证单位。</w:t>
      </w:r>
    </w:p>
    <w:p>
      <w:pPr>
        <w:pStyle w:val="5"/>
        <w:widowControl/>
        <w:shd w:val="clear" w:color="auto" w:fill="FFFFFF"/>
        <w:spacing w:before="150" w:beforeAutospacing="0" w:after="150" w:afterAutospacing="0"/>
        <w:ind w:firstLine="585"/>
        <w:jc w:val="center"/>
      </w:pPr>
      <w:r>
        <w:drawing>
          <wp:inline distT="0" distB="0" distL="114300" distR="114300">
            <wp:extent cx="4076700" cy="2957830"/>
            <wp:effectExtent l="9525" t="9525" r="9525" b="234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4076700" cy="2957830"/>
                    </a:xfrm>
                    <a:prstGeom prst="rect">
                      <a:avLst/>
                    </a:prstGeom>
                    <a:noFill/>
                    <a:ln>
                      <a:solidFill>
                        <a:srgbClr val="C00000"/>
                      </a:solidFill>
                    </a:ln>
                  </pic:spPr>
                </pic:pic>
              </a:graphicData>
            </a:graphic>
          </wp:inline>
        </w:drawing>
      </w:r>
    </w:p>
    <w:p>
      <w:pPr>
        <w:pStyle w:val="5"/>
        <w:widowControl/>
        <w:shd w:val="clear" w:color="auto" w:fill="FFFFFF"/>
        <w:spacing w:before="150" w:beforeAutospacing="0" w:after="150" w:afterAutospacing="0"/>
        <w:ind w:firstLine="585"/>
        <w:jc w:val="center"/>
      </w:pPr>
      <w:r>
        <w:drawing>
          <wp:inline distT="0" distB="0" distL="114300" distR="114300">
            <wp:extent cx="4181475" cy="3006090"/>
            <wp:effectExtent l="9525" t="9525" r="1905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4181475" cy="3006090"/>
                    </a:xfrm>
                    <a:prstGeom prst="rect">
                      <a:avLst/>
                    </a:prstGeom>
                    <a:noFill/>
                    <a:ln>
                      <a:solidFill>
                        <a:srgbClr val="C00000"/>
                      </a:solidFill>
                    </a:ln>
                  </pic:spPr>
                </pic:pic>
              </a:graphicData>
            </a:graphic>
          </wp:inline>
        </w:drawing>
      </w:r>
    </w:p>
    <w:p>
      <w:pPr>
        <w:pStyle w:val="5"/>
        <w:widowControl/>
        <w:shd w:val="clear" w:color="auto" w:fill="FFFFFF"/>
        <w:spacing w:before="150" w:beforeAutospacing="0" w:after="150" w:afterAutospacing="0"/>
        <w:jc w:val="center"/>
      </w:pPr>
      <w:r>
        <w:drawing>
          <wp:anchor distT="0" distB="0" distL="114300" distR="114300" simplePos="0" relativeHeight="251658240" behindDoc="0" locked="0" layoutInCell="1" allowOverlap="1">
            <wp:simplePos x="0" y="0"/>
            <wp:positionH relativeFrom="column">
              <wp:posOffset>1217930</wp:posOffset>
            </wp:positionH>
            <wp:positionV relativeFrom="paragraph">
              <wp:posOffset>74295</wp:posOffset>
            </wp:positionV>
            <wp:extent cx="4178935" cy="2999105"/>
            <wp:effectExtent l="9525" t="9525" r="21590" b="2032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4178935" cy="2999105"/>
                    </a:xfrm>
                    <a:prstGeom prst="rect">
                      <a:avLst/>
                    </a:prstGeom>
                    <a:noFill/>
                    <a:ln>
                      <a:solidFill>
                        <a:srgbClr val="C00000"/>
                      </a:solidFill>
                    </a:ln>
                  </pic:spPr>
                </pic:pic>
              </a:graphicData>
            </a:graphic>
          </wp:anchor>
        </w:drawing>
      </w:r>
    </w:p>
    <w:p>
      <w:pPr>
        <w:widowControl/>
        <w:jc w:val="left"/>
      </w:pPr>
    </w:p>
    <w:p>
      <w:pPr>
        <w:pStyle w:val="5"/>
        <w:widowControl/>
        <w:shd w:val="clear" w:color="auto" w:fill="FFFFFF"/>
        <w:spacing w:before="150" w:beforeAutospacing="0" w:after="150" w:afterAutospacing="0"/>
        <w:ind w:firstLine="585"/>
        <w:rPr>
          <w:rFonts w:ascii="Helvetica" w:hAnsi="Helvetica" w:eastAsia="Helvetica" w:cs="Helvetica"/>
          <w:color w:val="000000"/>
          <w:sz w:val="30"/>
          <w:szCs w:val="30"/>
          <w:shd w:val="clear" w:color="auto" w:fill="FFFFFF"/>
        </w:rPr>
      </w:pPr>
    </w:p>
    <w:p>
      <w:pPr>
        <w:pStyle w:val="5"/>
        <w:widowControl/>
        <w:shd w:val="clear" w:color="auto" w:fill="FFFFFF"/>
        <w:spacing w:before="150" w:beforeAutospacing="0" w:after="150" w:afterAutospacing="0"/>
        <w:ind w:firstLine="585"/>
        <w:rPr>
          <w:rFonts w:ascii="Helvetica" w:hAnsi="Helvetica" w:eastAsia="Helvetica" w:cs="Helvetica"/>
          <w:color w:val="000000"/>
          <w:sz w:val="30"/>
          <w:szCs w:val="30"/>
          <w:shd w:val="clear" w:color="auto" w:fill="FFFFFF"/>
        </w:rPr>
      </w:pPr>
    </w:p>
    <w:p>
      <w:pPr>
        <w:pStyle w:val="5"/>
        <w:widowControl/>
        <w:shd w:val="clear" w:color="auto" w:fill="FFFFFF"/>
        <w:spacing w:before="150" w:beforeAutospacing="0" w:after="150" w:afterAutospacing="0"/>
        <w:ind w:firstLine="585"/>
        <w:rPr>
          <w:rFonts w:ascii="Helvetica" w:hAnsi="Helvetica" w:eastAsia="Helvetica" w:cs="Helvetica"/>
          <w:color w:val="000000"/>
          <w:sz w:val="30"/>
          <w:szCs w:val="30"/>
          <w:shd w:val="clear" w:color="auto" w:fill="FFFFFF"/>
        </w:rPr>
      </w:pPr>
    </w:p>
    <w:p>
      <w:pPr>
        <w:pStyle w:val="5"/>
        <w:widowControl/>
        <w:shd w:val="clear" w:color="auto" w:fill="FFFFFF"/>
        <w:spacing w:before="150" w:beforeAutospacing="0" w:after="150" w:afterAutospacing="0"/>
        <w:ind w:firstLine="585"/>
        <w:rPr>
          <w:rFonts w:ascii="Helvetica" w:hAnsi="Helvetica" w:eastAsia="Helvetica" w:cs="Helvetica"/>
          <w:color w:val="000000"/>
          <w:sz w:val="30"/>
          <w:szCs w:val="30"/>
          <w:shd w:val="clear" w:color="auto" w:fill="FFFFFF"/>
        </w:rPr>
      </w:pPr>
    </w:p>
    <w:p>
      <w:pPr>
        <w:pStyle w:val="5"/>
        <w:widowControl/>
        <w:shd w:val="clear" w:color="auto" w:fill="FFFFFF"/>
        <w:spacing w:before="150" w:beforeAutospacing="0" w:after="150" w:afterAutospacing="0"/>
        <w:ind w:firstLine="585"/>
        <w:rPr>
          <w:rFonts w:ascii="Helvetica" w:hAnsi="Helvetica" w:eastAsia="Helvetica" w:cs="Helvetica"/>
          <w:color w:val="000000"/>
          <w:sz w:val="30"/>
          <w:szCs w:val="30"/>
          <w:shd w:val="clear" w:color="auto" w:fill="FFFFFF"/>
        </w:rPr>
      </w:pPr>
    </w:p>
    <w:p>
      <w:pPr>
        <w:pStyle w:val="5"/>
        <w:widowControl/>
        <w:shd w:val="clear" w:color="auto" w:fill="FFFFFF"/>
        <w:spacing w:before="150" w:beforeAutospacing="0" w:after="150" w:afterAutospacing="0"/>
        <w:ind w:firstLine="585"/>
        <w:rPr>
          <w:rFonts w:ascii="Helvetica" w:hAnsi="Helvetica" w:eastAsia="Helvetica" w:cs="Helvetica"/>
          <w:color w:val="000000"/>
          <w:sz w:val="30"/>
          <w:szCs w:val="30"/>
          <w:shd w:val="clear" w:color="auto" w:fill="FFFFFF"/>
        </w:rPr>
      </w:pPr>
    </w:p>
    <w:p>
      <w:pPr>
        <w:pStyle w:val="5"/>
        <w:widowControl/>
        <w:shd w:val="clear" w:color="auto" w:fill="FFFFFF"/>
        <w:spacing w:before="150" w:beforeAutospacing="0" w:after="150" w:afterAutospacing="0"/>
        <w:rPr>
          <w:rFonts w:ascii="Helvetica" w:hAnsi="Helvetica" w:eastAsia="Helvetica" w:cs="Helvetica"/>
          <w:b/>
          <w:bCs/>
          <w:color w:val="000000"/>
          <w:shd w:val="clear" w:color="auto" w:fill="FFFFFF"/>
        </w:rPr>
      </w:pPr>
      <w:r>
        <w:rPr>
          <w:rFonts w:hint="eastAsia" w:ascii="Helvetica" w:hAnsi="Helvetica" w:eastAsia="宋体" w:cs="Helvetica"/>
          <w:b/>
          <w:bCs/>
          <w:color w:val="000000"/>
          <w:shd w:val="clear" w:color="auto" w:fill="FFFFFF"/>
        </w:rPr>
        <w:t>2、</w:t>
      </w:r>
      <w:r>
        <w:rPr>
          <w:rFonts w:ascii="Helvetica" w:hAnsi="Helvetica" w:eastAsia="Helvetica" w:cs="Helvetica"/>
          <w:b/>
          <w:bCs/>
          <w:color w:val="000000"/>
          <w:shd w:val="clear" w:color="auto" w:fill="FFFFFF"/>
        </w:rPr>
        <w:t>为什么现在那么多人报考</w:t>
      </w:r>
      <w:r>
        <w:rPr>
          <w:rFonts w:hint="eastAsia" w:ascii="Helvetica" w:hAnsi="Helvetica" w:eastAsia="宋体" w:cs="Helvetica"/>
          <w:b/>
          <w:bCs/>
          <w:color w:val="000000"/>
          <w:shd w:val="clear" w:color="auto" w:fill="FFFFFF"/>
        </w:rPr>
        <w:t>健康管理师</w:t>
      </w:r>
      <w:r>
        <w:rPr>
          <w:rFonts w:ascii="Helvetica" w:hAnsi="Helvetica" w:eastAsia="Helvetica" w:cs="Helvetica"/>
          <w:b/>
          <w:bCs/>
          <w:color w:val="000000"/>
          <w:shd w:val="clear" w:color="auto" w:fill="FFFFFF"/>
        </w:rPr>
        <w:t>？</w:t>
      </w:r>
    </w:p>
    <w:p>
      <w:pPr>
        <w:pStyle w:val="5"/>
        <w:widowControl/>
        <w:shd w:val="clear" w:color="auto" w:fill="FFFFFF"/>
        <w:spacing w:before="150" w:beforeAutospacing="0" w:after="150" w:afterAutospacing="0"/>
        <w:rPr>
          <w:rFonts w:ascii="Helvetica" w:hAnsi="Helvetica" w:eastAsia="Helvetica" w:cs="Helvetica"/>
          <w:color w:val="000000"/>
          <w:sz w:val="21"/>
          <w:szCs w:val="21"/>
          <w:shd w:val="clear" w:color="auto" w:fill="FFFFFF"/>
        </w:rPr>
      </w:pPr>
      <w:r>
        <w:rPr>
          <w:rFonts w:hint="eastAsia" w:ascii="Helvetica" w:hAnsi="Helvetica" w:eastAsia="宋体" w:cs="Helvetica"/>
          <w:b/>
          <w:bCs/>
          <w:color w:val="000000"/>
          <w:sz w:val="21"/>
          <w:szCs w:val="21"/>
          <w:shd w:val="clear" w:color="auto" w:fill="FFFFFF"/>
        </w:rPr>
        <w:t>（1）</w:t>
      </w:r>
      <w:r>
        <w:rPr>
          <w:rFonts w:ascii="Helvetica" w:hAnsi="Helvetica" w:eastAsia="Helvetica" w:cs="Helvetica"/>
          <w:b/>
          <w:bCs/>
          <w:color w:val="000000"/>
          <w:sz w:val="21"/>
          <w:szCs w:val="21"/>
          <w:shd w:val="clear" w:color="auto" w:fill="FFFFFF"/>
        </w:rPr>
        <w:t>健康产业是我国的“第五波财富”。</w:t>
      </w:r>
      <w:r>
        <w:rPr>
          <w:rFonts w:ascii="Helvetica" w:hAnsi="Helvetica" w:eastAsia="Helvetica" w:cs="Helvetica"/>
          <w:color w:val="000000"/>
          <w:sz w:val="21"/>
          <w:szCs w:val="21"/>
          <w:shd w:val="clear" w:color="auto" w:fill="FFFFFF"/>
        </w:rPr>
        <w:t>我国未来的经济将会是健康产业拉动经济增长。步入老龄化社会后，我国的医疗资金压力、养老保险压力、延迟退休压力等将会在很大程度上依赖健康产业对国民健康状况进行改善和促进。“第四波财富”房地产的兴起拉动了一级建造师和二级建造师的职业需求，健康产业的兴起也会带动健康从业人员的增加。</w:t>
      </w:r>
    </w:p>
    <w:p>
      <w:pPr>
        <w:pStyle w:val="5"/>
        <w:widowControl/>
        <w:shd w:val="clear" w:color="auto" w:fill="FFFFFF"/>
        <w:spacing w:before="150" w:beforeAutospacing="0" w:after="150" w:afterAutospacing="0"/>
        <w:rPr>
          <w:rFonts w:ascii="Helvetica" w:hAnsi="Helvetica" w:eastAsia="宋体" w:cs="Helvetica"/>
          <w:b/>
          <w:bCs/>
          <w:color w:val="000000"/>
          <w:sz w:val="21"/>
          <w:szCs w:val="21"/>
          <w:shd w:val="clear" w:color="auto" w:fill="FFFFFF"/>
        </w:rPr>
      </w:pPr>
      <w:r>
        <w:rPr>
          <w:rFonts w:hint="eastAsia" w:ascii="Helvetica" w:hAnsi="Helvetica" w:eastAsia="宋体" w:cs="Helvetica"/>
          <w:b/>
          <w:bCs/>
          <w:color w:val="000000"/>
          <w:sz w:val="21"/>
          <w:szCs w:val="21"/>
          <w:shd w:val="clear" w:color="auto" w:fill="FFFFFF"/>
        </w:rPr>
        <w:t>（2）财政补贴：取得三级证书可获得国家补贴2000元！</w:t>
      </w:r>
    </w:p>
    <w:p>
      <w:pPr>
        <w:pStyle w:val="5"/>
        <w:widowControl/>
        <w:shd w:val="clear" w:color="auto" w:fill="FFFFFF"/>
        <w:spacing w:before="150" w:beforeAutospacing="0" w:after="150" w:afterAutospacing="0"/>
        <w:rPr>
          <w:rFonts w:ascii="Helvetica" w:hAnsi="Helvetica" w:eastAsia="Helvetica" w:cs="Helvetica"/>
          <w:color w:val="000000"/>
          <w:sz w:val="21"/>
          <w:szCs w:val="21"/>
          <w:shd w:val="clear" w:color="auto" w:fill="FFFFFF"/>
        </w:rPr>
      </w:pPr>
      <w:r>
        <w:rPr>
          <w:rFonts w:hint="eastAsia" w:ascii="Helvetica" w:hAnsi="Helvetica" w:eastAsia="宋体" w:cs="Helvetica"/>
          <w:color w:val="000000"/>
          <w:sz w:val="21"/>
          <w:szCs w:val="21"/>
          <w:shd w:val="clear" w:color="auto" w:fill="FFFFFF"/>
        </w:rPr>
        <w:t>为调动学员的积极性，建立培养激励机制，实行奖补制度，国家下发文件，给通过考试取得三级健康管理师职业资格证书国家补贴2000元</w:t>
      </w:r>
    </w:p>
    <w:p>
      <w:pPr>
        <w:pStyle w:val="5"/>
        <w:widowControl/>
        <w:shd w:val="clear" w:color="auto" w:fill="FFFFFF"/>
        <w:spacing w:before="150" w:beforeAutospacing="0" w:after="150" w:afterAutospacing="0"/>
        <w:rPr>
          <w:rFonts w:ascii="Helvetica" w:hAnsi="Helvetica" w:eastAsia="宋体" w:cs="Helvetica"/>
          <w:b/>
          <w:bCs/>
          <w:color w:val="000000"/>
          <w:shd w:val="clear" w:color="auto" w:fill="FFFFFF"/>
        </w:rPr>
      </w:pPr>
      <w:r>
        <w:rPr>
          <w:rFonts w:hint="eastAsia" w:ascii="Helvetica" w:hAnsi="Helvetica" w:eastAsia="宋体" w:cs="Helvetica"/>
          <w:b/>
          <w:bCs/>
          <w:color w:val="000000"/>
          <w:shd w:val="clear" w:color="auto" w:fill="FFFFFF"/>
        </w:rPr>
        <w:t>3、健康管理师发展前景如何？</w:t>
      </w:r>
    </w:p>
    <w:p>
      <w:pPr>
        <w:pStyle w:val="5"/>
        <w:widowControl/>
        <w:shd w:val="clear" w:color="auto" w:fill="FFFFFF"/>
        <w:spacing w:before="150" w:beforeAutospacing="0" w:after="150" w:afterAutospacing="0"/>
        <w:ind w:firstLine="420" w:firstLineChars="200"/>
        <w:rPr>
          <w:rFonts w:ascii="Helvetica" w:hAnsi="Helvetica" w:eastAsia="Helvetica" w:cs="Helvetica"/>
          <w:color w:val="000000"/>
          <w:sz w:val="21"/>
          <w:szCs w:val="21"/>
        </w:rPr>
      </w:pPr>
      <w:r>
        <w:rPr>
          <w:rFonts w:ascii="Helvetica" w:hAnsi="Helvetica" w:eastAsia="Helvetica" w:cs="Helvetica"/>
          <w:color w:val="000000"/>
          <w:sz w:val="21"/>
          <w:szCs w:val="21"/>
          <w:shd w:val="clear" w:color="auto" w:fill="FFFFFF"/>
        </w:rPr>
        <w:t>随着国家政策的支持，健康管理师将成“抢手货”，职业范畴拓宽。越来越多的人关注健康管理师，都希望能够掌握健康管理师的知识、技能，给自己多一条职业发展路径的选择，同时能考取最权威的证书。</w:t>
      </w:r>
    </w:p>
    <w:p>
      <w:pPr>
        <w:widowControl/>
        <w:jc w:val="left"/>
        <w:rPr>
          <w:rFonts w:ascii="Helvetica" w:hAnsi="Helvetica" w:eastAsia="Helvetica" w:cs="Helvetica"/>
          <w:color w:val="000000"/>
          <w:kern w:val="0"/>
          <w:szCs w:val="21"/>
          <w:shd w:val="clear" w:color="auto" w:fill="FFFFFF"/>
          <w:lang w:bidi="ar"/>
        </w:rPr>
      </w:pPr>
      <w:r>
        <w:rPr>
          <w:rFonts w:ascii="Helvetica" w:hAnsi="Helvetica" w:eastAsia="Helvetica" w:cs="Helvetica"/>
          <w:color w:val="000000"/>
          <w:kern w:val="0"/>
          <w:szCs w:val="21"/>
          <w:shd w:val="clear" w:color="auto" w:fill="FFFFFF"/>
        </w:rPr>
        <w:drawing>
          <wp:inline distT="0" distB="0" distL="114300" distR="114300">
            <wp:extent cx="6096000" cy="2905125"/>
            <wp:effectExtent l="9525" t="9525" r="9525" b="1905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13"/>
                    <a:stretch>
                      <a:fillRect/>
                    </a:stretch>
                  </pic:blipFill>
                  <pic:spPr>
                    <a:xfrm>
                      <a:off x="0" y="0"/>
                      <a:ext cx="6096000" cy="2905125"/>
                    </a:xfrm>
                    <a:prstGeom prst="rect">
                      <a:avLst/>
                    </a:prstGeom>
                    <a:noFill/>
                    <a:ln w="9525">
                      <a:solidFill>
                        <a:srgbClr val="0000FF"/>
                      </a:solidFill>
                    </a:ln>
                  </pic:spPr>
                </pic:pic>
              </a:graphicData>
            </a:graphic>
          </wp:inline>
        </w:drawing>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健康管理师的诞生是市场需求的结果。人的寿命增加、亚健康人群数量庞大、各种慢性病不断增加，传统的卫生医疗已经不能满足当下市场的健康要求，人们更加关注生命的质量，更注重自身的养生和保健，不是生病才看病，而是为了以后得病而提前加以预防，提前采取有益健康的措施，延续生命，获得更健康更丰富的人生体验</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在中国，享受科学专业的健康管理的人群不到总人数的万分之二，与美国70%居民能够在健康管理公司或者企业享受完善服务的比例还相差太远。</w:t>
      </w:r>
    </w:p>
    <w:p>
      <w:pPr>
        <w:pStyle w:val="5"/>
        <w:widowControl/>
        <w:shd w:val="clear" w:color="auto" w:fill="FFFFFF"/>
        <w:spacing w:before="150" w:beforeAutospacing="0" w:after="150" w:afterAutospacing="0"/>
        <w:ind w:firstLine="422"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b/>
          <w:bCs/>
          <w:color w:val="000000"/>
          <w:sz w:val="21"/>
          <w:szCs w:val="21"/>
          <w:shd w:val="clear" w:color="auto" w:fill="FFFFFF"/>
        </w:rPr>
        <w:t>从个人来讲，</w:t>
      </w:r>
      <w:r>
        <w:rPr>
          <w:rFonts w:hint="eastAsia" w:asciiTheme="majorEastAsia" w:hAnsiTheme="majorEastAsia" w:eastAsiaTheme="majorEastAsia" w:cstheme="majorEastAsia"/>
          <w:color w:val="000000"/>
          <w:sz w:val="21"/>
          <w:szCs w:val="21"/>
          <w:shd w:val="clear" w:color="auto" w:fill="FFFFFF"/>
        </w:rPr>
        <w:t>减少吃药住院费用，减轻家里的经济负担，没有病，才有可能去创造一切；</w:t>
      </w:r>
    </w:p>
    <w:p>
      <w:pPr>
        <w:pStyle w:val="5"/>
        <w:widowControl/>
        <w:shd w:val="clear" w:color="auto" w:fill="FFFFFF"/>
        <w:spacing w:before="150" w:beforeAutospacing="0" w:after="150" w:afterAutospacing="0"/>
        <w:ind w:firstLine="422"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b/>
          <w:bCs/>
          <w:color w:val="000000"/>
          <w:sz w:val="21"/>
          <w:szCs w:val="21"/>
          <w:shd w:val="clear" w:color="auto" w:fill="FFFFFF"/>
        </w:rPr>
        <w:t>从企业出发，</w:t>
      </w:r>
      <w:r>
        <w:rPr>
          <w:rFonts w:hint="eastAsia" w:asciiTheme="majorEastAsia" w:hAnsiTheme="majorEastAsia" w:eastAsiaTheme="majorEastAsia" w:cstheme="majorEastAsia"/>
          <w:color w:val="000000"/>
          <w:sz w:val="21"/>
          <w:szCs w:val="21"/>
          <w:shd w:val="clear" w:color="auto" w:fill="FFFFFF"/>
        </w:rPr>
        <w:t>员工的健康状况直接关系企业的生产效率。在早期的美国健康管理发展的过程中，这一说法得到了印证。</w:t>
      </w:r>
    </w:p>
    <w:p>
      <w:pPr>
        <w:pStyle w:val="5"/>
        <w:widowControl/>
        <w:shd w:val="clear" w:color="auto" w:fill="FFFFFF"/>
        <w:spacing w:before="150" w:beforeAutospacing="0" w:after="150" w:afterAutospacing="0"/>
        <w:ind w:firstLine="422" w:firstLineChars="200"/>
        <w:rPr>
          <w:rFonts w:asciiTheme="majorEastAsia" w:hAnsiTheme="majorEastAsia" w:eastAsiaTheme="majorEastAsia" w:cstheme="majorEastAsia"/>
          <w:color w:val="000000"/>
          <w:sz w:val="21"/>
          <w:szCs w:val="21"/>
          <w:shd w:val="clear" w:color="auto" w:fill="FFFFFF"/>
        </w:rPr>
      </w:pPr>
      <w:r>
        <w:rPr>
          <w:rFonts w:hint="eastAsia" w:asciiTheme="majorEastAsia" w:hAnsiTheme="majorEastAsia" w:eastAsiaTheme="majorEastAsia" w:cstheme="majorEastAsia"/>
          <w:b/>
          <w:bCs/>
          <w:color w:val="000000"/>
          <w:sz w:val="21"/>
          <w:szCs w:val="21"/>
          <w:shd w:val="clear" w:color="auto" w:fill="FFFFFF"/>
        </w:rPr>
        <w:t>从国家来讲，</w:t>
      </w:r>
      <w:r>
        <w:rPr>
          <w:rFonts w:hint="eastAsia" w:asciiTheme="majorEastAsia" w:hAnsiTheme="majorEastAsia" w:eastAsiaTheme="majorEastAsia" w:cstheme="majorEastAsia"/>
          <w:color w:val="000000"/>
          <w:sz w:val="21"/>
          <w:szCs w:val="21"/>
          <w:shd w:val="clear" w:color="auto" w:fill="FFFFFF"/>
        </w:rPr>
        <w:t>人人注重健康，人人爱惜生命，在社会总体床位和医疗资源一定的情况下，健康的人多了，将会大大减轻国家的医疗压力，减少更少的医闹，社会更稳定，有健康的身体去发展，这是一件长远的利国利民的大善事。</w:t>
      </w:r>
    </w:p>
    <w:p>
      <w:pPr>
        <w:pStyle w:val="5"/>
        <w:widowControl/>
        <w:shd w:val="clear" w:color="auto" w:fill="FFFFFF"/>
        <w:spacing w:before="150" w:beforeAutospacing="0" w:after="150" w:afterAutospacing="0"/>
        <w:ind w:firstLine="420" w:firstLineChars="200"/>
        <w:rPr>
          <w:rFonts w:ascii="Helvetica" w:hAnsi="Helvetica" w:eastAsia="Helvetica" w:cs="Helvetica"/>
          <w:color w:val="000000"/>
          <w:sz w:val="21"/>
          <w:szCs w:val="21"/>
          <w:shd w:val="clear" w:color="auto" w:fill="FFFFFF"/>
          <w:lang w:bidi="ar"/>
        </w:rPr>
      </w:pPr>
      <w:r>
        <w:rPr>
          <w:rFonts w:hint="eastAsia" w:asciiTheme="majorEastAsia" w:hAnsiTheme="majorEastAsia" w:eastAsiaTheme="majorEastAsia" w:cstheme="majorEastAsia"/>
          <w:color w:val="000000"/>
          <w:sz w:val="21"/>
          <w:szCs w:val="21"/>
          <w:shd w:val="clear" w:color="auto" w:fill="FFFFFF"/>
        </w:rPr>
        <w:t>随着人口老龄化的进程加快，期望寿命的延长以及慢性病的上升，对健康维护及改善的需求会日益增长；传统的医疗服务模式已不能满足发展的需要，新兴的健康管理行业将有非常广阔的发展前景。 　</w:t>
      </w:r>
    </w:p>
    <w:p>
      <w:pPr>
        <w:pStyle w:val="5"/>
        <w:widowControl/>
        <w:shd w:val="clear" w:color="auto" w:fill="FFFFFF"/>
        <w:spacing w:before="150" w:beforeAutospacing="0" w:after="150" w:afterAutospacing="0"/>
        <w:rPr>
          <w:rFonts w:ascii="Helvetica" w:hAnsi="Helvetica" w:eastAsia="Helvetica" w:cs="Helvetica"/>
          <w:b/>
          <w:bCs/>
          <w:color w:val="000000"/>
        </w:rPr>
      </w:pPr>
      <w:r>
        <w:rPr>
          <w:rFonts w:hint="eastAsia" w:ascii="Helvetica" w:hAnsi="Helvetica" w:eastAsia="宋体" w:cs="Helvetica"/>
          <w:b/>
          <w:bCs/>
          <w:color w:val="000000"/>
          <w:shd w:val="clear" w:color="auto" w:fill="FFFFFF"/>
        </w:rPr>
        <w:t>4、</w:t>
      </w:r>
      <w:r>
        <w:rPr>
          <w:rFonts w:ascii="Helvetica" w:hAnsi="Helvetica" w:eastAsia="Helvetica" w:cs="Helvetica"/>
          <w:b/>
          <w:bCs/>
          <w:color w:val="000000"/>
          <w:shd w:val="clear" w:color="auto" w:fill="FFFFFF"/>
        </w:rPr>
        <w:t>健康管理师与营养师</w:t>
      </w:r>
      <w:r>
        <w:rPr>
          <w:rFonts w:hint="eastAsia" w:ascii="Helvetica" w:hAnsi="Helvetica" w:eastAsia="宋体" w:cs="Helvetica"/>
          <w:b/>
          <w:bCs/>
          <w:color w:val="000000"/>
          <w:shd w:val="clear" w:color="auto" w:fill="FFFFFF"/>
        </w:rPr>
        <w:t>、心理咨询师等资格证书</w:t>
      </w:r>
      <w:r>
        <w:rPr>
          <w:rFonts w:ascii="Helvetica" w:hAnsi="Helvetica" w:eastAsia="Helvetica" w:cs="Helvetica"/>
          <w:b/>
          <w:bCs/>
          <w:color w:val="000000"/>
          <w:shd w:val="clear" w:color="auto" w:fill="FFFFFF"/>
        </w:rPr>
        <w:t>的区别？</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shd w:val="clear" w:color="auto" w:fill="FFFFFF"/>
        </w:rPr>
      </w:pPr>
      <w:r>
        <w:rPr>
          <w:rFonts w:hint="eastAsia" w:asciiTheme="majorEastAsia" w:hAnsiTheme="majorEastAsia" w:eastAsiaTheme="majorEastAsia" w:cstheme="majorEastAsia"/>
          <w:color w:val="000000"/>
          <w:sz w:val="21"/>
          <w:szCs w:val="21"/>
          <w:shd w:val="clear" w:color="auto" w:fill="FFFFFF"/>
        </w:rPr>
        <w:t>健康管理师是营养师、心理咨询师、体检医生、预防医学医生、健康教育专家、医学信息管理人员的综合体，是一个高端职业。医生离开所在医院执业证书需重新变更，健康管理师全国通用，不需要年检。</w:t>
      </w:r>
    </w:p>
    <w:p>
      <w:pPr>
        <w:pStyle w:val="5"/>
        <w:widowControl/>
        <w:shd w:val="clear" w:color="auto" w:fill="FFFFFF"/>
        <w:spacing w:before="150" w:beforeAutospacing="0" w:after="150" w:afterAutospacing="0"/>
        <w:ind w:firstLine="420" w:firstLineChars="200"/>
        <w:rPr>
          <w:rFonts w:ascii="Helvetica" w:hAnsi="Helvetica" w:eastAsia="Helvetica" w:cs="Helvetica"/>
          <w:color w:val="000000"/>
          <w:sz w:val="30"/>
          <w:szCs w:val="30"/>
          <w:shd w:val="clear" w:color="auto" w:fill="FFFFFF"/>
        </w:rPr>
      </w:pPr>
      <w:r>
        <w:rPr>
          <w:rFonts w:hint="eastAsia" w:asciiTheme="majorEastAsia" w:hAnsiTheme="majorEastAsia" w:eastAsiaTheme="majorEastAsia" w:cstheme="majorEastAsia"/>
          <w:color w:val="000000"/>
          <w:sz w:val="21"/>
          <w:szCs w:val="21"/>
          <w:shd w:val="clear" w:color="auto" w:fill="FFFFFF"/>
        </w:rPr>
        <w:t>健康管理师的工作包含营养师的工作，营养师的工作只是健康管理师工作内容的一部分。健康管理师较之营养师更综合和复杂、专业。根据《国务院关于取消一批职业资格许可和认定事项的决定（国发〔2016〕68号）》，公共营养师自2016年12月8日取消。健康管理师是2005年10月劳动和社会保障部第四批正式发布的11个新职业之一；健康管理师是更高端的职业。</w:t>
      </w:r>
    </w:p>
    <w:p>
      <w:pPr>
        <w:pStyle w:val="5"/>
        <w:widowControl/>
        <w:shd w:val="clear" w:color="auto" w:fill="FFFFFF"/>
        <w:spacing w:before="150" w:beforeAutospacing="0" w:after="150" w:afterAutospacing="0"/>
        <w:rPr>
          <w:rFonts w:ascii="Helvetica" w:hAnsi="Helvetica" w:eastAsia="Helvetica" w:cs="Helvetica"/>
          <w:b/>
          <w:bCs/>
          <w:color w:val="000000"/>
        </w:rPr>
      </w:pPr>
      <w:r>
        <w:rPr>
          <w:rFonts w:hint="eastAsia" w:ascii="Helvetica" w:hAnsi="Helvetica" w:eastAsia="宋体" w:cs="Helvetica"/>
          <w:b/>
          <w:bCs/>
          <w:color w:val="000000"/>
          <w:shd w:val="clear" w:color="auto" w:fill="FFFFFF"/>
        </w:rPr>
        <w:t>5、健康管理师证书</w:t>
      </w:r>
      <w:r>
        <w:rPr>
          <w:rFonts w:ascii="Helvetica" w:hAnsi="Helvetica" w:eastAsia="Helvetica" w:cs="Helvetica"/>
          <w:b/>
          <w:bCs/>
          <w:color w:val="000000"/>
          <w:shd w:val="clear" w:color="auto" w:fill="FFFFFF"/>
        </w:rPr>
        <w:t>的优势有哪些？</w:t>
      </w:r>
    </w:p>
    <w:p>
      <w:pPr>
        <w:pStyle w:val="5"/>
        <w:widowControl/>
        <w:shd w:val="clear" w:color="auto" w:fill="FFFFFF"/>
        <w:spacing w:before="150" w:beforeAutospacing="0" w:after="150" w:afterAutospacing="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b/>
          <w:bCs/>
          <w:color w:val="000000"/>
          <w:sz w:val="21"/>
          <w:szCs w:val="21"/>
          <w:shd w:val="clear" w:color="auto" w:fill="FFFFFF"/>
        </w:rPr>
        <w:t>（1）可选择就业范围广泛：</w:t>
      </w:r>
      <w:r>
        <w:rPr>
          <w:rFonts w:hint="eastAsia" w:asciiTheme="majorEastAsia" w:hAnsiTheme="majorEastAsia" w:eastAsiaTheme="majorEastAsia" w:cstheme="majorEastAsia"/>
          <w:color w:val="000000"/>
          <w:sz w:val="21"/>
          <w:szCs w:val="21"/>
          <w:shd w:val="clear" w:color="auto" w:fill="FFFFFF"/>
        </w:rPr>
        <w:t>涉及医院、院校、体检中心、保健机构、保险机构、疾病防控中心、社会公共保健领域、社会服务行业、食品和制药公司等；</w:t>
      </w:r>
    </w:p>
    <w:p>
      <w:pPr>
        <w:widowControl/>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shd w:val="clear" w:color="auto" w:fill="FFFFFF"/>
        </w:rPr>
        <w:drawing>
          <wp:inline distT="0" distB="0" distL="114300" distR="114300">
            <wp:extent cx="4933950" cy="2775585"/>
            <wp:effectExtent l="9525" t="9525" r="9525" b="1524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4"/>
                    <a:stretch>
                      <a:fillRect/>
                    </a:stretch>
                  </pic:blipFill>
                  <pic:spPr>
                    <a:xfrm>
                      <a:off x="0" y="0"/>
                      <a:ext cx="4933950" cy="2775585"/>
                    </a:xfrm>
                    <a:prstGeom prst="rect">
                      <a:avLst/>
                    </a:prstGeom>
                    <a:noFill/>
                    <a:ln w="9525">
                      <a:solidFill>
                        <a:srgbClr val="C00000"/>
                      </a:solidFill>
                    </a:ln>
                  </pic:spPr>
                </pic:pic>
              </a:graphicData>
            </a:graphic>
          </wp:inline>
        </w:drawing>
      </w:r>
    </w:p>
    <w:p>
      <w:pPr>
        <w:pStyle w:val="5"/>
        <w:widowControl/>
        <w:shd w:val="clear" w:color="auto" w:fill="FFFFFF"/>
        <w:spacing w:before="150" w:beforeAutospacing="0" w:after="150" w:afterAutospacing="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b/>
          <w:bCs/>
          <w:color w:val="000000"/>
          <w:sz w:val="21"/>
          <w:szCs w:val="21"/>
          <w:shd w:val="clear" w:color="auto" w:fill="FFFFFF"/>
        </w:rPr>
        <w:t>（2）行业竞争对手少、发展前景广阔：</w:t>
      </w:r>
      <w:r>
        <w:rPr>
          <w:rFonts w:hint="eastAsia" w:asciiTheme="majorEastAsia" w:hAnsiTheme="majorEastAsia" w:eastAsiaTheme="majorEastAsia" w:cstheme="majorEastAsia"/>
          <w:color w:val="000000"/>
          <w:sz w:val="21"/>
          <w:szCs w:val="21"/>
          <w:shd w:val="clear" w:color="auto" w:fill="FFFFFF"/>
        </w:rPr>
        <w:t>目前拥有健康管理师职业资格证书的不超过12000人，而全国缺乏2000万以上的健康管理师，经济学家断言21 世纪继互联网产业之后的下一座金矿是健康产业。</w:t>
      </w:r>
    </w:p>
    <w:p>
      <w:pPr>
        <w:pStyle w:val="5"/>
        <w:widowControl/>
        <w:shd w:val="clear" w:color="auto" w:fill="FFFFFF"/>
        <w:spacing w:before="150" w:beforeAutospacing="0" w:after="150" w:afterAutospacing="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b/>
          <w:bCs/>
          <w:color w:val="000000"/>
          <w:sz w:val="21"/>
          <w:szCs w:val="21"/>
          <w:shd w:val="clear" w:color="auto" w:fill="FFFFFF"/>
        </w:rPr>
        <w:t>（3）健康管理师无需年检，永久有效：</w:t>
      </w:r>
      <w:r>
        <w:rPr>
          <w:rFonts w:hint="eastAsia" w:asciiTheme="majorEastAsia" w:hAnsiTheme="majorEastAsia" w:eastAsiaTheme="majorEastAsia" w:cstheme="majorEastAsia"/>
          <w:color w:val="000000"/>
          <w:sz w:val="21"/>
          <w:szCs w:val="21"/>
          <w:shd w:val="clear" w:color="auto" w:fill="FFFFFF"/>
        </w:rPr>
        <w:t>健康管理师可作为招聘录用，考核晋升，岗位续聘，职称评定，加薪的重要参考依据。</w:t>
      </w:r>
    </w:p>
    <w:p>
      <w:pPr>
        <w:pStyle w:val="5"/>
        <w:widowControl/>
        <w:shd w:val="clear" w:color="auto" w:fill="FFFFFF"/>
        <w:spacing w:before="150" w:beforeAutospacing="0" w:after="150" w:afterAutospacing="0"/>
        <w:rPr>
          <w:rFonts w:ascii="Helvetica" w:hAnsi="Helvetica" w:eastAsia="宋体" w:cs="Helvetica"/>
          <w:b/>
          <w:bCs/>
          <w:color w:val="000000"/>
          <w:shd w:val="clear" w:color="auto" w:fill="FFFFFF"/>
        </w:rPr>
      </w:pPr>
      <w:r>
        <w:rPr>
          <w:rFonts w:hint="eastAsia" w:ascii="Helvetica" w:hAnsi="Helvetica" w:eastAsia="宋体" w:cs="Helvetica"/>
          <w:b/>
          <w:bCs/>
          <w:color w:val="000000"/>
          <w:shd w:val="clear" w:color="auto" w:fill="FFFFFF"/>
        </w:rPr>
        <w:t>6、健康管理师报名时间、考试时间及考试形式</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随时可以报名学习，每年有4次考试，考试时间分别是4月、6月、9月、11月份，以自己的学习状态选择考试时间。一般报名时间为考前三个月，因为要安排您参加学习。</w:t>
      </w:r>
    </w:p>
    <w:p>
      <w:pPr>
        <w:pStyle w:val="5"/>
        <w:widowControl/>
        <w:shd w:val="clear" w:color="auto" w:fill="FFFFFF"/>
        <w:spacing w:before="150" w:beforeAutospacing="0" w:after="150" w:afterAutospacing="0"/>
        <w:rPr>
          <w:rFonts w:asciiTheme="majorEastAsia" w:hAnsiTheme="majorEastAsia" w:eastAsiaTheme="majorEastAsia" w:cstheme="majorEastAsia"/>
          <w:b/>
          <w:bCs/>
          <w:color w:val="000000"/>
        </w:rPr>
      </w:pPr>
      <w:r>
        <w:rPr>
          <w:rFonts w:hint="eastAsia" w:asciiTheme="majorEastAsia" w:hAnsiTheme="majorEastAsia" w:eastAsiaTheme="majorEastAsia" w:cstheme="majorEastAsia"/>
          <w:b/>
          <w:bCs/>
          <w:color w:val="000000"/>
          <w:shd w:val="clear" w:color="auto" w:fill="FFFFFF"/>
        </w:rPr>
        <w:t>7、考试形式：上机考试</w:t>
      </w:r>
    </w:p>
    <w:p>
      <w:pPr>
        <w:pStyle w:val="5"/>
        <w:widowControl/>
        <w:shd w:val="clear" w:color="auto" w:fill="FFFFFF"/>
        <w:spacing w:before="150" w:beforeAutospacing="0" w:after="150" w:afterAutospacing="0"/>
        <w:ind w:firstLine="420" w:firstLineChars="200"/>
      </w:pPr>
      <w:r>
        <w:rPr>
          <w:rFonts w:hint="eastAsia" w:asciiTheme="majorEastAsia" w:hAnsiTheme="majorEastAsia" w:eastAsiaTheme="majorEastAsia" w:cstheme="majorEastAsia"/>
          <w:color w:val="000000"/>
          <w:sz w:val="21"/>
          <w:szCs w:val="21"/>
          <w:shd w:val="clear" w:color="auto" w:fill="FFFFFF"/>
        </w:rPr>
        <w:t>考试均为选择题，考核分基础知识和专业技能两部分，均为上机考核，每题1分，总分100分，60分通过，每场考试120分钟；上午机考：70单选+30多选，下午机考：58单选+42多选。</w:t>
      </w:r>
    </w:p>
    <w:p>
      <w:pPr>
        <w:pStyle w:val="5"/>
        <w:widowControl/>
        <w:shd w:val="clear" w:color="auto" w:fill="FFFFFF"/>
        <w:spacing w:before="150" w:beforeAutospacing="0" w:after="150" w:afterAutospacing="0"/>
        <w:rPr>
          <w:rFonts w:ascii="Helvetica" w:hAnsi="Helvetica" w:eastAsia="Helvetica" w:cs="Helvetica"/>
          <w:b/>
          <w:bCs/>
          <w:color w:val="000000"/>
          <w:shd w:val="clear" w:color="auto" w:fill="FFFFFF"/>
        </w:rPr>
      </w:pPr>
      <w:r>
        <w:rPr>
          <w:rFonts w:hint="eastAsia" w:ascii="Helvetica" w:hAnsi="Helvetica" w:eastAsia="宋体" w:cs="Helvetica"/>
          <w:b/>
          <w:bCs/>
          <w:color w:val="000000"/>
          <w:shd w:val="clear" w:color="auto" w:fill="FFFFFF"/>
        </w:rPr>
        <w:t>8、健康管理师</w:t>
      </w:r>
      <w:r>
        <w:rPr>
          <w:rFonts w:ascii="Helvetica" w:hAnsi="Helvetica" w:eastAsia="Helvetica" w:cs="Helvetica"/>
          <w:b/>
          <w:bCs/>
          <w:color w:val="000000"/>
          <w:shd w:val="clear" w:color="auto" w:fill="FFFFFF"/>
        </w:rPr>
        <w:t>报考条件？</w:t>
      </w:r>
    </w:p>
    <w:p>
      <w:pPr>
        <w:pStyle w:val="5"/>
        <w:widowControl/>
        <w:shd w:val="clear" w:color="auto" w:fill="FFFFFF"/>
        <w:spacing w:before="150" w:beforeAutospacing="0" w:after="150" w:afterAutospacing="0"/>
        <w:rPr>
          <w:rFonts w:ascii="Helvetica" w:hAnsi="Helvetica" w:eastAsia="Helvetica" w:cs="Helvetica"/>
          <w:color w:val="000000"/>
          <w:sz w:val="21"/>
          <w:szCs w:val="21"/>
        </w:rPr>
      </w:pPr>
      <w:r>
        <w:rPr>
          <w:rFonts w:ascii="Helvetica" w:hAnsi="Helvetica" w:eastAsia="Helvetica" w:cs="Helvetica"/>
          <w:color w:val="000000"/>
          <w:sz w:val="21"/>
          <w:szCs w:val="21"/>
          <w:shd w:val="clear" w:color="auto" w:fill="FFFFFF"/>
        </w:rPr>
        <w:t>符合以下条件之一者都可以报名参加健康管理师（三级）培训和考试：</w:t>
      </w:r>
    </w:p>
    <w:p>
      <w:pPr>
        <w:pStyle w:val="5"/>
        <w:widowControl/>
        <w:shd w:val="clear" w:color="auto" w:fill="FFFFFF"/>
        <w:spacing w:before="150" w:beforeAutospacing="0" w:after="150" w:afterAutospacing="0"/>
        <w:rPr>
          <w:rFonts w:ascii="Helvetica" w:hAnsi="Helvetica" w:eastAsia="Helvetica" w:cs="Helvetica"/>
          <w:color w:val="000000"/>
          <w:sz w:val="21"/>
          <w:szCs w:val="21"/>
        </w:rPr>
      </w:pPr>
      <w:r>
        <w:rPr>
          <w:rFonts w:ascii="Helvetica" w:hAnsi="Helvetica" w:eastAsia="Helvetica" w:cs="Helvetica"/>
          <w:color w:val="000000"/>
          <w:sz w:val="21"/>
          <w:szCs w:val="21"/>
          <w:shd w:val="clear" w:color="auto" w:fill="FFFFFF"/>
        </w:rPr>
        <w:t>(1)具有医药卫生专业大学专科以上学历证书。</w:t>
      </w:r>
    </w:p>
    <w:p>
      <w:pPr>
        <w:pStyle w:val="5"/>
        <w:widowControl/>
        <w:shd w:val="clear" w:color="auto" w:fill="FFFFFF"/>
        <w:spacing w:before="150" w:beforeAutospacing="0" w:after="150" w:afterAutospacing="0"/>
        <w:rPr>
          <w:rFonts w:ascii="Helvetica" w:hAnsi="Helvetica" w:eastAsia="Helvetica" w:cs="Helvetica"/>
          <w:color w:val="000000"/>
          <w:sz w:val="21"/>
          <w:szCs w:val="21"/>
        </w:rPr>
      </w:pPr>
      <w:r>
        <w:rPr>
          <w:rFonts w:ascii="Helvetica" w:hAnsi="Helvetica" w:eastAsia="Helvetica" w:cs="Helvetica"/>
          <w:color w:val="000000"/>
          <w:sz w:val="21"/>
          <w:szCs w:val="21"/>
          <w:shd w:val="clear" w:color="auto" w:fill="FFFFFF"/>
        </w:rPr>
        <w:t>(2)具有非医药卫生专业大学专科以上学历证书，连续从事本职业或相关职业工作2年以上。</w:t>
      </w:r>
    </w:p>
    <w:p>
      <w:pPr>
        <w:pStyle w:val="5"/>
        <w:widowControl/>
        <w:shd w:val="clear" w:color="auto" w:fill="FFFFFF"/>
        <w:spacing w:before="150" w:beforeAutospacing="0" w:after="150" w:afterAutospacing="0"/>
        <w:rPr>
          <w:rFonts w:ascii="Helvetica" w:hAnsi="Helvetica" w:eastAsia="Helvetica" w:cs="Helvetica"/>
          <w:color w:val="000000"/>
          <w:sz w:val="21"/>
          <w:szCs w:val="21"/>
        </w:rPr>
      </w:pPr>
      <w:r>
        <w:rPr>
          <w:rFonts w:ascii="Helvetica" w:hAnsi="Helvetica" w:eastAsia="Helvetica" w:cs="Helvetica"/>
          <w:color w:val="000000"/>
          <w:sz w:val="21"/>
          <w:szCs w:val="21"/>
          <w:shd w:val="clear" w:color="auto" w:fill="FFFFFF"/>
        </w:rPr>
        <w:t>(3)具有医药卫生中等专科以上学历证书，连续从事本职业或相关职业工作3年以上。</w:t>
      </w:r>
    </w:p>
    <w:p>
      <w:pPr>
        <w:pStyle w:val="5"/>
        <w:widowControl/>
        <w:shd w:val="clear" w:color="auto" w:fill="FFFFFF"/>
        <w:spacing w:before="150" w:beforeAutospacing="0" w:after="150" w:afterAutospacing="0"/>
        <w:rPr>
          <w:rFonts w:ascii="Helvetica" w:hAnsi="Helvetica" w:eastAsia="Helvetica" w:cs="Helvetica"/>
          <w:color w:val="000000"/>
          <w:sz w:val="21"/>
          <w:szCs w:val="21"/>
        </w:rPr>
      </w:pPr>
      <w:r>
        <w:rPr>
          <w:rFonts w:hint="eastAsia" w:ascii="Helvetica" w:hAnsi="Helvetica" w:eastAsia="宋体" w:cs="Helvetica"/>
          <w:color w:val="000000"/>
          <w:sz w:val="21"/>
          <w:szCs w:val="21"/>
          <w:shd w:val="clear" w:color="auto" w:fill="FFFFFF"/>
        </w:rPr>
        <w:t>（4）以上条件均不满足的由报考机构出证明报考；</w:t>
      </w:r>
    </w:p>
    <w:p>
      <w:pPr>
        <w:pStyle w:val="5"/>
        <w:widowControl/>
        <w:shd w:val="clear" w:color="auto" w:fill="FFFFFF"/>
        <w:spacing w:before="150" w:beforeAutospacing="0" w:after="150" w:afterAutospacing="0"/>
        <w:rPr>
          <w:rFonts w:asciiTheme="majorEastAsia" w:hAnsiTheme="majorEastAsia" w:eastAsiaTheme="majorEastAsia" w:cstheme="majorEastAsia"/>
          <w:b/>
          <w:color w:val="000000"/>
        </w:rPr>
      </w:pPr>
      <w:r>
        <w:rPr>
          <w:rFonts w:hint="eastAsia" w:asciiTheme="majorEastAsia" w:hAnsiTheme="majorEastAsia" w:eastAsiaTheme="majorEastAsia" w:cstheme="majorEastAsia"/>
          <w:b/>
          <w:color w:val="000000"/>
          <w:shd w:val="clear" w:color="auto" w:fill="FFFFFF"/>
          <w:lang w:bidi="ar"/>
        </w:rPr>
        <w:t>9、复合型人才健康管理师，对各行各业都能带来哪些好处？</w:t>
      </w:r>
    </w:p>
    <w:p>
      <w:pPr>
        <w:pStyle w:val="5"/>
        <w:widowControl/>
        <w:shd w:val="clear" w:color="auto" w:fill="FFFFFF"/>
        <w:spacing w:before="150" w:beforeAutospacing="0" w:after="150" w:afterAutospacing="0"/>
        <w:rPr>
          <w:rFonts w:asciiTheme="majorEastAsia" w:hAnsiTheme="majorEastAsia" w:eastAsiaTheme="majorEastAsia" w:cstheme="majorEastAsia"/>
          <w:color w:val="000000"/>
          <w:sz w:val="21"/>
          <w:szCs w:val="21"/>
        </w:rPr>
      </w:pPr>
      <w:r>
        <w:rPr>
          <w:rFonts w:hint="eastAsia" w:ascii="Helvetica" w:hAnsi="Helvetica" w:eastAsia="宋体" w:cs="Helvetica"/>
          <w:b/>
          <w:bCs/>
          <w:color w:val="000000"/>
          <w:sz w:val="21"/>
          <w:szCs w:val="21"/>
          <w:shd w:val="clear" w:color="auto" w:fill="FFFFFF"/>
        </w:rPr>
        <w:t>（1）</w:t>
      </w:r>
      <w:r>
        <w:rPr>
          <w:rFonts w:ascii="Helvetica" w:hAnsi="Helvetica" w:eastAsia="Helvetica" w:cs="Helvetica"/>
          <w:b/>
          <w:bCs/>
          <w:color w:val="000000"/>
          <w:sz w:val="21"/>
          <w:szCs w:val="21"/>
          <w:shd w:val="clear" w:color="auto" w:fill="FFFFFF"/>
        </w:rPr>
        <w:t>对保健养生机构</w:t>
      </w:r>
      <w:r>
        <w:rPr>
          <w:rFonts w:hint="eastAsia" w:ascii="Helvetica" w:hAnsi="Helvetica" w:eastAsia="宋体" w:cs="Helvetica"/>
          <w:b/>
          <w:bCs/>
          <w:color w:val="000000"/>
          <w:sz w:val="21"/>
          <w:szCs w:val="21"/>
          <w:shd w:val="clear" w:color="auto" w:fill="FFFFFF"/>
        </w:rPr>
        <w:t>：</w:t>
      </w:r>
      <w:r>
        <w:rPr>
          <w:rFonts w:hint="eastAsia" w:asciiTheme="majorEastAsia" w:hAnsiTheme="majorEastAsia" w:eastAsiaTheme="majorEastAsia" w:cstheme="majorEastAsia"/>
          <w:color w:val="000000"/>
          <w:sz w:val="21"/>
          <w:szCs w:val="21"/>
          <w:shd w:val="clear" w:color="auto" w:fill="FFFFFF"/>
        </w:rPr>
        <w:t>13部门联合开展“百日行动”，重拳治理“保健”市场乱象！</w:t>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2019年1月7日，国家市场监督管理总局联合工业和信息化部、公安部、国家卫生健康委员会、国家中医药管理局、国家互联网信息办公室等13个部委联合印发了《联合整治“保健”市场乱象百日行动的通知》。</w:t>
      </w:r>
    </w:p>
    <w:p>
      <w:pPr>
        <w:widowControl/>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shd w:val="clear" w:color="auto" w:fill="FFFFFF"/>
        </w:rPr>
        <w:drawing>
          <wp:inline distT="0" distB="0" distL="114300" distR="114300">
            <wp:extent cx="5705475" cy="1638300"/>
            <wp:effectExtent l="9525" t="9525" r="19050" b="952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5"/>
                    <a:stretch>
                      <a:fillRect/>
                    </a:stretch>
                  </pic:blipFill>
                  <pic:spPr>
                    <a:xfrm>
                      <a:off x="0" y="0"/>
                      <a:ext cx="5705475" cy="1638300"/>
                    </a:xfrm>
                    <a:prstGeom prst="rect">
                      <a:avLst/>
                    </a:prstGeom>
                    <a:noFill/>
                    <a:ln w="9525">
                      <a:solidFill>
                        <a:srgbClr val="C00000"/>
                      </a:solidFill>
                    </a:ln>
                  </pic:spPr>
                </pic:pic>
              </a:graphicData>
            </a:graphic>
          </wp:inline>
        </w:drawing>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通知指出，近年来“保健”市场违法违规行为频频发生，已成了扰乱市场秩序，影响人民群众生命健康的严重社会问题，为此将于2019年1月8日起在全国部署开展“百日行动”重拳治理“保健”市场乱象！</w:t>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目前已有多家不合法养生馆被查封</w:t>
      </w:r>
    </w:p>
    <w:p>
      <w:pPr>
        <w:widowControl/>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shd w:val="clear" w:color="auto" w:fill="FFFFFF"/>
        </w:rPr>
        <w:drawing>
          <wp:inline distT="0" distB="0" distL="114300" distR="114300">
            <wp:extent cx="6096000" cy="3352800"/>
            <wp:effectExtent l="9525" t="9525" r="9525" b="9525"/>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16"/>
                    <a:stretch>
                      <a:fillRect/>
                    </a:stretch>
                  </pic:blipFill>
                  <pic:spPr>
                    <a:xfrm>
                      <a:off x="0" y="0"/>
                      <a:ext cx="6096000" cy="3352800"/>
                    </a:xfrm>
                    <a:prstGeom prst="rect">
                      <a:avLst/>
                    </a:prstGeom>
                    <a:noFill/>
                    <a:ln w="9525">
                      <a:solidFill>
                        <a:srgbClr val="C00000"/>
                      </a:solidFill>
                    </a:ln>
                  </pic:spPr>
                </pic:pic>
              </a:graphicData>
            </a:graphic>
          </wp:inline>
        </w:drawing>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没有相关从业资质的保健养生机构即将退出历史舞台，如果想要继续从业下去，健康管理师证是他必须的获得的一项从业资质。</w:t>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健康管理师被列为卫生行业特有职业（工种）归入卫生部进行管理，卫生部职业技能鉴定指导中心负责鉴定，是该职业国家职业资格唯一的认证单位。</w:t>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而申请营业执照后，必须要有卫生局认证的证书（健康管理师），证书全国通用，终生有效，不需年审，是从业人员求职、就业、升职和加薪的有效证书。</w:t>
      </w:r>
    </w:p>
    <w:p>
      <w:pPr>
        <w:pStyle w:val="5"/>
        <w:widowControl/>
        <w:shd w:val="clear" w:color="auto" w:fill="FFFFFF"/>
        <w:spacing w:before="150" w:beforeAutospacing="0" w:after="150" w:afterAutospacing="0"/>
        <w:rPr>
          <w:rFonts w:asciiTheme="majorEastAsia" w:hAnsiTheme="majorEastAsia" w:eastAsiaTheme="majorEastAsia" w:cstheme="majorEastAsia"/>
          <w:b/>
          <w:bCs/>
          <w:color w:val="000000"/>
          <w:sz w:val="21"/>
          <w:szCs w:val="21"/>
        </w:rPr>
      </w:pPr>
      <w:r>
        <w:rPr>
          <w:rFonts w:hint="eastAsia" w:asciiTheme="majorEastAsia" w:hAnsiTheme="majorEastAsia" w:eastAsiaTheme="majorEastAsia" w:cstheme="majorEastAsia"/>
          <w:b/>
          <w:bCs/>
          <w:color w:val="000000"/>
          <w:sz w:val="21"/>
          <w:szCs w:val="21"/>
          <w:shd w:val="clear" w:color="auto" w:fill="FFFFFF"/>
        </w:rPr>
        <w:t>（2）对保险行业：健康管理师起源于保险</w:t>
      </w:r>
    </w:p>
    <w:p>
      <w:pPr>
        <w:pStyle w:val="5"/>
        <w:widowControl/>
        <w:shd w:val="clear" w:color="auto" w:fill="FFFFFF"/>
        <w:spacing w:before="150" w:beforeAutospacing="0" w:after="150" w:afterAutospacing="0"/>
        <w:ind w:firstLine="585"/>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1929年美国蓝十字和蓝盾保险公司为了给大企业承保时不赔钱，于是就展开了对承保对象进行戒烟、限酒、多运动在内的生活方式管理，大大的减少了发病率，而这，就是最初的现代健康管理实践的雏形。</w:t>
      </w:r>
    </w:p>
    <w:p>
      <w:pPr>
        <w:widowControl/>
        <w:jc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shd w:val="clear" w:color="auto" w:fill="FFFFFF"/>
        </w:rPr>
        <w:drawing>
          <wp:inline distT="0" distB="0" distL="114300" distR="114300">
            <wp:extent cx="4762500" cy="4333875"/>
            <wp:effectExtent l="9525" t="9525" r="9525" b="19050"/>
            <wp:docPr id="1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8"/>
                    <pic:cNvPicPr>
                      <a:picLocks noChangeAspect="1"/>
                    </pic:cNvPicPr>
                  </pic:nvPicPr>
                  <pic:blipFill>
                    <a:blip r:embed="rId17"/>
                    <a:stretch>
                      <a:fillRect/>
                    </a:stretch>
                  </pic:blipFill>
                  <pic:spPr>
                    <a:xfrm>
                      <a:off x="0" y="0"/>
                      <a:ext cx="4762500" cy="4333875"/>
                    </a:xfrm>
                    <a:prstGeom prst="rect">
                      <a:avLst/>
                    </a:prstGeom>
                    <a:noFill/>
                    <a:ln w="9525">
                      <a:solidFill>
                        <a:srgbClr val="C00000"/>
                      </a:solidFill>
                    </a:ln>
                  </pic:spPr>
                </pic:pic>
              </a:graphicData>
            </a:graphic>
          </wp:inline>
        </w:drawing>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在美国健康产业占GDP的17%，其中健康服务占健康产业的65%以上，健康保险在健康服务产业中比重很高，而我国健康产业只占GDP的5%左右，发展空间巨大。根据我国居民健康现状来分析，健康保险市场是保险行业未来主要发展趋势。</w:t>
      </w:r>
    </w:p>
    <w:p>
      <w:pPr>
        <w:pStyle w:val="5"/>
        <w:widowControl/>
        <w:shd w:val="clear" w:color="auto" w:fill="FFFFFF"/>
        <w:spacing w:before="150" w:beforeAutospacing="0" w:after="150" w:afterAutospacing="0"/>
        <w:rPr>
          <w:rFonts w:asciiTheme="majorEastAsia" w:hAnsiTheme="majorEastAsia" w:eastAsiaTheme="majorEastAsia" w:cstheme="majorEastAsia"/>
          <w:b/>
          <w:bCs/>
          <w:color w:val="000000"/>
          <w:sz w:val="21"/>
          <w:szCs w:val="21"/>
        </w:rPr>
      </w:pPr>
      <w:r>
        <w:rPr>
          <w:rFonts w:hint="eastAsia" w:asciiTheme="majorEastAsia" w:hAnsiTheme="majorEastAsia" w:eastAsiaTheme="majorEastAsia" w:cstheme="majorEastAsia"/>
          <w:b/>
          <w:bCs/>
          <w:color w:val="000000"/>
          <w:sz w:val="21"/>
          <w:szCs w:val="21"/>
          <w:shd w:val="clear" w:color="auto" w:fill="FFFFFF"/>
        </w:rPr>
        <w:t>（3）对护士：护士多点执业的需要</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今年，国家卫计委国家卫计委印发了《关于开展医疗联合体建设试点工作的指导意见》，要求形成诊疗-康复-长期护理连续服务模式。鼓励护理院、康复医院、社会力量举办医疗机构等加入医联体，建立医联体内转诊机制，为患者提供疾病诊疗-康复-长期护理连续性服务。</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健康护理服务需求日益多层次、多样化，护理服务内涵及外延逐步发生变化，初级卫生保健、健康管理、老年护理、慢病护理、安宁护理、急症期患者出院后延续护理等需求增多。</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医养结合、社会资本办医、“互联网+护理”等健康服务业迅速发展进一步拓展了护理服务领域，护理服务逐步从机构延伸到社区、家庭。</w:t>
      </w:r>
    </w:p>
    <w:p>
      <w:pPr>
        <w:pStyle w:val="5"/>
        <w:widowControl/>
        <w:shd w:val="clear" w:color="auto" w:fill="FFFFFF"/>
        <w:spacing w:before="150" w:beforeAutospacing="0" w:after="150" w:afterAutospacing="0"/>
        <w:rPr>
          <w:rFonts w:asciiTheme="majorEastAsia" w:hAnsiTheme="majorEastAsia" w:eastAsiaTheme="majorEastAsia" w:cstheme="majorEastAsia"/>
          <w:b/>
          <w:bCs/>
          <w:color w:val="000000"/>
          <w:sz w:val="21"/>
          <w:szCs w:val="21"/>
        </w:rPr>
      </w:pPr>
      <w:r>
        <w:rPr>
          <w:rFonts w:hint="eastAsia" w:asciiTheme="majorEastAsia" w:hAnsiTheme="majorEastAsia" w:eastAsiaTheme="majorEastAsia" w:cstheme="majorEastAsia"/>
          <w:b/>
          <w:bCs/>
          <w:color w:val="000000"/>
          <w:sz w:val="21"/>
          <w:szCs w:val="21"/>
          <w:shd w:val="clear" w:color="auto" w:fill="FFFFFF"/>
        </w:rPr>
        <w:t>（4）职场发展的需要</w:t>
      </w:r>
    </w:p>
    <w:p>
      <w:pPr>
        <w:pStyle w:val="5"/>
        <w:widowControl/>
        <w:shd w:val="clear" w:color="auto" w:fill="FFFFFF"/>
        <w:spacing w:before="150" w:beforeAutospacing="0" w:after="150" w:afterAutospacing="0"/>
        <w:ind w:firstLine="420" w:firstLineChars="200"/>
        <w:rPr>
          <w:rFonts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shd w:val="clear" w:color="auto" w:fill="FFFFFF"/>
        </w:rPr>
        <w:t>健康产业的大力发展必将使医院涉足其中，健康管理、健康指导、健康评估等等也必将成为医院发展方向之一。</w:t>
      </w:r>
    </w:p>
    <w:p>
      <w:pPr>
        <w:pStyle w:val="5"/>
        <w:widowControl/>
        <w:shd w:val="clear" w:color="auto" w:fill="FFFFFF"/>
        <w:spacing w:before="150" w:beforeAutospacing="0" w:after="150" w:afterAutospacing="0"/>
        <w:ind w:firstLine="585"/>
      </w:pPr>
      <w:r>
        <w:rPr>
          <w:rFonts w:hint="eastAsia" w:asciiTheme="majorEastAsia" w:hAnsiTheme="majorEastAsia" w:eastAsiaTheme="majorEastAsia" w:cstheme="majorEastAsia"/>
          <w:color w:val="000000"/>
          <w:sz w:val="21"/>
          <w:szCs w:val="21"/>
          <w:shd w:val="clear" w:color="auto" w:fill="FFFFFF"/>
        </w:rPr>
        <w:t>随着我国人口老龄化的加重及医改的逐步深入，即使在医疗机构工作，无论是国家政策要求，还是经济效益使然，健康管理必将成为重点的发展方向之一。</w:t>
      </w:r>
    </w:p>
    <w:p>
      <w:pPr>
        <w:pStyle w:val="5"/>
        <w:widowControl/>
        <w:shd w:val="clear" w:color="auto" w:fill="FFFFFF"/>
        <w:spacing w:before="150" w:beforeAutospacing="0" w:after="150" w:afterAutospacing="0"/>
        <w:ind w:firstLine="240" w:firstLineChars="100"/>
        <w:rPr>
          <w:rFonts w:ascii="Helvetica" w:hAnsi="Helvetica" w:eastAsia="Helvetica" w:cs="Helvetica"/>
          <w:b/>
          <w:bCs/>
          <w:color w:val="000000"/>
          <w:shd w:val="clear" w:color="auto" w:fill="FFFFFF"/>
        </w:rPr>
      </w:pPr>
      <w:r>
        <w:rPr>
          <w:rFonts w:ascii="Helvetica" w:hAnsi="Helvetica" w:eastAsia="Helvetica" w:cs="Helvetica"/>
          <w:b/>
          <w:bCs/>
          <w:color w:val="000000"/>
          <w:shd w:val="clear" w:color="auto" w:fill="FFFFFF"/>
        </w:rPr>
        <w:t>含金量大揭秘</w:t>
      </w:r>
      <w:r>
        <w:rPr>
          <w:rFonts w:hint="eastAsia" w:ascii="Helvetica" w:hAnsi="Helvetica" w:eastAsia="宋体" w:cs="Helvetica"/>
          <w:b/>
          <w:bCs/>
          <w:color w:val="000000"/>
          <w:shd w:val="clear" w:color="auto" w:fill="FFFFFF"/>
        </w:rPr>
        <w:t>：</w:t>
      </w:r>
      <w:r>
        <w:rPr>
          <w:rFonts w:ascii="Helvetica" w:hAnsi="Helvetica" w:eastAsia="Helvetica" w:cs="Helvetica"/>
          <w:b/>
          <w:bCs/>
          <w:color w:val="000000"/>
          <w:shd w:val="clear" w:color="auto" w:fill="FFFFFF"/>
        </w:rPr>
        <w:t>业内人士预测道：“健康产业下一个五年大概有20万亿。</w:t>
      </w:r>
    </w:p>
    <w:p>
      <w:pPr>
        <w:pStyle w:val="5"/>
        <w:widowControl/>
        <w:shd w:val="clear" w:color="auto" w:fill="FFFFFF"/>
        <w:spacing w:before="150" w:beforeAutospacing="0" w:after="150" w:afterAutospacing="0"/>
        <w:rPr>
          <w:rFonts w:ascii="Helvetica" w:hAnsi="Helvetica" w:eastAsia="Helvetica" w:cs="Helvetica"/>
          <w:b/>
          <w:bCs/>
          <w:color w:val="000000"/>
          <w:sz w:val="28"/>
          <w:szCs w:val="28"/>
          <w:shd w:val="clear" w:color="auto" w:fill="FFFFFF"/>
        </w:rPr>
      </w:pPr>
    </w:p>
    <w:p>
      <w:pPr>
        <w:pStyle w:val="5"/>
        <w:widowControl/>
        <w:shd w:val="clear" w:color="auto" w:fill="FFFFFF"/>
        <w:spacing w:before="150" w:beforeAutospacing="0" w:after="150" w:afterAutospacing="0"/>
        <w:rPr>
          <w:rFonts w:ascii="Helvetica" w:hAnsi="Helvetica" w:eastAsia="宋体" w:cs="Helvetica"/>
          <w:b/>
          <w:bCs/>
          <w:color w:val="000000"/>
          <w:sz w:val="28"/>
          <w:szCs w:val="28"/>
          <w:shd w:val="clear" w:color="auto" w:fill="FFFFFF"/>
        </w:rPr>
      </w:pPr>
      <w:r>
        <w:rPr>
          <w:rFonts w:hint="eastAsia" w:ascii="Helvetica" w:hAnsi="Helvetica" w:eastAsia="宋体" w:cs="Helvetica"/>
          <w:b/>
          <w:bCs/>
          <w:color w:val="000000"/>
          <w:sz w:val="28"/>
          <w:szCs w:val="28"/>
          <w:shd w:val="clear" w:color="auto" w:fill="FFFFFF"/>
        </w:rPr>
        <w:t>三、课程大纲</w:t>
      </w:r>
    </w:p>
    <w:tbl>
      <w:tblPr>
        <w:tblStyle w:val="6"/>
        <w:tblW w:w="10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800"/>
        <w:gridCol w:w="5400"/>
        <w:gridCol w:w="903"/>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Align w:val="center"/>
          </w:tcPr>
          <w:p>
            <w:pPr>
              <w:spacing w:line="460" w:lineRule="exact"/>
              <w:jc w:val="center"/>
              <w:rPr>
                <w:sz w:val="24"/>
              </w:rPr>
            </w:pPr>
            <w:r>
              <w:rPr>
                <w:rFonts w:hint="eastAsia"/>
                <w:sz w:val="24"/>
              </w:rPr>
              <w:t>章</w:t>
            </w:r>
          </w:p>
        </w:tc>
        <w:tc>
          <w:tcPr>
            <w:tcW w:w="1800" w:type="dxa"/>
            <w:vAlign w:val="center"/>
          </w:tcPr>
          <w:p>
            <w:pPr>
              <w:spacing w:line="460" w:lineRule="exact"/>
              <w:jc w:val="center"/>
              <w:rPr>
                <w:sz w:val="24"/>
              </w:rPr>
            </w:pPr>
            <w:r>
              <w:rPr>
                <w:rFonts w:hint="eastAsia"/>
                <w:sz w:val="24"/>
              </w:rPr>
              <w:t>节</w:t>
            </w:r>
          </w:p>
        </w:tc>
        <w:tc>
          <w:tcPr>
            <w:tcW w:w="5400" w:type="dxa"/>
            <w:vAlign w:val="center"/>
          </w:tcPr>
          <w:p>
            <w:pPr>
              <w:spacing w:line="460" w:lineRule="exact"/>
              <w:jc w:val="center"/>
              <w:rPr>
                <w:sz w:val="24"/>
              </w:rPr>
            </w:pPr>
            <w:r>
              <w:rPr>
                <w:rFonts w:hint="eastAsia"/>
                <w:sz w:val="24"/>
              </w:rPr>
              <w:t>培训点</w:t>
            </w:r>
          </w:p>
        </w:tc>
        <w:tc>
          <w:tcPr>
            <w:tcW w:w="1455" w:type="dxa"/>
            <w:gridSpan w:val="2"/>
            <w:vAlign w:val="center"/>
          </w:tcPr>
          <w:p>
            <w:pPr>
              <w:spacing w:line="460" w:lineRule="exact"/>
              <w:jc w:val="center"/>
              <w:rPr>
                <w:sz w:val="24"/>
              </w:rPr>
            </w:pPr>
            <w:r>
              <w:rPr>
                <w:rFonts w:hint="eastAsia"/>
                <w:sz w:val="24"/>
              </w:rPr>
              <w:t>掌握</w:t>
            </w:r>
          </w:p>
          <w:p>
            <w:pPr>
              <w:spacing w:line="460" w:lineRule="exact"/>
              <w:jc w:val="center"/>
              <w:rPr>
                <w:sz w:val="24"/>
              </w:rPr>
            </w:pPr>
            <w:r>
              <w:rPr>
                <w:rFonts w:hint="eastAsia"/>
                <w:sz w:val="24"/>
              </w:rPr>
              <w:t>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restart"/>
            <w:vAlign w:val="center"/>
          </w:tcPr>
          <w:p>
            <w:pPr>
              <w:spacing w:line="460" w:lineRule="exact"/>
              <w:jc w:val="center"/>
              <w:rPr>
                <w:sz w:val="24"/>
              </w:rPr>
            </w:pPr>
            <w:r>
              <w:rPr>
                <w:rFonts w:hint="eastAsia"/>
                <w:sz w:val="24"/>
              </w:rPr>
              <w:t>第一章</w:t>
            </w:r>
          </w:p>
          <w:p>
            <w:pPr>
              <w:spacing w:line="460" w:lineRule="exact"/>
              <w:jc w:val="center"/>
              <w:rPr>
                <w:sz w:val="24"/>
              </w:rPr>
            </w:pPr>
            <w:r>
              <w:rPr>
                <w:rFonts w:hint="eastAsia"/>
                <w:sz w:val="24"/>
              </w:rPr>
              <w:t>健康管理概论</w:t>
            </w:r>
          </w:p>
        </w:tc>
        <w:tc>
          <w:tcPr>
            <w:tcW w:w="1800" w:type="dxa"/>
            <w:vMerge w:val="restart"/>
            <w:vAlign w:val="center"/>
          </w:tcPr>
          <w:p>
            <w:pPr>
              <w:spacing w:line="460" w:lineRule="exact"/>
              <w:jc w:val="center"/>
              <w:rPr>
                <w:sz w:val="24"/>
              </w:rPr>
            </w:pPr>
            <w:r>
              <w:rPr>
                <w:rFonts w:hint="eastAsia"/>
                <w:sz w:val="24"/>
              </w:rPr>
              <w:t>健康管师</w:t>
            </w:r>
          </w:p>
          <w:p>
            <w:pPr>
              <w:spacing w:line="460" w:lineRule="exact"/>
              <w:jc w:val="center"/>
              <w:rPr>
                <w:sz w:val="24"/>
              </w:rPr>
            </w:pPr>
            <w:r>
              <w:rPr>
                <w:rFonts w:hint="eastAsia"/>
                <w:sz w:val="24"/>
              </w:rPr>
              <w:t>标准介绍</w:t>
            </w:r>
          </w:p>
        </w:tc>
        <w:tc>
          <w:tcPr>
            <w:tcW w:w="5400" w:type="dxa"/>
          </w:tcPr>
          <w:p>
            <w:pPr>
              <w:spacing w:line="460" w:lineRule="exact"/>
              <w:rPr>
                <w:sz w:val="24"/>
              </w:rPr>
            </w:pPr>
            <w:r>
              <w:rPr>
                <w:rFonts w:hint="eastAsia"/>
                <w:sz w:val="24"/>
              </w:rPr>
              <w:t>健康管理师职业定义</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健康管理师职业等级</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健康管理师职业功能</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健康管理师职业特点</w:t>
            </w:r>
          </w:p>
        </w:tc>
        <w:tc>
          <w:tcPr>
            <w:tcW w:w="1455" w:type="dxa"/>
            <w:gridSpan w:val="2"/>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健康管理师职业道德</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指导、培训概念</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健康管理师职业申报条件</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健康管理师职业基本要求</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健康管理师职业能力要求</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发展前景</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面临挑战</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健康管理</w:t>
            </w:r>
          </w:p>
          <w:p>
            <w:pPr>
              <w:spacing w:line="460" w:lineRule="exact"/>
              <w:jc w:val="center"/>
              <w:rPr>
                <w:sz w:val="24"/>
              </w:rPr>
            </w:pPr>
            <w:r>
              <w:rPr>
                <w:rFonts w:hint="eastAsia"/>
                <w:sz w:val="24"/>
              </w:rPr>
              <w:t>基本概念</w:t>
            </w:r>
          </w:p>
        </w:tc>
        <w:tc>
          <w:tcPr>
            <w:tcW w:w="5400" w:type="dxa"/>
          </w:tcPr>
          <w:p>
            <w:pPr>
              <w:spacing w:line="460" w:lineRule="exact"/>
              <w:rPr>
                <w:sz w:val="24"/>
              </w:rPr>
            </w:pPr>
            <w:r>
              <w:rPr>
                <w:rFonts w:hint="eastAsia"/>
                <w:sz w:val="24"/>
              </w:rPr>
              <w:t>健康管理定义</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健康管理科学基础</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健康管理特点</w:t>
            </w:r>
          </w:p>
        </w:tc>
        <w:tc>
          <w:tcPr>
            <w:tcW w:w="1455" w:type="dxa"/>
            <w:gridSpan w:val="2"/>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健康管理基本步骤</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健康管理常用服务流程</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健康管理在国外的应用</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健康管理和相关学科关系</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健康管理</w:t>
            </w:r>
          </w:p>
          <w:p>
            <w:pPr>
              <w:spacing w:line="460" w:lineRule="exact"/>
              <w:jc w:val="center"/>
              <w:rPr>
                <w:sz w:val="24"/>
              </w:rPr>
            </w:pPr>
            <w:r>
              <w:rPr>
                <w:rFonts w:hint="eastAsia"/>
                <w:sz w:val="24"/>
              </w:rPr>
              <w:t>基本策略</w:t>
            </w:r>
          </w:p>
        </w:tc>
        <w:tc>
          <w:tcPr>
            <w:tcW w:w="5400" w:type="dxa"/>
          </w:tcPr>
          <w:p>
            <w:pPr>
              <w:spacing w:line="460" w:lineRule="exact"/>
              <w:rPr>
                <w:sz w:val="24"/>
              </w:rPr>
            </w:pPr>
            <w:r>
              <w:rPr>
                <w:rFonts w:hint="eastAsia"/>
                <w:sz w:val="24"/>
              </w:rPr>
              <w:t>健康管理基本策略</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生活方式管理概念和特点</w:t>
            </w:r>
          </w:p>
        </w:tc>
        <w:tc>
          <w:tcPr>
            <w:tcW w:w="1455" w:type="dxa"/>
            <w:gridSpan w:val="2"/>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健康管理</w:t>
            </w:r>
          </w:p>
          <w:p>
            <w:pPr>
              <w:spacing w:line="460" w:lineRule="exact"/>
              <w:jc w:val="center"/>
              <w:rPr>
                <w:sz w:val="24"/>
              </w:rPr>
            </w:pPr>
            <w:r>
              <w:rPr>
                <w:rFonts w:hint="eastAsia"/>
                <w:sz w:val="24"/>
              </w:rPr>
              <w:t>的应用</w:t>
            </w:r>
          </w:p>
        </w:tc>
        <w:tc>
          <w:tcPr>
            <w:tcW w:w="5400" w:type="dxa"/>
          </w:tcPr>
          <w:p>
            <w:pPr>
              <w:spacing w:line="460" w:lineRule="exact"/>
              <w:rPr>
                <w:sz w:val="24"/>
              </w:rPr>
            </w:pPr>
            <w:r>
              <w:rPr>
                <w:rFonts w:hint="eastAsia"/>
                <w:sz w:val="24"/>
              </w:rPr>
              <w:t>中国对健康管理的需求</w:t>
            </w:r>
          </w:p>
        </w:tc>
        <w:tc>
          <w:tcPr>
            <w:tcW w:w="1455" w:type="dxa"/>
            <w:gridSpan w:val="2"/>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健康管理发展现状</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5400" w:type="dxa"/>
          </w:tcPr>
          <w:p>
            <w:pPr>
              <w:spacing w:line="460" w:lineRule="exact"/>
              <w:rPr>
                <w:sz w:val="24"/>
              </w:rPr>
            </w:pPr>
            <w:r>
              <w:rPr>
                <w:rFonts w:hint="eastAsia"/>
                <w:sz w:val="24"/>
              </w:rPr>
              <w:t>健康管理应用前景</w:t>
            </w:r>
          </w:p>
        </w:tc>
        <w:tc>
          <w:tcPr>
            <w:tcW w:w="1455" w:type="dxa"/>
            <w:gridSpan w:val="2"/>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restart"/>
            <w:vAlign w:val="center"/>
          </w:tcPr>
          <w:p>
            <w:pPr>
              <w:spacing w:line="460" w:lineRule="exact"/>
              <w:jc w:val="center"/>
              <w:rPr>
                <w:sz w:val="24"/>
              </w:rPr>
            </w:pPr>
            <w:r>
              <w:rPr>
                <w:rFonts w:hint="eastAsia"/>
                <w:sz w:val="24"/>
              </w:rPr>
              <w:t>第二章</w:t>
            </w:r>
          </w:p>
          <w:p>
            <w:pPr>
              <w:spacing w:line="460" w:lineRule="exact"/>
              <w:jc w:val="center"/>
              <w:rPr>
                <w:sz w:val="24"/>
              </w:rPr>
            </w:pPr>
            <w:r>
              <w:rPr>
                <w:rFonts w:hint="eastAsia"/>
                <w:sz w:val="24"/>
              </w:rPr>
              <w:t>流行病学和统计学基础</w:t>
            </w:r>
          </w:p>
        </w:tc>
        <w:tc>
          <w:tcPr>
            <w:tcW w:w="1800" w:type="dxa"/>
            <w:vMerge w:val="restart"/>
            <w:vAlign w:val="center"/>
          </w:tcPr>
          <w:p>
            <w:pPr>
              <w:spacing w:line="460" w:lineRule="exact"/>
              <w:jc w:val="center"/>
              <w:rPr>
                <w:sz w:val="24"/>
              </w:rPr>
            </w:pPr>
            <w:r>
              <w:rPr>
                <w:rFonts w:hint="eastAsia"/>
                <w:sz w:val="24"/>
              </w:rPr>
              <w:t>流行病学的</w:t>
            </w:r>
          </w:p>
          <w:p>
            <w:pPr>
              <w:spacing w:line="460" w:lineRule="exact"/>
              <w:jc w:val="center"/>
              <w:rPr>
                <w:sz w:val="24"/>
              </w:rPr>
            </w:pPr>
            <w:r>
              <w:rPr>
                <w:rFonts w:hint="eastAsia"/>
                <w:sz w:val="24"/>
              </w:rPr>
              <w:t>基本知识</w:t>
            </w:r>
          </w:p>
        </w:tc>
        <w:tc>
          <w:tcPr>
            <w:tcW w:w="6303" w:type="dxa"/>
            <w:gridSpan w:val="2"/>
          </w:tcPr>
          <w:p>
            <w:pPr>
              <w:spacing w:line="460" w:lineRule="exact"/>
              <w:rPr>
                <w:sz w:val="24"/>
              </w:rPr>
            </w:pPr>
            <w:r>
              <w:rPr>
                <w:rFonts w:hint="eastAsia"/>
                <w:sz w:val="24"/>
              </w:rPr>
              <w:t>定义</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基本研究方法</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应用</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常用指标：率和比、发病指标、死亡指标</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常用研究方法—现况调查</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常用研究方法—病例对照研究（比值比）</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常用研究方法—队例研究（相对危险度、归因危险度）</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常用研究方法—诊断试验（灵敏度、特异度、预测值）</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医学统计学</w:t>
            </w:r>
          </w:p>
          <w:p>
            <w:pPr>
              <w:spacing w:line="460" w:lineRule="exact"/>
              <w:jc w:val="center"/>
              <w:rPr>
                <w:sz w:val="24"/>
              </w:rPr>
            </w:pPr>
            <w:r>
              <w:rPr>
                <w:rFonts w:hint="eastAsia"/>
                <w:sz w:val="24"/>
              </w:rPr>
              <w:t>基本知识</w:t>
            </w:r>
          </w:p>
        </w:tc>
        <w:tc>
          <w:tcPr>
            <w:tcW w:w="6303" w:type="dxa"/>
            <w:gridSpan w:val="2"/>
          </w:tcPr>
          <w:p>
            <w:pPr>
              <w:spacing w:line="460" w:lineRule="exact"/>
              <w:rPr>
                <w:sz w:val="24"/>
              </w:rPr>
            </w:pPr>
            <w:r>
              <w:rPr>
                <w:rFonts w:hint="eastAsia"/>
                <w:sz w:val="24"/>
              </w:rPr>
              <w:t>定义、主要研究内容、工作步骤、重要概念</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统计描述（统计图表、资料类型）</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统计推理的原理、步骤、注意事项</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数值变量的统计推理——t检验</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分类变量的统计推断（X</w:t>
            </w:r>
            <w:r>
              <w:rPr>
                <w:rFonts w:hint="eastAsia"/>
                <w:sz w:val="24"/>
                <w:vertAlign w:val="superscript"/>
              </w:rPr>
              <w:t>2</w:t>
            </w:r>
            <w:r>
              <w:rPr>
                <w:rFonts w:hint="eastAsia"/>
                <w:sz w:val="24"/>
              </w:rPr>
              <w:t>检验）</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分级预防的</w:t>
            </w:r>
          </w:p>
          <w:p>
            <w:pPr>
              <w:spacing w:line="460" w:lineRule="exact"/>
              <w:jc w:val="center"/>
              <w:rPr>
                <w:sz w:val="24"/>
              </w:rPr>
            </w:pPr>
            <w:r>
              <w:rPr>
                <w:rFonts w:hint="eastAsia"/>
                <w:sz w:val="24"/>
              </w:rPr>
              <w:t>概念</w:t>
            </w:r>
          </w:p>
        </w:tc>
        <w:tc>
          <w:tcPr>
            <w:tcW w:w="6303" w:type="dxa"/>
            <w:gridSpan w:val="2"/>
          </w:tcPr>
          <w:p>
            <w:pPr>
              <w:spacing w:line="460" w:lineRule="exact"/>
              <w:rPr>
                <w:sz w:val="24"/>
              </w:rPr>
            </w:pPr>
            <w:r>
              <w:rPr>
                <w:rFonts w:hint="eastAsia"/>
                <w:sz w:val="24"/>
              </w:rPr>
              <w:t>一级预防基本概念</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二级预防基本概念</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三级预防基本概念</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循证医学</w:t>
            </w:r>
          </w:p>
          <w:p>
            <w:pPr>
              <w:spacing w:line="460" w:lineRule="exact"/>
              <w:jc w:val="center"/>
              <w:rPr>
                <w:sz w:val="24"/>
              </w:rPr>
            </w:pPr>
            <w:r>
              <w:rPr>
                <w:rFonts w:hint="eastAsia"/>
                <w:sz w:val="24"/>
              </w:rPr>
              <w:t>基本概念</w:t>
            </w:r>
          </w:p>
        </w:tc>
        <w:tc>
          <w:tcPr>
            <w:tcW w:w="6303" w:type="dxa"/>
            <w:gridSpan w:val="2"/>
          </w:tcPr>
          <w:p>
            <w:pPr>
              <w:spacing w:line="460" w:lineRule="exact"/>
              <w:rPr>
                <w:sz w:val="24"/>
              </w:rPr>
            </w:pPr>
            <w:r>
              <w:rPr>
                <w:rFonts w:hint="eastAsia"/>
                <w:sz w:val="24"/>
              </w:rPr>
              <w:t>循证医学、循证保健基本概念</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循证的证据等级</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如何提出问题、检索文献寻找证据、评价证据、应用证据</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restart"/>
            <w:vAlign w:val="center"/>
          </w:tcPr>
          <w:p>
            <w:pPr>
              <w:spacing w:line="460" w:lineRule="exact"/>
              <w:jc w:val="center"/>
              <w:rPr>
                <w:sz w:val="24"/>
              </w:rPr>
            </w:pPr>
            <w:r>
              <w:rPr>
                <w:rFonts w:hint="eastAsia"/>
                <w:sz w:val="24"/>
              </w:rPr>
              <w:t>第三章</w:t>
            </w:r>
          </w:p>
          <w:p>
            <w:pPr>
              <w:spacing w:line="460" w:lineRule="exact"/>
              <w:jc w:val="center"/>
              <w:rPr>
                <w:sz w:val="24"/>
              </w:rPr>
            </w:pPr>
            <w:r>
              <w:rPr>
                <w:rFonts w:hint="eastAsia"/>
                <w:sz w:val="24"/>
              </w:rPr>
              <w:t>健康教育</w:t>
            </w:r>
          </w:p>
          <w:p>
            <w:pPr>
              <w:spacing w:line="460" w:lineRule="exact"/>
              <w:jc w:val="center"/>
              <w:rPr>
                <w:sz w:val="24"/>
              </w:rPr>
            </w:pPr>
            <w:r>
              <w:rPr>
                <w:rFonts w:hint="eastAsia"/>
                <w:sz w:val="24"/>
              </w:rPr>
              <w:t>基本理论</w:t>
            </w:r>
          </w:p>
          <w:p>
            <w:pPr>
              <w:spacing w:line="460" w:lineRule="exact"/>
              <w:jc w:val="center"/>
              <w:rPr>
                <w:sz w:val="24"/>
              </w:rPr>
            </w:pPr>
            <w:r>
              <w:rPr>
                <w:rFonts w:hint="eastAsia"/>
                <w:sz w:val="24"/>
              </w:rPr>
              <w:t>与方法</w:t>
            </w:r>
          </w:p>
        </w:tc>
        <w:tc>
          <w:tcPr>
            <w:tcW w:w="1800" w:type="dxa"/>
            <w:vMerge w:val="restart"/>
            <w:vAlign w:val="center"/>
          </w:tcPr>
          <w:p>
            <w:pPr>
              <w:spacing w:line="460" w:lineRule="exact"/>
              <w:jc w:val="center"/>
              <w:rPr>
                <w:sz w:val="24"/>
              </w:rPr>
            </w:pPr>
            <w:r>
              <w:rPr>
                <w:rFonts w:hint="eastAsia"/>
                <w:sz w:val="24"/>
              </w:rPr>
              <w:t>健康教育</w:t>
            </w:r>
          </w:p>
          <w:p>
            <w:pPr>
              <w:spacing w:line="460" w:lineRule="exact"/>
              <w:jc w:val="center"/>
              <w:rPr>
                <w:sz w:val="24"/>
              </w:rPr>
            </w:pPr>
            <w:r>
              <w:rPr>
                <w:rFonts w:hint="eastAsia"/>
                <w:sz w:val="24"/>
              </w:rPr>
              <w:t>基本概念</w:t>
            </w:r>
          </w:p>
        </w:tc>
        <w:tc>
          <w:tcPr>
            <w:tcW w:w="6303" w:type="dxa"/>
            <w:gridSpan w:val="2"/>
          </w:tcPr>
          <w:p>
            <w:pPr>
              <w:spacing w:line="460" w:lineRule="exact"/>
              <w:rPr>
                <w:sz w:val="24"/>
              </w:rPr>
            </w:pPr>
            <w:r>
              <w:rPr>
                <w:rFonts w:hint="eastAsia"/>
                <w:sz w:val="24"/>
              </w:rPr>
              <w:t>健康教育的概念</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健康促进的概念与方法</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行为的形成和发展的影响因素</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健康相关行为改变理论—知言行，自我效能，行为分阶段改变理论等</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rPr>
                <w:sz w:val="24"/>
              </w:rPr>
            </w:pPr>
            <w:r>
              <w:rPr>
                <w:rFonts w:hint="eastAsia"/>
                <w:sz w:val="24"/>
              </w:rPr>
              <w:t>健康教育方法</w:t>
            </w:r>
          </w:p>
        </w:tc>
        <w:tc>
          <w:tcPr>
            <w:tcW w:w="6303" w:type="dxa"/>
            <w:gridSpan w:val="2"/>
          </w:tcPr>
          <w:p>
            <w:pPr>
              <w:spacing w:line="460" w:lineRule="exact"/>
              <w:rPr>
                <w:sz w:val="24"/>
              </w:rPr>
            </w:pPr>
            <w:r>
              <w:rPr>
                <w:rFonts w:hint="eastAsia"/>
                <w:sz w:val="24"/>
              </w:rPr>
              <w:t>健康信息传播：分类、各自的特点、方法与技巧及影响因素</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健康教育工作方法：定量、定性及干预教育方法</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健康教育计划设计、实施及效果评价</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行为干预</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tcPr>
          <w:p>
            <w:pPr>
              <w:spacing w:line="460" w:lineRule="exact"/>
              <w:rPr>
                <w:sz w:val="24"/>
              </w:rPr>
            </w:pPr>
          </w:p>
        </w:tc>
        <w:tc>
          <w:tcPr>
            <w:tcW w:w="1800" w:type="dxa"/>
          </w:tcPr>
          <w:p>
            <w:pPr>
              <w:spacing w:line="460" w:lineRule="exact"/>
              <w:rPr>
                <w:sz w:val="24"/>
              </w:rPr>
            </w:pPr>
            <w:r>
              <w:rPr>
                <w:rFonts w:hint="eastAsia"/>
                <w:sz w:val="24"/>
              </w:rPr>
              <w:t>健康干预概述</w:t>
            </w:r>
          </w:p>
        </w:tc>
        <w:tc>
          <w:tcPr>
            <w:tcW w:w="6303" w:type="dxa"/>
            <w:gridSpan w:val="2"/>
          </w:tcPr>
          <w:p>
            <w:pPr>
              <w:spacing w:line="460" w:lineRule="exact"/>
              <w:rPr>
                <w:sz w:val="24"/>
              </w:rPr>
            </w:pPr>
            <w:r>
              <w:rPr>
                <w:rFonts w:hint="eastAsia"/>
                <w:sz w:val="24"/>
              </w:rPr>
              <w:t>概念、类型和方法</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restart"/>
            <w:vAlign w:val="center"/>
          </w:tcPr>
          <w:p>
            <w:pPr>
              <w:spacing w:line="460" w:lineRule="exact"/>
              <w:jc w:val="center"/>
              <w:rPr>
                <w:sz w:val="24"/>
              </w:rPr>
            </w:pPr>
            <w:r>
              <w:rPr>
                <w:rFonts w:hint="eastAsia"/>
                <w:sz w:val="24"/>
              </w:rPr>
              <w:t>第四章</w:t>
            </w:r>
          </w:p>
          <w:p>
            <w:pPr>
              <w:spacing w:line="460" w:lineRule="exact"/>
              <w:jc w:val="center"/>
              <w:rPr>
                <w:sz w:val="24"/>
              </w:rPr>
            </w:pPr>
            <w:r>
              <w:rPr>
                <w:rFonts w:hint="eastAsia"/>
                <w:sz w:val="24"/>
              </w:rPr>
              <w:t>健康干预</w:t>
            </w:r>
          </w:p>
          <w:p>
            <w:pPr>
              <w:spacing w:line="460" w:lineRule="exact"/>
              <w:jc w:val="center"/>
              <w:rPr>
                <w:sz w:val="24"/>
              </w:rPr>
            </w:pPr>
            <w:r>
              <w:rPr>
                <w:rFonts w:hint="eastAsia"/>
                <w:sz w:val="24"/>
              </w:rPr>
              <w:t>基础知识</w:t>
            </w:r>
          </w:p>
        </w:tc>
        <w:tc>
          <w:tcPr>
            <w:tcW w:w="1800" w:type="dxa"/>
            <w:vMerge w:val="restart"/>
            <w:tcBorders>
              <w:top w:val="single" w:color="auto" w:sz="4" w:space="0"/>
            </w:tcBorders>
            <w:vAlign w:val="center"/>
          </w:tcPr>
          <w:p>
            <w:pPr>
              <w:spacing w:line="460" w:lineRule="exact"/>
              <w:jc w:val="center"/>
              <w:rPr>
                <w:sz w:val="24"/>
              </w:rPr>
            </w:pPr>
            <w:r>
              <w:rPr>
                <w:rFonts w:hint="eastAsia"/>
                <w:sz w:val="24"/>
              </w:rPr>
              <w:t>营养与膳食</w:t>
            </w:r>
          </w:p>
        </w:tc>
        <w:tc>
          <w:tcPr>
            <w:tcW w:w="6303" w:type="dxa"/>
            <w:gridSpan w:val="2"/>
            <w:tcBorders>
              <w:top w:val="single" w:color="auto" w:sz="4" w:space="0"/>
            </w:tcBorders>
          </w:tcPr>
          <w:p>
            <w:pPr>
              <w:spacing w:line="460" w:lineRule="exact"/>
              <w:rPr>
                <w:sz w:val="24"/>
              </w:rPr>
            </w:pPr>
            <w:r>
              <w:rPr>
                <w:rFonts w:hint="eastAsia"/>
                <w:sz w:val="24"/>
              </w:rPr>
              <w:t>营养学基本知识（人体需要的营养素种类，各类食物的营养价值，中国居民膳食指南与营养素参考摄入量）</w:t>
            </w:r>
          </w:p>
        </w:tc>
        <w:tc>
          <w:tcPr>
            <w:tcW w:w="552" w:type="dxa"/>
            <w:tcBorders>
              <w:top w:val="single" w:color="auto" w:sz="4" w:space="0"/>
            </w:tcBorders>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tcBorders>
              <w:top w:val="nil"/>
              <w:bottom w:val="single" w:color="auto" w:sz="4" w:space="0"/>
            </w:tcBorders>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营养教育与膳食指导方法技巧</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continue"/>
            <w:vAlign w:val="center"/>
          </w:tcPr>
          <w:p>
            <w:pPr>
              <w:spacing w:line="460" w:lineRule="exact"/>
              <w:jc w:val="center"/>
              <w:rPr>
                <w:sz w:val="24"/>
              </w:rPr>
            </w:pPr>
          </w:p>
        </w:tc>
        <w:tc>
          <w:tcPr>
            <w:tcW w:w="1800" w:type="dxa"/>
            <w:vMerge w:val="continue"/>
            <w:tcBorders>
              <w:top w:val="single" w:color="auto" w:sz="4" w:space="0"/>
            </w:tcBorders>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常见慢性病的营养指导（糖尿病、高血压、肥胖、血脂异常、脂肪肝、痛风、贫血）</w:t>
            </w:r>
          </w:p>
        </w:tc>
        <w:tc>
          <w:tcPr>
            <w:tcW w:w="552" w:type="dxa"/>
            <w:tcBorders>
              <w:right w:val="single" w:color="auto" w:sz="4" w:space="0"/>
            </w:tcBorders>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continue"/>
            <w:vAlign w:val="center"/>
          </w:tcPr>
          <w:p>
            <w:pPr>
              <w:spacing w:line="460" w:lineRule="exact"/>
              <w:jc w:val="center"/>
              <w:rPr>
                <w:sz w:val="24"/>
              </w:rPr>
            </w:pPr>
          </w:p>
        </w:tc>
        <w:tc>
          <w:tcPr>
            <w:tcW w:w="1800" w:type="dxa"/>
            <w:vMerge w:val="continue"/>
            <w:tcBorders>
              <w:top w:val="nil"/>
            </w:tcBorders>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不同人群的营养指导（孕妇母乳、婴幼儿、学龄前及学龄儿童、中年、老年）</w:t>
            </w:r>
          </w:p>
        </w:tc>
        <w:tc>
          <w:tcPr>
            <w:tcW w:w="552" w:type="dxa"/>
            <w:tcBorders>
              <w:right w:val="single" w:color="auto" w:sz="4" w:space="0"/>
            </w:tcBorders>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tcBorders>
              <w:top w:val="nil"/>
            </w:tcBorders>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食品安全常识（常见食物中毒、污染等）</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体力活动</w:t>
            </w:r>
          </w:p>
        </w:tc>
        <w:tc>
          <w:tcPr>
            <w:tcW w:w="6303" w:type="dxa"/>
            <w:gridSpan w:val="2"/>
          </w:tcPr>
          <w:p>
            <w:pPr>
              <w:spacing w:line="460" w:lineRule="exact"/>
              <w:rPr>
                <w:sz w:val="24"/>
              </w:rPr>
            </w:pPr>
            <w:r>
              <w:rPr>
                <w:rFonts w:hint="eastAsia"/>
                <w:sz w:val="24"/>
              </w:rPr>
              <w:t>体力活动与健康</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体力活动的概念</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体力活动分类和强度</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体力活动程度的测量方法和指标</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体力活动的干预原则、运动风险及注意事项</w:t>
            </w:r>
          </w:p>
        </w:tc>
        <w:tc>
          <w:tcPr>
            <w:tcW w:w="552" w:type="dxa"/>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吸烟与饮酒</w:t>
            </w:r>
          </w:p>
        </w:tc>
        <w:tc>
          <w:tcPr>
            <w:tcW w:w="6303" w:type="dxa"/>
            <w:gridSpan w:val="2"/>
          </w:tcPr>
          <w:p>
            <w:pPr>
              <w:spacing w:line="460" w:lineRule="exact"/>
              <w:rPr>
                <w:sz w:val="24"/>
              </w:rPr>
            </w:pPr>
            <w:r>
              <w:rPr>
                <w:rFonts w:hint="eastAsia"/>
                <w:sz w:val="24"/>
              </w:rPr>
              <w:t>成瘾性行为的概念、形成过程及影响因素</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吸烟与酗酒对健康的危害</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心理健康</w:t>
            </w:r>
          </w:p>
          <w:p>
            <w:pPr>
              <w:spacing w:line="460" w:lineRule="exact"/>
              <w:jc w:val="center"/>
              <w:rPr>
                <w:sz w:val="24"/>
              </w:rPr>
            </w:pPr>
            <w:r>
              <w:rPr>
                <w:rFonts w:hint="eastAsia"/>
                <w:sz w:val="24"/>
              </w:rPr>
              <w:t>与压力管理</w:t>
            </w:r>
          </w:p>
        </w:tc>
        <w:tc>
          <w:tcPr>
            <w:tcW w:w="6303" w:type="dxa"/>
            <w:gridSpan w:val="2"/>
          </w:tcPr>
          <w:p>
            <w:pPr>
              <w:spacing w:line="460" w:lineRule="exact"/>
              <w:rPr>
                <w:sz w:val="24"/>
              </w:rPr>
            </w:pPr>
            <w:r>
              <w:rPr>
                <w:rFonts w:hint="eastAsia"/>
                <w:sz w:val="24"/>
              </w:rPr>
              <w:t>心理健康的定义和标准</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“心”“身”疾病的关系</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常见慢性病的心理特点和防治</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常见的不良心理应对措施</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情绪与健康</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压力管理的方法和技能</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restart"/>
            <w:vAlign w:val="center"/>
          </w:tcPr>
          <w:p>
            <w:pPr>
              <w:spacing w:line="460" w:lineRule="exact"/>
              <w:jc w:val="center"/>
              <w:rPr>
                <w:sz w:val="24"/>
              </w:rPr>
            </w:pPr>
            <w:r>
              <w:rPr>
                <w:rFonts w:hint="eastAsia"/>
                <w:sz w:val="24"/>
              </w:rPr>
              <w:t>第五章</w:t>
            </w:r>
          </w:p>
          <w:p>
            <w:pPr>
              <w:spacing w:line="460" w:lineRule="exact"/>
              <w:jc w:val="center"/>
              <w:rPr>
                <w:sz w:val="24"/>
              </w:rPr>
            </w:pPr>
            <w:r>
              <w:rPr>
                <w:rFonts w:hint="eastAsia"/>
                <w:sz w:val="24"/>
              </w:rPr>
              <w:t>相关法律法规与医学伦理基本知识</w:t>
            </w:r>
          </w:p>
        </w:tc>
        <w:tc>
          <w:tcPr>
            <w:tcW w:w="1800" w:type="dxa"/>
            <w:vMerge w:val="restart"/>
            <w:vAlign w:val="center"/>
          </w:tcPr>
          <w:p>
            <w:pPr>
              <w:spacing w:line="460" w:lineRule="exact"/>
              <w:jc w:val="center"/>
              <w:rPr>
                <w:sz w:val="24"/>
              </w:rPr>
            </w:pPr>
            <w:r>
              <w:rPr>
                <w:rFonts w:hint="eastAsia"/>
                <w:sz w:val="24"/>
              </w:rPr>
              <w:t>相关法律法规</w:t>
            </w:r>
          </w:p>
        </w:tc>
        <w:tc>
          <w:tcPr>
            <w:tcW w:w="6303" w:type="dxa"/>
            <w:gridSpan w:val="2"/>
          </w:tcPr>
          <w:p>
            <w:pPr>
              <w:spacing w:line="460" w:lineRule="exact"/>
              <w:rPr>
                <w:sz w:val="24"/>
              </w:rPr>
            </w:pPr>
            <w:r>
              <w:rPr>
                <w:rFonts w:hint="eastAsia"/>
                <w:sz w:val="24"/>
              </w:rPr>
              <w:t>健康管理相关的人格权与身份权</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健康管理相关的公共卫生法律制度</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健康管理相关的健康相关产品法律制度</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健康管理相关的劳动与社会保障法律制度</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健康管理相关的医疗服务管理法律制度</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医学伦理</w:t>
            </w:r>
          </w:p>
          <w:p>
            <w:pPr>
              <w:spacing w:line="460" w:lineRule="exact"/>
              <w:jc w:val="center"/>
              <w:rPr>
                <w:sz w:val="24"/>
              </w:rPr>
            </w:pPr>
            <w:r>
              <w:rPr>
                <w:rFonts w:hint="eastAsia"/>
                <w:sz w:val="24"/>
              </w:rPr>
              <w:t>基本知识</w:t>
            </w:r>
          </w:p>
        </w:tc>
        <w:tc>
          <w:tcPr>
            <w:tcW w:w="6303" w:type="dxa"/>
            <w:gridSpan w:val="2"/>
          </w:tcPr>
          <w:p>
            <w:pPr>
              <w:spacing w:line="460" w:lineRule="exact"/>
              <w:rPr>
                <w:sz w:val="24"/>
              </w:rPr>
            </w:pPr>
            <w:r>
              <w:rPr>
                <w:rFonts w:hint="eastAsia"/>
                <w:sz w:val="24"/>
              </w:rPr>
              <w:t>医学伦理学的定义和基本原则</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医患关系和病人权利</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tcPr>
          <w:p>
            <w:pPr>
              <w:spacing w:line="460" w:lineRule="exact"/>
              <w:rPr>
                <w:sz w:val="24"/>
              </w:rPr>
            </w:pPr>
          </w:p>
        </w:tc>
        <w:tc>
          <w:tcPr>
            <w:tcW w:w="1800" w:type="dxa"/>
            <w:vAlign w:val="center"/>
          </w:tcPr>
          <w:p>
            <w:pPr>
              <w:spacing w:line="460" w:lineRule="exact"/>
              <w:jc w:val="center"/>
              <w:rPr>
                <w:sz w:val="24"/>
              </w:rPr>
            </w:pPr>
            <w:r>
              <w:rPr>
                <w:rFonts w:hint="eastAsia"/>
                <w:sz w:val="24"/>
              </w:rPr>
              <w:t>概   述</w:t>
            </w:r>
          </w:p>
        </w:tc>
        <w:tc>
          <w:tcPr>
            <w:tcW w:w="6303" w:type="dxa"/>
            <w:gridSpan w:val="2"/>
          </w:tcPr>
          <w:p>
            <w:pPr>
              <w:spacing w:line="460" w:lineRule="exact"/>
              <w:rPr>
                <w:sz w:val="24"/>
              </w:rPr>
            </w:pPr>
            <w:r>
              <w:rPr>
                <w:rFonts w:hint="eastAsia"/>
                <w:sz w:val="24"/>
              </w:rPr>
              <w:t>信息、数据的概念、种类</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440" w:type="dxa"/>
            <w:vMerge w:val="restart"/>
            <w:vAlign w:val="center"/>
          </w:tcPr>
          <w:p>
            <w:pPr>
              <w:spacing w:line="460" w:lineRule="exact"/>
              <w:jc w:val="center"/>
              <w:rPr>
                <w:sz w:val="24"/>
              </w:rPr>
            </w:pPr>
            <w:r>
              <w:rPr>
                <w:rFonts w:hint="eastAsia"/>
                <w:sz w:val="24"/>
              </w:rPr>
              <w:t>第六章</w:t>
            </w:r>
          </w:p>
          <w:p>
            <w:pPr>
              <w:spacing w:line="460" w:lineRule="exact"/>
              <w:jc w:val="center"/>
              <w:rPr>
                <w:sz w:val="24"/>
              </w:rPr>
            </w:pPr>
            <w:r>
              <w:rPr>
                <w:rFonts w:hint="eastAsia"/>
                <w:sz w:val="24"/>
              </w:rPr>
              <w:t>收集、分析、</w:t>
            </w:r>
          </w:p>
          <w:p>
            <w:pPr>
              <w:spacing w:line="460" w:lineRule="exact"/>
              <w:jc w:val="center"/>
              <w:rPr>
                <w:sz w:val="24"/>
              </w:rPr>
            </w:pPr>
            <w:r>
              <w:rPr>
                <w:rFonts w:hint="eastAsia"/>
                <w:sz w:val="24"/>
              </w:rPr>
              <w:t>管理与利用</w:t>
            </w:r>
          </w:p>
        </w:tc>
        <w:tc>
          <w:tcPr>
            <w:tcW w:w="1800" w:type="dxa"/>
            <w:vMerge w:val="restart"/>
            <w:vAlign w:val="center"/>
          </w:tcPr>
          <w:p>
            <w:pPr>
              <w:spacing w:line="460" w:lineRule="exact"/>
              <w:jc w:val="center"/>
              <w:rPr>
                <w:sz w:val="24"/>
              </w:rPr>
            </w:pPr>
            <w:r>
              <w:rPr>
                <w:rFonts w:hint="eastAsia"/>
                <w:sz w:val="24"/>
              </w:rPr>
              <w:t>信息收集</w:t>
            </w:r>
          </w:p>
        </w:tc>
        <w:tc>
          <w:tcPr>
            <w:tcW w:w="6303" w:type="dxa"/>
            <w:gridSpan w:val="2"/>
          </w:tcPr>
          <w:p>
            <w:pPr>
              <w:spacing w:line="460" w:lineRule="exact"/>
              <w:rPr>
                <w:sz w:val="24"/>
              </w:rPr>
            </w:pPr>
            <w:r>
              <w:rPr>
                <w:rFonts w:hint="eastAsia"/>
                <w:sz w:val="24"/>
              </w:rPr>
              <w:t>信息来源（体检、健康档案、门诊等）</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信息收集方法</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问卷设计</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信息管理</w:t>
            </w:r>
          </w:p>
          <w:p>
            <w:pPr>
              <w:spacing w:line="460" w:lineRule="exact"/>
              <w:jc w:val="center"/>
              <w:rPr>
                <w:sz w:val="24"/>
              </w:rPr>
            </w:pPr>
            <w:r>
              <w:rPr>
                <w:rFonts w:hint="eastAsia"/>
                <w:sz w:val="24"/>
              </w:rPr>
              <w:t>和分析</w:t>
            </w:r>
          </w:p>
        </w:tc>
        <w:tc>
          <w:tcPr>
            <w:tcW w:w="6303" w:type="dxa"/>
            <w:gridSpan w:val="2"/>
          </w:tcPr>
          <w:p>
            <w:pPr>
              <w:spacing w:line="460" w:lineRule="exact"/>
              <w:rPr>
                <w:sz w:val="24"/>
              </w:rPr>
            </w:pPr>
            <w:r>
              <w:rPr>
                <w:rFonts w:hint="eastAsia"/>
                <w:sz w:val="24"/>
              </w:rPr>
              <w:t>数据库的建立</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信息更新和整理</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统计软件的使用</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信息利用</w:t>
            </w:r>
          </w:p>
        </w:tc>
        <w:tc>
          <w:tcPr>
            <w:tcW w:w="6303" w:type="dxa"/>
            <w:gridSpan w:val="2"/>
          </w:tcPr>
          <w:p>
            <w:pPr>
              <w:spacing w:line="460" w:lineRule="exact"/>
              <w:rPr>
                <w:sz w:val="24"/>
              </w:rPr>
            </w:pPr>
            <w:r>
              <w:rPr>
                <w:rFonts w:hint="eastAsia"/>
                <w:sz w:val="24"/>
              </w:rPr>
              <w:t>个体层面（制定计划和评价效果）</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群体层面（制定计划和评价效果）</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40" w:type="dxa"/>
            <w:vMerge w:val="restart"/>
            <w:vAlign w:val="center"/>
          </w:tcPr>
          <w:p>
            <w:pPr>
              <w:spacing w:line="460" w:lineRule="exact"/>
              <w:jc w:val="center"/>
              <w:rPr>
                <w:sz w:val="24"/>
              </w:rPr>
            </w:pPr>
            <w:r>
              <w:rPr>
                <w:rFonts w:hint="eastAsia"/>
                <w:sz w:val="24"/>
              </w:rPr>
              <w:t>第七章</w:t>
            </w:r>
          </w:p>
          <w:p>
            <w:pPr>
              <w:spacing w:line="460" w:lineRule="exact"/>
              <w:jc w:val="center"/>
              <w:rPr>
                <w:sz w:val="24"/>
              </w:rPr>
            </w:pPr>
            <w:r>
              <w:rPr>
                <w:rFonts w:hint="eastAsia"/>
                <w:sz w:val="24"/>
              </w:rPr>
              <w:t>健康风险</w:t>
            </w:r>
          </w:p>
          <w:p>
            <w:pPr>
              <w:spacing w:line="460" w:lineRule="exact"/>
              <w:jc w:val="center"/>
              <w:rPr>
                <w:sz w:val="24"/>
              </w:rPr>
            </w:pPr>
            <w:r>
              <w:rPr>
                <w:rFonts w:hint="eastAsia"/>
                <w:sz w:val="24"/>
              </w:rPr>
              <w:t>评估和风险管理</w:t>
            </w:r>
          </w:p>
        </w:tc>
        <w:tc>
          <w:tcPr>
            <w:tcW w:w="1800" w:type="dxa"/>
            <w:vMerge w:val="restart"/>
            <w:vAlign w:val="center"/>
          </w:tcPr>
          <w:p>
            <w:pPr>
              <w:spacing w:line="460" w:lineRule="exact"/>
              <w:jc w:val="center"/>
              <w:rPr>
                <w:sz w:val="24"/>
              </w:rPr>
            </w:pPr>
            <w:r>
              <w:rPr>
                <w:rFonts w:hint="eastAsia"/>
                <w:sz w:val="24"/>
              </w:rPr>
              <w:t>风险与风险</w:t>
            </w:r>
          </w:p>
          <w:p>
            <w:pPr>
              <w:spacing w:line="460" w:lineRule="exact"/>
              <w:jc w:val="center"/>
              <w:rPr>
                <w:sz w:val="24"/>
              </w:rPr>
            </w:pPr>
            <w:r>
              <w:rPr>
                <w:rFonts w:hint="eastAsia"/>
                <w:sz w:val="24"/>
              </w:rPr>
              <w:t>管理</w:t>
            </w:r>
          </w:p>
        </w:tc>
        <w:tc>
          <w:tcPr>
            <w:tcW w:w="6303" w:type="dxa"/>
            <w:gridSpan w:val="2"/>
          </w:tcPr>
          <w:p>
            <w:pPr>
              <w:spacing w:line="460" w:lineRule="exact"/>
              <w:rPr>
                <w:sz w:val="24"/>
              </w:rPr>
            </w:pPr>
            <w:r>
              <w:rPr>
                <w:rFonts w:hint="eastAsia"/>
                <w:sz w:val="24"/>
              </w:rPr>
              <w:t>风险的概念</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风险的分类</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风险管理的基本概念</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风险识别与评价的基本方法</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健康风险评估</w:t>
            </w:r>
          </w:p>
          <w:p>
            <w:pPr>
              <w:spacing w:line="460" w:lineRule="exact"/>
              <w:jc w:val="center"/>
              <w:rPr>
                <w:sz w:val="24"/>
              </w:rPr>
            </w:pPr>
            <w:r>
              <w:rPr>
                <w:rFonts w:hint="eastAsia"/>
                <w:sz w:val="24"/>
              </w:rPr>
              <w:t>的定义与历史</w:t>
            </w:r>
          </w:p>
        </w:tc>
        <w:tc>
          <w:tcPr>
            <w:tcW w:w="6303" w:type="dxa"/>
            <w:gridSpan w:val="2"/>
          </w:tcPr>
          <w:p>
            <w:pPr>
              <w:spacing w:line="460" w:lineRule="exact"/>
              <w:rPr>
                <w:sz w:val="24"/>
              </w:rPr>
            </w:pPr>
            <w:r>
              <w:rPr>
                <w:rFonts w:hint="eastAsia"/>
                <w:sz w:val="24"/>
              </w:rPr>
              <w:t>健康风险评估概念</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健康风险评估发展历史</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健康风险评估的技术与方法</w:t>
            </w:r>
          </w:p>
        </w:tc>
        <w:tc>
          <w:tcPr>
            <w:tcW w:w="6303" w:type="dxa"/>
            <w:gridSpan w:val="2"/>
          </w:tcPr>
          <w:p>
            <w:pPr>
              <w:spacing w:line="460" w:lineRule="exact"/>
              <w:rPr>
                <w:sz w:val="24"/>
              </w:rPr>
            </w:pPr>
            <w:r>
              <w:rPr>
                <w:rFonts w:hint="eastAsia"/>
                <w:sz w:val="24"/>
              </w:rPr>
              <w:t>健康风险评估种类</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健康风险评估基本模块</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生活方式评估</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慢性疾病风险评估</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健康风险评估结果的表示与解释</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健康风险评估</w:t>
            </w:r>
          </w:p>
          <w:p>
            <w:pPr>
              <w:spacing w:line="460" w:lineRule="exact"/>
              <w:jc w:val="center"/>
              <w:rPr>
                <w:sz w:val="24"/>
              </w:rPr>
            </w:pPr>
            <w:r>
              <w:rPr>
                <w:rFonts w:hint="eastAsia"/>
                <w:sz w:val="24"/>
              </w:rPr>
              <w:t>的目的与应用</w:t>
            </w:r>
          </w:p>
        </w:tc>
        <w:tc>
          <w:tcPr>
            <w:tcW w:w="6303" w:type="dxa"/>
            <w:gridSpan w:val="2"/>
          </w:tcPr>
          <w:p>
            <w:pPr>
              <w:spacing w:line="460" w:lineRule="exact"/>
              <w:rPr>
                <w:sz w:val="24"/>
              </w:rPr>
            </w:pPr>
            <w:r>
              <w:rPr>
                <w:rFonts w:hint="eastAsia"/>
                <w:sz w:val="24"/>
              </w:rPr>
              <w:t>健康风险评估的目的</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健康风险评估主要应用形式</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健康风险评估在个人健康指导上的应用</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健康风险在人群管理上的应用</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健康风险在企业生产力管理上的应用</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健康风险评估与健康管理效果评价</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健康风险评估</w:t>
            </w:r>
          </w:p>
          <w:p>
            <w:pPr>
              <w:spacing w:line="460" w:lineRule="exact"/>
              <w:jc w:val="center"/>
              <w:rPr>
                <w:sz w:val="24"/>
              </w:rPr>
            </w:pPr>
            <w:r>
              <w:rPr>
                <w:rFonts w:hint="eastAsia"/>
                <w:sz w:val="24"/>
              </w:rPr>
              <w:t>的正确使用</w:t>
            </w:r>
          </w:p>
        </w:tc>
        <w:tc>
          <w:tcPr>
            <w:tcW w:w="6303" w:type="dxa"/>
            <w:gridSpan w:val="2"/>
          </w:tcPr>
          <w:p>
            <w:pPr>
              <w:spacing w:line="460" w:lineRule="exact"/>
              <w:rPr>
                <w:sz w:val="24"/>
              </w:rPr>
            </w:pPr>
            <w:r>
              <w:rPr>
                <w:rFonts w:hint="eastAsia"/>
                <w:sz w:val="24"/>
              </w:rPr>
              <w:t>健康风险评估与临床诊断的关系</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科学使用健康风险评估的基本原则</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健健风险评估的优点和局限性</w:t>
            </w:r>
          </w:p>
        </w:tc>
        <w:tc>
          <w:tcPr>
            <w:tcW w:w="552" w:type="dxa"/>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40" w:type="dxa"/>
            <w:vAlign w:val="center"/>
          </w:tcPr>
          <w:p>
            <w:pPr>
              <w:spacing w:line="460" w:lineRule="exact"/>
              <w:jc w:val="center"/>
              <w:rPr>
                <w:sz w:val="24"/>
              </w:rPr>
            </w:pPr>
          </w:p>
        </w:tc>
        <w:tc>
          <w:tcPr>
            <w:tcW w:w="1800" w:type="dxa"/>
            <w:vAlign w:val="center"/>
          </w:tcPr>
          <w:p>
            <w:pPr>
              <w:spacing w:line="460" w:lineRule="exact"/>
              <w:jc w:val="center"/>
              <w:rPr>
                <w:sz w:val="24"/>
              </w:rPr>
            </w:pPr>
            <w:r>
              <w:rPr>
                <w:rFonts w:hint="eastAsia"/>
                <w:sz w:val="24"/>
              </w:rPr>
              <w:t>干预策略</w:t>
            </w:r>
          </w:p>
          <w:p>
            <w:pPr>
              <w:spacing w:line="460" w:lineRule="exact"/>
              <w:jc w:val="center"/>
              <w:rPr>
                <w:sz w:val="24"/>
              </w:rPr>
            </w:pPr>
            <w:r>
              <w:rPr>
                <w:rFonts w:hint="eastAsia"/>
                <w:sz w:val="24"/>
              </w:rPr>
              <w:t>与原则</w:t>
            </w:r>
          </w:p>
        </w:tc>
        <w:tc>
          <w:tcPr>
            <w:tcW w:w="6303" w:type="dxa"/>
            <w:gridSpan w:val="2"/>
          </w:tcPr>
          <w:p>
            <w:pPr>
              <w:spacing w:line="460" w:lineRule="exact"/>
              <w:rPr>
                <w:sz w:val="24"/>
              </w:rPr>
            </w:pPr>
            <w:r>
              <w:rPr>
                <w:rFonts w:hint="eastAsia"/>
                <w:sz w:val="24"/>
              </w:rPr>
              <w:t>策略和特点</w:t>
            </w:r>
          </w:p>
        </w:tc>
        <w:tc>
          <w:tcPr>
            <w:tcW w:w="552" w:type="dxa"/>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 w:val="24"/>
              </w:rPr>
            </w:pPr>
            <w:r>
              <w:rPr>
                <w:rFonts w:hint="eastAsia"/>
                <w:sz w:val="24"/>
              </w:rPr>
              <w:t>第八章</w:t>
            </w:r>
          </w:p>
          <w:p>
            <w:pPr>
              <w:spacing w:line="460" w:lineRule="exact"/>
              <w:jc w:val="center"/>
              <w:rPr>
                <w:sz w:val="24"/>
              </w:rPr>
            </w:pPr>
            <w:r>
              <w:rPr>
                <w:rFonts w:hint="eastAsia"/>
                <w:sz w:val="24"/>
              </w:rPr>
              <w:t>健康干预计划制定</w:t>
            </w:r>
          </w:p>
          <w:p>
            <w:pPr>
              <w:spacing w:line="460" w:lineRule="exact"/>
              <w:jc w:val="center"/>
              <w:rPr>
                <w:sz w:val="24"/>
              </w:rPr>
            </w:pPr>
            <w:r>
              <w:rPr>
                <w:rFonts w:hint="eastAsia"/>
                <w:sz w:val="24"/>
              </w:rPr>
              <w:t>与实施</w:t>
            </w:r>
          </w:p>
        </w:tc>
        <w:tc>
          <w:tcPr>
            <w:tcW w:w="1800" w:type="dxa"/>
            <w:vMerge w:val="restart"/>
            <w:vAlign w:val="center"/>
          </w:tcPr>
          <w:p>
            <w:pPr>
              <w:spacing w:line="460" w:lineRule="exact"/>
              <w:jc w:val="center"/>
              <w:rPr>
                <w:sz w:val="24"/>
              </w:rPr>
            </w:pPr>
            <w:r>
              <w:rPr>
                <w:rFonts w:hint="eastAsia"/>
                <w:sz w:val="24"/>
              </w:rPr>
              <w:t>计划的制定</w:t>
            </w:r>
          </w:p>
        </w:tc>
        <w:tc>
          <w:tcPr>
            <w:tcW w:w="6303" w:type="dxa"/>
            <w:gridSpan w:val="2"/>
          </w:tcPr>
          <w:p>
            <w:pPr>
              <w:spacing w:line="460" w:lineRule="exact"/>
              <w:rPr>
                <w:sz w:val="24"/>
              </w:rPr>
            </w:pPr>
            <w:r>
              <w:rPr>
                <w:rFonts w:hint="eastAsia"/>
                <w:sz w:val="24"/>
              </w:rPr>
              <w:t>个体干预</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群体干预</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计划的实施</w:t>
            </w:r>
          </w:p>
        </w:tc>
        <w:tc>
          <w:tcPr>
            <w:tcW w:w="6303" w:type="dxa"/>
            <w:gridSpan w:val="2"/>
          </w:tcPr>
          <w:p>
            <w:pPr>
              <w:spacing w:line="460" w:lineRule="exact"/>
              <w:rPr>
                <w:sz w:val="24"/>
              </w:rPr>
            </w:pPr>
            <w:r>
              <w:rPr>
                <w:rFonts w:hint="eastAsia"/>
                <w:sz w:val="24"/>
              </w:rPr>
              <w:t>个体实施方法</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群体实施方法</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实施的</w:t>
            </w:r>
          </w:p>
          <w:p>
            <w:pPr>
              <w:spacing w:line="460" w:lineRule="exact"/>
              <w:jc w:val="center"/>
              <w:rPr>
                <w:sz w:val="24"/>
              </w:rPr>
            </w:pPr>
            <w:r>
              <w:rPr>
                <w:rFonts w:hint="eastAsia"/>
                <w:sz w:val="24"/>
              </w:rPr>
              <w:t>支持性环境</w:t>
            </w:r>
          </w:p>
        </w:tc>
        <w:tc>
          <w:tcPr>
            <w:tcW w:w="6303" w:type="dxa"/>
            <w:gridSpan w:val="2"/>
          </w:tcPr>
          <w:p>
            <w:pPr>
              <w:spacing w:line="460" w:lineRule="exact"/>
              <w:rPr>
                <w:sz w:val="24"/>
              </w:rPr>
            </w:pPr>
            <w:r>
              <w:rPr>
                <w:rFonts w:hint="eastAsia"/>
                <w:sz w:val="24"/>
              </w:rPr>
              <w:t>家庭</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社会</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 w:val="24"/>
              </w:rPr>
            </w:pPr>
            <w:r>
              <w:rPr>
                <w:rFonts w:hint="eastAsia"/>
                <w:sz w:val="24"/>
              </w:rPr>
              <w:t>第九章</w:t>
            </w:r>
          </w:p>
          <w:p>
            <w:pPr>
              <w:spacing w:line="460" w:lineRule="exact"/>
              <w:jc w:val="center"/>
              <w:rPr>
                <w:sz w:val="24"/>
              </w:rPr>
            </w:pPr>
            <w:r>
              <w:rPr>
                <w:rFonts w:hint="eastAsia"/>
                <w:sz w:val="24"/>
              </w:rPr>
              <w:t>健康管理的评估</w:t>
            </w:r>
          </w:p>
        </w:tc>
        <w:tc>
          <w:tcPr>
            <w:tcW w:w="1800" w:type="dxa"/>
            <w:vMerge w:val="restart"/>
            <w:vAlign w:val="center"/>
          </w:tcPr>
          <w:p>
            <w:pPr>
              <w:spacing w:line="460" w:lineRule="exact"/>
              <w:jc w:val="center"/>
              <w:rPr>
                <w:sz w:val="24"/>
              </w:rPr>
            </w:pPr>
            <w:r>
              <w:rPr>
                <w:rFonts w:hint="eastAsia"/>
                <w:sz w:val="24"/>
              </w:rPr>
              <w:t>健康管理的</w:t>
            </w:r>
          </w:p>
          <w:p>
            <w:pPr>
              <w:spacing w:line="460" w:lineRule="exact"/>
              <w:jc w:val="center"/>
              <w:rPr>
                <w:sz w:val="24"/>
              </w:rPr>
            </w:pPr>
            <w:r>
              <w:rPr>
                <w:rFonts w:hint="eastAsia"/>
                <w:sz w:val="24"/>
              </w:rPr>
              <w:t>评估概述</w:t>
            </w:r>
          </w:p>
        </w:tc>
        <w:tc>
          <w:tcPr>
            <w:tcW w:w="6303" w:type="dxa"/>
            <w:gridSpan w:val="2"/>
          </w:tcPr>
          <w:p>
            <w:pPr>
              <w:spacing w:line="460" w:lineRule="exact"/>
              <w:rPr>
                <w:sz w:val="24"/>
              </w:rPr>
            </w:pPr>
            <w:r>
              <w:rPr>
                <w:rFonts w:hint="eastAsia"/>
                <w:sz w:val="24"/>
              </w:rPr>
              <w:t>评估概念、定义</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目的、类型与方法、过程</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continue"/>
            <w:vAlign w:val="center"/>
          </w:tcPr>
          <w:p>
            <w:pPr>
              <w:spacing w:line="460" w:lineRule="exact"/>
              <w:jc w:val="center"/>
              <w:rPr>
                <w:sz w:val="24"/>
              </w:rPr>
            </w:pPr>
          </w:p>
        </w:tc>
        <w:tc>
          <w:tcPr>
            <w:tcW w:w="1800" w:type="dxa"/>
            <w:vAlign w:val="center"/>
          </w:tcPr>
          <w:p>
            <w:pPr>
              <w:spacing w:line="460" w:lineRule="exact"/>
              <w:jc w:val="center"/>
              <w:rPr>
                <w:sz w:val="24"/>
              </w:rPr>
            </w:pPr>
            <w:r>
              <w:rPr>
                <w:rFonts w:hint="eastAsia"/>
                <w:sz w:val="24"/>
              </w:rPr>
              <w:t>知识、态度</w:t>
            </w:r>
          </w:p>
          <w:p>
            <w:pPr>
              <w:spacing w:line="460" w:lineRule="exact"/>
              <w:jc w:val="center"/>
              <w:rPr>
                <w:sz w:val="24"/>
              </w:rPr>
            </w:pPr>
            <w:r>
              <w:rPr>
                <w:rFonts w:hint="eastAsia"/>
                <w:sz w:val="24"/>
              </w:rPr>
              <w:t>和行为的评估</w:t>
            </w:r>
          </w:p>
        </w:tc>
        <w:tc>
          <w:tcPr>
            <w:tcW w:w="6303" w:type="dxa"/>
            <w:gridSpan w:val="2"/>
            <w:tcBorders>
              <w:right w:val="single" w:color="auto" w:sz="4" w:space="0"/>
            </w:tcBorders>
            <w:vAlign w:val="center"/>
          </w:tcPr>
          <w:p>
            <w:pPr>
              <w:spacing w:line="460" w:lineRule="exact"/>
              <w:rPr>
                <w:sz w:val="24"/>
              </w:rPr>
            </w:pPr>
            <w:r>
              <w:rPr>
                <w:rFonts w:hint="eastAsia"/>
                <w:sz w:val="24"/>
              </w:rPr>
              <w:t>个体、群体（内容、方法和指标）</w:t>
            </w:r>
          </w:p>
        </w:tc>
        <w:tc>
          <w:tcPr>
            <w:tcW w:w="552" w:type="dxa"/>
            <w:tcBorders>
              <w:left w:val="single" w:color="auto" w:sz="4" w:space="0"/>
            </w:tcBorders>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相关健康指标</w:t>
            </w:r>
          </w:p>
          <w:p>
            <w:pPr>
              <w:spacing w:line="460" w:lineRule="exact"/>
              <w:jc w:val="center"/>
              <w:rPr>
                <w:sz w:val="24"/>
              </w:rPr>
            </w:pPr>
            <w:r>
              <w:rPr>
                <w:rFonts w:hint="eastAsia"/>
                <w:sz w:val="24"/>
              </w:rPr>
              <w:t>的评估</w:t>
            </w:r>
          </w:p>
        </w:tc>
        <w:tc>
          <w:tcPr>
            <w:tcW w:w="6303" w:type="dxa"/>
            <w:gridSpan w:val="2"/>
          </w:tcPr>
          <w:p>
            <w:pPr>
              <w:spacing w:line="460" w:lineRule="exact"/>
              <w:rPr>
                <w:sz w:val="24"/>
              </w:rPr>
            </w:pPr>
            <w:r>
              <w:rPr>
                <w:rFonts w:hint="eastAsia"/>
                <w:sz w:val="24"/>
              </w:rPr>
              <w:t>个体、群体（内容、方法和指标）</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发病率、患病率、生活质量等</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Cs w:val="21"/>
              </w:rPr>
            </w:pPr>
            <w:r>
              <w:rPr>
                <w:rFonts w:hint="eastAsia"/>
                <w:szCs w:val="21"/>
              </w:rPr>
              <w:t>第十章</w:t>
            </w:r>
          </w:p>
          <w:p>
            <w:pPr>
              <w:spacing w:line="460" w:lineRule="exact"/>
              <w:jc w:val="center"/>
              <w:rPr>
                <w:sz w:val="24"/>
              </w:rPr>
            </w:pPr>
            <w:r>
              <w:rPr>
                <w:rFonts w:hint="eastAsia"/>
                <w:szCs w:val="21"/>
              </w:rPr>
              <w:t>中医治未病与养生的理念和方法</w:t>
            </w:r>
          </w:p>
        </w:tc>
        <w:tc>
          <w:tcPr>
            <w:tcW w:w="1800" w:type="dxa"/>
            <w:vMerge w:val="restart"/>
            <w:vAlign w:val="center"/>
          </w:tcPr>
          <w:p>
            <w:pPr>
              <w:spacing w:line="460" w:lineRule="exact"/>
              <w:jc w:val="center"/>
              <w:rPr>
                <w:sz w:val="24"/>
              </w:rPr>
            </w:pPr>
            <w:r>
              <w:rPr>
                <w:rFonts w:hint="eastAsia"/>
                <w:sz w:val="24"/>
              </w:rPr>
              <w:t>中医治未病</w:t>
            </w:r>
          </w:p>
          <w:p>
            <w:pPr>
              <w:spacing w:line="460" w:lineRule="exact"/>
              <w:jc w:val="center"/>
              <w:rPr>
                <w:sz w:val="24"/>
              </w:rPr>
            </w:pPr>
            <w:r>
              <w:rPr>
                <w:rFonts w:hint="eastAsia"/>
                <w:sz w:val="24"/>
              </w:rPr>
              <w:t>与养生概念</w:t>
            </w:r>
          </w:p>
        </w:tc>
        <w:tc>
          <w:tcPr>
            <w:tcW w:w="6303" w:type="dxa"/>
            <w:gridSpan w:val="2"/>
          </w:tcPr>
          <w:p>
            <w:pPr>
              <w:spacing w:line="460" w:lineRule="exact"/>
              <w:rPr>
                <w:sz w:val="24"/>
              </w:rPr>
            </w:pPr>
            <w:r>
              <w:rPr>
                <w:rFonts w:hint="eastAsia"/>
                <w:sz w:val="24"/>
              </w:rPr>
              <w:t>中医治未病理论的基本知识</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中医养生理论的基本知识</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continue"/>
            <w:vAlign w:val="center"/>
          </w:tcPr>
          <w:p>
            <w:pPr>
              <w:spacing w:line="460" w:lineRule="exact"/>
              <w:jc w:val="center"/>
              <w:rPr>
                <w:sz w:val="24"/>
              </w:rPr>
            </w:pPr>
          </w:p>
        </w:tc>
        <w:tc>
          <w:tcPr>
            <w:tcW w:w="1800" w:type="dxa"/>
            <w:vAlign w:val="center"/>
          </w:tcPr>
          <w:p>
            <w:pPr>
              <w:spacing w:line="460" w:lineRule="exact"/>
              <w:jc w:val="center"/>
              <w:rPr>
                <w:sz w:val="24"/>
              </w:rPr>
            </w:pPr>
            <w:r>
              <w:rPr>
                <w:rFonts w:hint="eastAsia"/>
                <w:sz w:val="24"/>
              </w:rPr>
              <w:t>传统养生方法</w:t>
            </w:r>
          </w:p>
          <w:p>
            <w:pPr>
              <w:spacing w:line="460" w:lineRule="exact"/>
              <w:jc w:val="center"/>
              <w:rPr>
                <w:sz w:val="24"/>
              </w:rPr>
            </w:pPr>
            <w:r>
              <w:rPr>
                <w:rFonts w:hint="eastAsia"/>
                <w:sz w:val="24"/>
              </w:rPr>
              <w:t>和技能</w:t>
            </w:r>
          </w:p>
        </w:tc>
        <w:tc>
          <w:tcPr>
            <w:tcW w:w="6303" w:type="dxa"/>
            <w:gridSpan w:val="2"/>
            <w:vAlign w:val="center"/>
          </w:tcPr>
          <w:p>
            <w:pPr>
              <w:spacing w:line="460" w:lineRule="exact"/>
              <w:rPr>
                <w:sz w:val="24"/>
              </w:rPr>
            </w:pPr>
            <w:r>
              <w:rPr>
                <w:rFonts w:hint="eastAsia"/>
                <w:sz w:val="24"/>
              </w:rPr>
              <w:t>饮食、健身等相关养生方法</w:t>
            </w:r>
          </w:p>
        </w:tc>
        <w:tc>
          <w:tcPr>
            <w:tcW w:w="552" w:type="dxa"/>
            <w:vAlign w:val="center"/>
          </w:tcPr>
          <w:p>
            <w:pPr>
              <w:spacing w:line="460" w:lineRule="exact"/>
              <w:jc w:val="center"/>
              <w:rPr>
                <w:sz w:val="24"/>
              </w:rPr>
            </w:pPr>
            <w:r>
              <w:rPr>
                <w:rFonts w:hint="eastAsia"/>
                <w:sz w:val="24"/>
              </w:rPr>
              <w:t>S</w:t>
            </w:r>
          </w:p>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restart"/>
            <w:vAlign w:val="center"/>
          </w:tcPr>
          <w:p>
            <w:pPr>
              <w:spacing w:line="460" w:lineRule="exact"/>
              <w:jc w:val="center"/>
              <w:rPr>
                <w:sz w:val="24"/>
              </w:rPr>
            </w:pPr>
            <w:r>
              <w:rPr>
                <w:rFonts w:hint="eastAsia"/>
                <w:sz w:val="24"/>
              </w:rPr>
              <w:t>第十一章</w:t>
            </w:r>
          </w:p>
          <w:p>
            <w:pPr>
              <w:spacing w:line="460" w:lineRule="exact"/>
              <w:jc w:val="center"/>
              <w:rPr>
                <w:sz w:val="24"/>
              </w:rPr>
            </w:pPr>
            <w:r>
              <w:rPr>
                <w:rFonts w:hint="eastAsia"/>
                <w:sz w:val="24"/>
              </w:rPr>
              <w:t>健康管理在社区中的应用</w:t>
            </w:r>
          </w:p>
        </w:tc>
        <w:tc>
          <w:tcPr>
            <w:tcW w:w="1800" w:type="dxa"/>
            <w:vMerge w:val="restart"/>
            <w:vAlign w:val="center"/>
          </w:tcPr>
          <w:p>
            <w:pPr>
              <w:spacing w:line="460" w:lineRule="exact"/>
              <w:jc w:val="center"/>
              <w:rPr>
                <w:sz w:val="24"/>
              </w:rPr>
            </w:pPr>
            <w:r>
              <w:rPr>
                <w:rFonts w:hint="eastAsia"/>
                <w:sz w:val="24"/>
              </w:rPr>
              <w:t>健康管理与</w:t>
            </w:r>
          </w:p>
          <w:p>
            <w:pPr>
              <w:spacing w:line="460" w:lineRule="exact"/>
              <w:jc w:val="center"/>
              <w:rPr>
                <w:sz w:val="24"/>
              </w:rPr>
            </w:pPr>
            <w:r>
              <w:rPr>
                <w:rFonts w:hint="eastAsia"/>
                <w:sz w:val="24"/>
              </w:rPr>
              <w:t>慢病社区</w:t>
            </w:r>
          </w:p>
          <w:p>
            <w:pPr>
              <w:spacing w:line="460" w:lineRule="exact"/>
              <w:jc w:val="center"/>
              <w:rPr>
                <w:sz w:val="24"/>
              </w:rPr>
            </w:pPr>
            <w:r>
              <w:rPr>
                <w:rFonts w:hint="eastAsia"/>
                <w:sz w:val="24"/>
              </w:rPr>
              <w:t>综合防治</w:t>
            </w:r>
          </w:p>
        </w:tc>
        <w:tc>
          <w:tcPr>
            <w:tcW w:w="6303" w:type="dxa"/>
            <w:gridSpan w:val="2"/>
          </w:tcPr>
          <w:p>
            <w:pPr>
              <w:spacing w:line="460" w:lineRule="exact"/>
              <w:rPr>
                <w:sz w:val="24"/>
              </w:rPr>
            </w:pPr>
            <w:r>
              <w:rPr>
                <w:rFonts w:hint="eastAsia"/>
                <w:sz w:val="24"/>
              </w:rPr>
              <w:t>社区和慢性综合防治的概念及策略（三级预防、关口前移、重心下移等）</w:t>
            </w:r>
          </w:p>
        </w:tc>
        <w:tc>
          <w:tcPr>
            <w:tcW w:w="552" w:type="dxa"/>
            <w:vAlign w:val="center"/>
          </w:tcPr>
          <w:p>
            <w:pPr>
              <w:spacing w:line="460" w:lineRule="exact"/>
              <w:jc w:val="center"/>
              <w:rPr>
                <w:sz w:val="24"/>
              </w:rPr>
            </w:pPr>
            <w:r>
              <w:rPr>
                <w:rFonts w:hint="eastAsia"/>
                <w:sz w:val="24"/>
              </w:rPr>
              <w:t>S</w:t>
            </w:r>
          </w:p>
          <w:p>
            <w:pPr>
              <w:spacing w:line="4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健康管理与慢病社区综合防治的关系</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社区常见慢性</w:t>
            </w:r>
          </w:p>
          <w:p>
            <w:pPr>
              <w:spacing w:line="460" w:lineRule="exact"/>
              <w:jc w:val="center"/>
              <w:rPr>
                <w:sz w:val="24"/>
              </w:rPr>
            </w:pPr>
            <w:r>
              <w:rPr>
                <w:rFonts w:hint="eastAsia"/>
                <w:sz w:val="24"/>
              </w:rPr>
              <w:t>病的健康管理</w:t>
            </w:r>
          </w:p>
        </w:tc>
        <w:tc>
          <w:tcPr>
            <w:tcW w:w="6303" w:type="dxa"/>
            <w:gridSpan w:val="2"/>
          </w:tcPr>
          <w:p>
            <w:pPr>
              <w:spacing w:line="460" w:lineRule="exact"/>
              <w:rPr>
                <w:sz w:val="24"/>
              </w:rPr>
            </w:pPr>
            <w:r>
              <w:rPr>
                <w:rFonts w:hint="eastAsia"/>
                <w:sz w:val="24"/>
              </w:rPr>
              <w:t>高血压</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糖尿病</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超重肥胖</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血脂异常</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冠心病</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脑卒中</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痛风</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肝炎</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结核</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常见肿瘤的预防和筛检（肺癌、胃癌、肝癌、食管癌、结直肠癌、</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1440" w:type="dxa"/>
            <w:vMerge w:val="continue"/>
            <w:vAlign w:val="center"/>
          </w:tcPr>
          <w:p>
            <w:pPr>
              <w:spacing w:line="460" w:lineRule="exact"/>
              <w:jc w:val="center"/>
              <w:rPr>
                <w:sz w:val="24"/>
              </w:rPr>
            </w:pPr>
          </w:p>
        </w:tc>
        <w:tc>
          <w:tcPr>
            <w:tcW w:w="1800" w:type="dxa"/>
            <w:vAlign w:val="center"/>
          </w:tcPr>
          <w:p>
            <w:pPr>
              <w:spacing w:line="460" w:lineRule="exact"/>
              <w:jc w:val="center"/>
              <w:rPr>
                <w:sz w:val="24"/>
              </w:rPr>
            </w:pPr>
            <w:r>
              <w:rPr>
                <w:rFonts w:hint="eastAsia"/>
                <w:sz w:val="24"/>
              </w:rPr>
              <w:t>职业人群的</w:t>
            </w:r>
          </w:p>
          <w:p>
            <w:pPr>
              <w:spacing w:line="460" w:lineRule="exact"/>
              <w:jc w:val="center"/>
              <w:rPr>
                <w:sz w:val="24"/>
              </w:rPr>
            </w:pPr>
            <w:r>
              <w:rPr>
                <w:rFonts w:hint="eastAsia"/>
                <w:sz w:val="24"/>
              </w:rPr>
              <w:t>健康管理</w:t>
            </w:r>
          </w:p>
        </w:tc>
        <w:tc>
          <w:tcPr>
            <w:tcW w:w="6303" w:type="dxa"/>
            <w:gridSpan w:val="2"/>
            <w:tcBorders>
              <w:right w:val="single" w:color="auto" w:sz="4" w:space="0"/>
            </w:tcBorders>
            <w:vAlign w:val="center"/>
          </w:tcPr>
          <w:p>
            <w:pPr>
              <w:spacing w:line="460" w:lineRule="exact"/>
              <w:rPr>
                <w:sz w:val="24"/>
              </w:rPr>
            </w:pPr>
            <w:r>
              <w:rPr>
                <w:rFonts w:hint="eastAsia"/>
                <w:sz w:val="24"/>
              </w:rPr>
              <w:t>有害作业、夜班及静态作业的健康管理</w:t>
            </w:r>
          </w:p>
        </w:tc>
        <w:tc>
          <w:tcPr>
            <w:tcW w:w="552" w:type="dxa"/>
            <w:tcBorders>
              <w:left w:val="single" w:color="auto" w:sz="4" w:space="0"/>
            </w:tcBorders>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生命各阶段</w:t>
            </w:r>
          </w:p>
          <w:p>
            <w:pPr>
              <w:spacing w:line="460" w:lineRule="exact"/>
              <w:jc w:val="center"/>
              <w:rPr>
                <w:sz w:val="24"/>
              </w:rPr>
            </w:pPr>
            <w:r>
              <w:rPr>
                <w:rFonts w:hint="eastAsia"/>
                <w:sz w:val="24"/>
              </w:rPr>
              <w:t>健康问题</w:t>
            </w:r>
          </w:p>
          <w:p>
            <w:pPr>
              <w:spacing w:line="460" w:lineRule="exact"/>
              <w:jc w:val="center"/>
              <w:rPr>
                <w:sz w:val="24"/>
              </w:rPr>
            </w:pPr>
            <w:r>
              <w:rPr>
                <w:rFonts w:hint="eastAsia"/>
                <w:sz w:val="24"/>
              </w:rPr>
              <w:t>的管理</w:t>
            </w:r>
          </w:p>
        </w:tc>
        <w:tc>
          <w:tcPr>
            <w:tcW w:w="6303" w:type="dxa"/>
            <w:gridSpan w:val="2"/>
            <w:vAlign w:val="center"/>
          </w:tcPr>
          <w:p>
            <w:pPr>
              <w:spacing w:line="460" w:lineRule="exact"/>
              <w:rPr>
                <w:sz w:val="24"/>
              </w:rPr>
            </w:pPr>
            <w:r>
              <w:rPr>
                <w:rFonts w:hint="eastAsia"/>
                <w:sz w:val="24"/>
              </w:rPr>
              <w:t>婴幼儿</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儿童、少年</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中青年人（孕妇、乳母）</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老年人</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案例介绍：</w:t>
            </w:r>
          </w:p>
          <w:p>
            <w:pPr>
              <w:spacing w:line="460" w:lineRule="exact"/>
              <w:jc w:val="center"/>
              <w:rPr>
                <w:sz w:val="24"/>
              </w:rPr>
            </w:pPr>
            <w:r>
              <w:rPr>
                <w:rFonts w:hint="eastAsia"/>
                <w:sz w:val="24"/>
              </w:rPr>
              <w:t>社区主要健康管理模式</w:t>
            </w:r>
          </w:p>
        </w:tc>
        <w:tc>
          <w:tcPr>
            <w:tcW w:w="6303" w:type="dxa"/>
            <w:gridSpan w:val="2"/>
            <w:vAlign w:val="center"/>
          </w:tcPr>
          <w:p>
            <w:pPr>
              <w:spacing w:line="460" w:lineRule="exact"/>
              <w:rPr>
                <w:sz w:val="24"/>
              </w:rPr>
            </w:pPr>
            <w:r>
              <w:rPr>
                <w:rFonts w:hint="eastAsia"/>
                <w:sz w:val="24"/>
              </w:rPr>
              <w:t>卫生部健康体重与生活方式管理模式</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中国疾控中心高血压糖尿病重点干预模式</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健康与生产力管理模模式</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 w:val="24"/>
              </w:rPr>
            </w:pPr>
            <w:r>
              <w:rPr>
                <w:rFonts w:hint="eastAsia"/>
                <w:sz w:val="24"/>
              </w:rPr>
              <w:t>第十二章</w:t>
            </w:r>
          </w:p>
          <w:p>
            <w:pPr>
              <w:spacing w:line="460" w:lineRule="exact"/>
              <w:jc w:val="center"/>
              <w:rPr>
                <w:sz w:val="24"/>
              </w:rPr>
            </w:pPr>
            <w:r>
              <w:rPr>
                <w:rFonts w:hint="eastAsia"/>
                <w:sz w:val="24"/>
              </w:rPr>
              <w:t>健康管理在保险行业中的应用</w:t>
            </w:r>
          </w:p>
        </w:tc>
        <w:tc>
          <w:tcPr>
            <w:tcW w:w="1800" w:type="dxa"/>
            <w:vMerge w:val="restart"/>
            <w:vAlign w:val="center"/>
          </w:tcPr>
          <w:p>
            <w:pPr>
              <w:spacing w:line="460" w:lineRule="exact"/>
              <w:jc w:val="center"/>
              <w:rPr>
                <w:sz w:val="24"/>
              </w:rPr>
            </w:pPr>
            <w:r>
              <w:rPr>
                <w:rFonts w:hint="eastAsia"/>
                <w:sz w:val="24"/>
              </w:rPr>
              <w:t>健康保险</w:t>
            </w:r>
          </w:p>
          <w:p>
            <w:pPr>
              <w:spacing w:line="460" w:lineRule="exact"/>
              <w:jc w:val="center"/>
              <w:rPr>
                <w:sz w:val="24"/>
              </w:rPr>
            </w:pPr>
            <w:r>
              <w:rPr>
                <w:rFonts w:hint="eastAsia"/>
                <w:sz w:val="24"/>
              </w:rPr>
              <w:t>基本知识</w:t>
            </w:r>
          </w:p>
        </w:tc>
        <w:tc>
          <w:tcPr>
            <w:tcW w:w="6303" w:type="dxa"/>
            <w:gridSpan w:val="2"/>
            <w:vAlign w:val="center"/>
          </w:tcPr>
          <w:p>
            <w:pPr>
              <w:spacing w:line="460" w:lineRule="exact"/>
              <w:rPr>
                <w:sz w:val="24"/>
              </w:rPr>
            </w:pPr>
            <w:r>
              <w:rPr>
                <w:rFonts w:hint="eastAsia"/>
                <w:sz w:val="24"/>
              </w:rPr>
              <w:t>健康保险的概念和原理</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商业健康保险的分类和原理</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社会医疗保险的特点与主要政策</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我国商业健康保险的历史、现状与发展趋势</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我国社会医疗保险的历史、现状与发展趋势</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健康保险的</w:t>
            </w:r>
          </w:p>
          <w:p>
            <w:pPr>
              <w:spacing w:line="460" w:lineRule="exact"/>
              <w:jc w:val="center"/>
              <w:rPr>
                <w:sz w:val="24"/>
              </w:rPr>
            </w:pPr>
            <w:r>
              <w:rPr>
                <w:rFonts w:hint="eastAsia"/>
                <w:sz w:val="24"/>
              </w:rPr>
              <w:t>几种制度体系</w:t>
            </w:r>
          </w:p>
        </w:tc>
        <w:tc>
          <w:tcPr>
            <w:tcW w:w="6303" w:type="dxa"/>
            <w:gridSpan w:val="2"/>
            <w:vAlign w:val="center"/>
          </w:tcPr>
          <w:p>
            <w:pPr>
              <w:spacing w:line="460" w:lineRule="exact"/>
              <w:rPr>
                <w:sz w:val="24"/>
              </w:rPr>
            </w:pPr>
            <w:r>
              <w:rPr>
                <w:rFonts w:hint="eastAsia"/>
                <w:sz w:val="24"/>
              </w:rPr>
              <w:t>国家健康保险制度体系（英国）</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社会健康保险制度体系（德国）</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商业健康保险制度体系（美国）</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健康管理</w:t>
            </w:r>
          </w:p>
          <w:p>
            <w:pPr>
              <w:spacing w:line="460" w:lineRule="exact"/>
              <w:jc w:val="center"/>
              <w:rPr>
                <w:sz w:val="24"/>
              </w:rPr>
            </w:pPr>
            <w:r>
              <w:rPr>
                <w:rFonts w:hint="eastAsia"/>
                <w:sz w:val="24"/>
              </w:rPr>
              <w:t>与健康保险</w:t>
            </w:r>
          </w:p>
        </w:tc>
        <w:tc>
          <w:tcPr>
            <w:tcW w:w="6303" w:type="dxa"/>
            <w:gridSpan w:val="2"/>
            <w:vAlign w:val="center"/>
          </w:tcPr>
          <w:p>
            <w:pPr>
              <w:spacing w:line="460" w:lineRule="exact"/>
              <w:rPr>
                <w:sz w:val="24"/>
              </w:rPr>
            </w:pPr>
            <w:r>
              <w:rPr>
                <w:rFonts w:hint="eastAsia"/>
                <w:sz w:val="24"/>
              </w:rPr>
              <w:t>健康保险行业中健康管理的含义</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健康保险对健康管理的意义</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需求管理</w:t>
            </w:r>
          </w:p>
          <w:p>
            <w:pPr>
              <w:spacing w:line="460" w:lineRule="exact"/>
              <w:jc w:val="center"/>
              <w:rPr>
                <w:sz w:val="24"/>
              </w:rPr>
            </w:pPr>
            <w:r>
              <w:rPr>
                <w:rFonts w:hint="eastAsia"/>
                <w:sz w:val="24"/>
              </w:rPr>
              <w:t>与健康保险</w:t>
            </w:r>
          </w:p>
        </w:tc>
        <w:tc>
          <w:tcPr>
            <w:tcW w:w="6303" w:type="dxa"/>
            <w:gridSpan w:val="2"/>
            <w:vAlign w:val="center"/>
          </w:tcPr>
          <w:p>
            <w:pPr>
              <w:spacing w:line="460" w:lineRule="exact"/>
              <w:rPr>
                <w:sz w:val="24"/>
              </w:rPr>
            </w:pPr>
            <w:r>
              <w:rPr>
                <w:rFonts w:hint="eastAsia"/>
                <w:sz w:val="24"/>
              </w:rPr>
              <w:t>需求管理概念</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影响需求的主要因素</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需求预测方法</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需求管理主要工具</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需求管理在健康保险中的应用</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群体健康管理</w:t>
            </w:r>
          </w:p>
          <w:p>
            <w:pPr>
              <w:spacing w:line="460" w:lineRule="exact"/>
              <w:jc w:val="center"/>
              <w:rPr>
                <w:sz w:val="24"/>
              </w:rPr>
            </w:pPr>
            <w:r>
              <w:rPr>
                <w:rFonts w:hint="eastAsia"/>
                <w:sz w:val="24"/>
              </w:rPr>
              <w:t>与健康保险</w:t>
            </w:r>
          </w:p>
        </w:tc>
        <w:tc>
          <w:tcPr>
            <w:tcW w:w="6303" w:type="dxa"/>
            <w:gridSpan w:val="2"/>
            <w:vAlign w:val="center"/>
          </w:tcPr>
          <w:p>
            <w:pPr>
              <w:spacing w:line="460" w:lineRule="exact"/>
              <w:rPr>
                <w:sz w:val="24"/>
              </w:rPr>
            </w:pPr>
            <w:r>
              <w:rPr>
                <w:rFonts w:hint="eastAsia"/>
                <w:sz w:val="24"/>
              </w:rPr>
              <w:t>群体健康管理概念</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群体健康管理运作方法</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群体健康管理在健康保险中的应用</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慢性疾病</w:t>
            </w:r>
          </w:p>
          <w:p>
            <w:pPr>
              <w:spacing w:line="460" w:lineRule="exact"/>
              <w:jc w:val="center"/>
              <w:rPr>
                <w:sz w:val="24"/>
              </w:rPr>
            </w:pPr>
            <w:r>
              <w:rPr>
                <w:rFonts w:hint="eastAsia"/>
                <w:sz w:val="24"/>
              </w:rPr>
              <w:t>与健康保险</w:t>
            </w:r>
          </w:p>
        </w:tc>
        <w:tc>
          <w:tcPr>
            <w:tcW w:w="6303" w:type="dxa"/>
            <w:gridSpan w:val="2"/>
            <w:vAlign w:val="center"/>
          </w:tcPr>
          <w:p>
            <w:pPr>
              <w:spacing w:line="460" w:lineRule="exact"/>
              <w:rPr>
                <w:sz w:val="24"/>
              </w:rPr>
            </w:pPr>
            <w:r>
              <w:rPr>
                <w:rFonts w:hint="eastAsia"/>
                <w:sz w:val="24"/>
              </w:rPr>
              <w:t>慢性疾病管理概念</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慢性疾病管理特点</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慢性疾病管理运作方法</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慢性疾病管理在健康保险中的应用</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灾害性病伤管理</w:t>
            </w:r>
          </w:p>
          <w:p>
            <w:pPr>
              <w:spacing w:line="460" w:lineRule="exact"/>
              <w:jc w:val="center"/>
              <w:rPr>
                <w:sz w:val="24"/>
              </w:rPr>
            </w:pPr>
            <w:r>
              <w:rPr>
                <w:rFonts w:hint="eastAsia"/>
                <w:sz w:val="24"/>
              </w:rPr>
              <w:t>与健康保健</w:t>
            </w:r>
          </w:p>
        </w:tc>
        <w:tc>
          <w:tcPr>
            <w:tcW w:w="6303" w:type="dxa"/>
            <w:gridSpan w:val="2"/>
            <w:vAlign w:val="center"/>
          </w:tcPr>
          <w:p>
            <w:pPr>
              <w:spacing w:line="460" w:lineRule="exact"/>
              <w:rPr>
                <w:sz w:val="24"/>
              </w:rPr>
            </w:pPr>
            <w:r>
              <w:rPr>
                <w:rFonts w:hint="eastAsia"/>
                <w:sz w:val="24"/>
              </w:rPr>
              <w:t>灾害性病伤管理概念</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灾害性病伤管理特点</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灾害性病伤管理在健康管理中的应用</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 w:val="24"/>
              </w:rPr>
            </w:pPr>
            <w:r>
              <w:rPr>
                <w:rFonts w:hint="eastAsia"/>
                <w:sz w:val="24"/>
              </w:rPr>
              <w:t>第十三章</w:t>
            </w:r>
          </w:p>
          <w:p>
            <w:pPr>
              <w:spacing w:line="460" w:lineRule="exact"/>
              <w:jc w:val="center"/>
              <w:rPr>
                <w:sz w:val="24"/>
              </w:rPr>
            </w:pPr>
            <w:r>
              <w:rPr>
                <w:rFonts w:hint="eastAsia"/>
                <w:sz w:val="24"/>
              </w:rPr>
              <w:t>健康管理在健康体检行业中的应用</w:t>
            </w:r>
          </w:p>
        </w:tc>
        <w:tc>
          <w:tcPr>
            <w:tcW w:w="1800" w:type="dxa"/>
            <w:vAlign w:val="center"/>
          </w:tcPr>
          <w:p>
            <w:pPr>
              <w:spacing w:line="460" w:lineRule="exact"/>
              <w:jc w:val="center"/>
              <w:rPr>
                <w:sz w:val="24"/>
              </w:rPr>
            </w:pPr>
            <w:r>
              <w:rPr>
                <w:rFonts w:hint="eastAsia"/>
                <w:sz w:val="24"/>
              </w:rPr>
              <w:t>体检与</w:t>
            </w:r>
          </w:p>
          <w:p>
            <w:pPr>
              <w:spacing w:line="460" w:lineRule="exact"/>
              <w:jc w:val="center"/>
              <w:rPr>
                <w:sz w:val="24"/>
              </w:rPr>
            </w:pPr>
            <w:r>
              <w:rPr>
                <w:rFonts w:hint="eastAsia"/>
                <w:sz w:val="24"/>
              </w:rPr>
              <w:t>健康管理</w:t>
            </w:r>
          </w:p>
        </w:tc>
        <w:tc>
          <w:tcPr>
            <w:tcW w:w="6303" w:type="dxa"/>
            <w:gridSpan w:val="2"/>
            <w:vAlign w:val="center"/>
          </w:tcPr>
          <w:p>
            <w:pPr>
              <w:spacing w:line="460" w:lineRule="exact"/>
              <w:rPr>
                <w:sz w:val="24"/>
              </w:rPr>
            </w:pPr>
            <w:r>
              <w:rPr>
                <w:rFonts w:hint="eastAsia"/>
                <w:sz w:val="24"/>
              </w:rPr>
              <w:t>体检在健康管理中的地位与作用</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Align w:val="center"/>
          </w:tcPr>
          <w:p>
            <w:pPr>
              <w:spacing w:line="460" w:lineRule="exact"/>
              <w:jc w:val="center"/>
              <w:rPr>
                <w:sz w:val="24"/>
              </w:rPr>
            </w:pPr>
            <w:r>
              <w:rPr>
                <w:rFonts w:hint="eastAsia"/>
                <w:sz w:val="24"/>
              </w:rPr>
              <w:t>体检中心</w:t>
            </w:r>
          </w:p>
          <w:p>
            <w:pPr>
              <w:spacing w:line="460" w:lineRule="exact"/>
              <w:jc w:val="center"/>
              <w:rPr>
                <w:sz w:val="24"/>
              </w:rPr>
            </w:pPr>
            <w:r>
              <w:rPr>
                <w:rFonts w:hint="eastAsia"/>
                <w:sz w:val="24"/>
              </w:rPr>
              <w:t>的设置</w:t>
            </w:r>
          </w:p>
        </w:tc>
        <w:tc>
          <w:tcPr>
            <w:tcW w:w="6303" w:type="dxa"/>
            <w:gridSpan w:val="2"/>
            <w:vAlign w:val="center"/>
          </w:tcPr>
          <w:p>
            <w:pPr>
              <w:spacing w:line="460" w:lineRule="exact"/>
              <w:rPr>
                <w:sz w:val="24"/>
              </w:rPr>
            </w:pPr>
            <w:r>
              <w:rPr>
                <w:rFonts w:hint="eastAsia"/>
                <w:sz w:val="24"/>
              </w:rPr>
              <w:t>体检中心科室设置、布局，《体检机构管理办法》对体检中心的要求</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体检计划</w:t>
            </w:r>
          </w:p>
          <w:p>
            <w:pPr>
              <w:spacing w:line="460" w:lineRule="exact"/>
              <w:jc w:val="center"/>
              <w:rPr>
                <w:sz w:val="24"/>
              </w:rPr>
            </w:pPr>
            <w:r>
              <w:rPr>
                <w:rFonts w:hint="eastAsia"/>
                <w:sz w:val="24"/>
              </w:rPr>
              <w:t>的制定</w:t>
            </w:r>
          </w:p>
        </w:tc>
        <w:tc>
          <w:tcPr>
            <w:tcW w:w="6303" w:type="dxa"/>
            <w:gridSpan w:val="2"/>
            <w:vAlign w:val="center"/>
          </w:tcPr>
          <w:p>
            <w:pPr>
              <w:spacing w:line="460" w:lineRule="exact"/>
              <w:rPr>
                <w:sz w:val="24"/>
              </w:rPr>
            </w:pPr>
            <w:r>
              <w:rPr>
                <w:rFonts w:hint="eastAsia"/>
                <w:sz w:val="24"/>
              </w:rPr>
              <w:t>体检套餐设计</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访谈与问卷</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体检实施</w:t>
            </w:r>
          </w:p>
          <w:p>
            <w:pPr>
              <w:spacing w:line="460" w:lineRule="exact"/>
              <w:jc w:val="center"/>
              <w:rPr>
                <w:sz w:val="24"/>
              </w:rPr>
            </w:pPr>
            <w:r>
              <w:rPr>
                <w:rFonts w:hint="eastAsia"/>
                <w:sz w:val="24"/>
              </w:rPr>
              <w:t>与注意事项</w:t>
            </w:r>
          </w:p>
        </w:tc>
        <w:tc>
          <w:tcPr>
            <w:tcW w:w="6303" w:type="dxa"/>
            <w:gridSpan w:val="2"/>
            <w:vAlign w:val="center"/>
          </w:tcPr>
          <w:p>
            <w:pPr>
              <w:spacing w:line="460" w:lineRule="exact"/>
              <w:rPr>
                <w:sz w:val="24"/>
              </w:rPr>
            </w:pPr>
            <w:r>
              <w:rPr>
                <w:rFonts w:hint="eastAsia"/>
                <w:sz w:val="24"/>
              </w:rPr>
              <w:t>实施步骤</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如何准确收集数据</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如何规避风险</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体检软件</w:t>
            </w:r>
          </w:p>
        </w:tc>
        <w:tc>
          <w:tcPr>
            <w:tcW w:w="6303" w:type="dxa"/>
            <w:gridSpan w:val="2"/>
            <w:vAlign w:val="center"/>
          </w:tcPr>
          <w:p>
            <w:pPr>
              <w:spacing w:line="460" w:lineRule="exact"/>
              <w:rPr>
                <w:sz w:val="24"/>
              </w:rPr>
            </w:pPr>
            <w:r>
              <w:rPr>
                <w:rFonts w:hint="eastAsia"/>
                <w:sz w:val="24"/>
              </w:rPr>
              <w:t>体检软件的基本功能</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体检软件的特点</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体检报告的</w:t>
            </w:r>
          </w:p>
          <w:p>
            <w:pPr>
              <w:spacing w:line="460" w:lineRule="exact"/>
              <w:jc w:val="center"/>
              <w:rPr>
                <w:sz w:val="24"/>
              </w:rPr>
            </w:pPr>
            <w:r>
              <w:rPr>
                <w:rFonts w:hint="eastAsia"/>
                <w:sz w:val="24"/>
              </w:rPr>
              <w:t>编制与解读</w:t>
            </w:r>
          </w:p>
        </w:tc>
        <w:tc>
          <w:tcPr>
            <w:tcW w:w="6303" w:type="dxa"/>
            <w:gridSpan w:val="2"/>
            <w:vAlign w:val="center"/>
          </w:tcPr>
          <w:p>
            <w:pPr>
              <w:spacing w:line="460" w:lineRule="exact"/>
              <w:rPr>
                <w:sz w:val="24"/>
              </w:rPr>
            </w:pPr>
            <w:r>
              <w:rPr>
                <w:rFonts w:hint="eastAsia"/>
                <w:sz w:val="24"/>
              </w:rPr>
              <w:t>体检报告的编制（生理数据提取与访谈问卷的综合分析）</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体检报告的解毒</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restart"/>
            <w:vAlign w:val="center"/>
          </w:tcPr>
          <w:p>
            <w:pPr>
              <w:spacing w:line="460" w:lineRule="exact"/>
              <w:jc w:val="center"/>
              <w:rPr>
                <w:sz w:val="24"/>
              </w:rPr>
            </w:pPr>
            <w:r>
              <w:rPr>
                <w:rFonts w:hint="eastAsia"/>
                <w:sz w:val="24"/>
              </w:rPr>
              <w:t>检后服务</w:t>
            </w:r>
          </w:p>
        </w:tc>
        <w:tc>
          <w:tcPr>
            <w:tcW w:w="6303" w:type="dxa"/>
            <w:gridSpan w:val="2"/>
            <w:vAlign w:val="center"/>
          </w:tcPr>
          <w:p>
            <w:pPr>
              <w:spacing w:line="460" w:lineRule="exact"/>
              <w:rPr>
                <w:sz w:val="24"/>
              </w:rPr>
            </w:pPr>
            <w:r>
              <w:rPr>
                <w:rFonts w:hint="eastAsia"/>
                <w:sz w:val="24"/>
              </w:rPr>
              <w:t>健康咨询</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健康宣教</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健康管理计划实施</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健康管理效果评估</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restart"/>
            <w:vAlign w:val="center"/>
          </w:tcPr>
          <w:p>
            <w:pPr>
              <w:spacing w:line="460" w:lineRule="exact"/>
              <w:jc w:val="center"/>
              <w:rPr>
                <w:sz w:val="24"/>
              </w:rPr>
            </w:pPr>
            <w:r>
              <w:rPr>
                <w:rFonts w:hint="eastAsia"/>
                <w:sz w:val="24"/>
              </w:rPr>
              <w:t>第十四章</w:t>
            </w:r>
          </w:p>
          <w:p>
            <w:pPr>
              <w:spacing w:line="460" w:lineRule="exact"/>
              <w:jc w:val="center"/>
              <w:rPr>
                <w:sz w:val="24"/>
              </w:rPr>
            </w:pPr>
            <w:r>
              <w:rPr>
                <w:rFonts w:hint="eastAsia"/>
                <w:sz w:val="24"/>
              </w:rPr>
              <w:t>健康服务</w:t>
            </w:r>
          </w:p>
          <w:p>
            <w:pPr>
              <w:spacing w:line="460" w:lineRule="exact"/>
              <w:jc w:val="center"/>
              <w:rPr>
                <w:sz w:val="24"/>
              </w:rPr>
            </w:pPr>
            <w:r>
              <w:rPr>
                <w:rFonts w:hint="eastAsia"/>
                <w:sz w:val="24"/>
              </w:rPr>
              <w:t>产业</w:t>
            </w:r>
          </w:p>
        </w:tc>
        <w:tc>
          <w:tcPr>
            <w:tcW w:w="1800" w:type="dxa"/>
            <w:vMerge w:val="restart"/>
            <w:vAlign w:val="center"/>
          </w:tcPr>
          <w:p>
            <w:pPr>
              <w:spacing w:line="460" w:lineRule="exact"/>
              <w:jc w:val="center"/>
              <w:rPr>
                <w:sz w:val="24"/>
              </w:rPr>
            </w:pPr>
            <w:r>
              <w:rPr>
                <w:rFonts w:hint="eastAsia"/>
                <w:sz w:val="24"/>
              </w:rPr>
              <w:t>健康管理服务</w:t>
            </w:r>
          </w:p>
          <w:p>
            <w:pPr>
              <w:spacing w:line="460" w:lineRule="exact"/>
              <w:jc w:val="center"/>
              <w:rPr>
                <w:sz w:val="24"/>
              </w:rPr>
            </w:pPr>
            <w:r>
              <w:rPr>
                <w:rFonts w:hint="eastAsia"/>
                <w:sz w:val="24"/>
              </w:rPr>
              <w:t>与营销</w:t>
            </w:r>
          </w:p>
        </w:tc>
        <w:tc>
          <w:tcPr>
            <w:tcW w:w="6303" w:type="dxa"/>
            <w:gridSpan w:val="2"/>
            <w:vAlign w:val="center"/>
          </w:tcPr>
          <w:p>
            <w:pPr>
              <w:spacing w:line="460" w:lineRule="exact"/>
              <w:rPr>
                <w:sz w:val="24"/>
              </w:rPr>
            </w:pPr>
            <w:r>
              <w:rPr>
                <w:rFonts w:hint="eastAsia"/>
                <w:sz w:val="24"/>
              </w:rPr>
              <w:t>专业服务营销概述</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制定营销计划</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vAlign w:val="center"/>
          </w:tcPr>
          <w:p>
            <w:pPr>
              <w:spacing w:line="460" w:lineRule="exact"/>
              <w:jc w:val="center"/>
              <w:rPr>
                <w:sz w:val="24"/>
              </w:rPr>
            </w:pPr>
          </w:p>
        </w:tc>
        <w:tc>
          <w:tcPr>
            <w:tcW w:w="1800" w:type="dxa"/>
            <w:vMerge w:val="continue"/>
            <w:vAlign w:val="center"/>
          </w:tcPr>
          <w:p>
            <w:pPr>
              <w:spacing w:line="460" w:lineRule="exact"/>
              <w:jc w:val="center"/>
              <w:rPr>
                <w:sz w:val="24"/>
              </w:rPr>
            </w:pPr>
          </w:p>
        </w:tc>
        <w:tc>
          <w:tcPr>
            <w:tcW w:w="6303" w:type="dxa"/>
            <w:gridSpan w:val="2"/>
            <w:vAlign w:val="center"/>
          </w:tcPr>
          <w:p>
            <w:pPr>
              <w:spacing w:line="460" w:lineRule="exact"/>
              <w:rPr>
                <w:sz w:val="24"/>
              </w:rPr>
            </w:pPr>
            <w:r>
              <w:rPr>
                <w:rFonts w:hint="eastAsia"/>
                <w:sz w:val="24"/>
              </w:rPr>
              <w:t>服务与产品的不同</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健康服务营销的特殊问题</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发展客户导向的自我定位</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进行有效健康服务营销的要点</w:t>
            </w:r>
          </w:p>
        </w:tc>
        <w:tc>
          <w:tcPr>
            <w:tcW w:w="552" w:type="dxa"/>
            <w:vAlign w:val="center"/>
          </w:tcPr>
          <w:p>
            <w:pPr>
              <w:spacing w:line="460" w:lineRule="exact"/>
              <w:jc w:val="center"/>
              <w:rPr>
                <w:sz w:val="24"/>
              </w:rPr>
            </w:pPr>
            <w:r>
              <w:rPr>
                <w:rFonts w:hint="eastAsia"/>
                <w:sz w:val="24"/>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如何选择目标市场</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竞争优势定位</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vAlign w:val="center"/>
          </w:tcPr>
          <w:p>
            <w:pPr>
              <w:spacing w:line="460" w:lineRule="exact"/>
              <w:jc w:val="center"/>
              <w:rPr>
                <w:sz w:val="24"/>
              </w:rPr>
            </w:pPr>
          </w:p>
        </w:tc>
        <w:tc>
          <w:tcPr>
            <w:tcW w:w="6303" w:type="dxa"/>
            <w:gridSpan w:val="2"/>
          </w:tcPr>
          <w:p>
            <w:pPr>
              <w:spacing w:line="460" w:lineRule="exact"/>
              <w:rPr>
                <w:sz w:val="24"/>
              </w:rPr>
            </w:pPr>
            <w:r>
              <w:rPr>
                <w:rFonts w:hint="eastAsia"/>
                <w:sz w:val="24"/>
              </w:rPr>
              <w:t>人体健康管理服务</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restart"/>
            <w:vAlign w:val="center"/>
          </w:tcPr>
          <w:p>
            <w:pPr>
              <w:spacing w:line="460" w:lineRule="exact"/>
              <w:jc w:val="center"/>
              <w:rPr>
                <w:sz w:val="24"/>
              </w:rPr>
            </w:pPr>
            <w:r>
              <w:rPr>
                <w:rFonts w:hint="eastAsia"/>
                <w:sz w:val="24"/>
              </w:rPr>
              <w:t>健康管理</w:t>
            </w:r>
          </w:p>
          <w:p>
            <w:pPr>
              <w:spacing w:line="460" w:lineRule="exact"/>
              <w:jc w:val="center"/>
              <w:rPr>
                <w:sz w:val="24"/>
              </w:rPr>
            </w:pPr>
            <w:r>
              <w:rPr>
                <w:rFonts w:hint="eastAsia"/>
                <w:sz w:val="24"/>
              </w:rPr>
              <w:t>与相关产业</w:t>
            </w:r>
          </w:p>
          <w:p>
            <w:pPr>
              <w:spacing w:line="460" w:lineRule="exact"/>
              <w:jc w:val="center"/>
              <w:rPr>
                <w:sz w:val="24"/>
              </w:rPr>
            </w:pPr>
            <w:r>
              <w:rPr>
                <w:rFonts w:hint="eastAsia"/>
                <w:sz w:val="24"/>
              </w:rPr>
              <w:t>及部门的关系</w:t>
            </w:r>
          </w:p>
        </w:tc>
        <w:tc>
          <w:tcPr>
            <w:tcW w:w="6303" w:type="dxa"/>
            <w:gridSpan w:val="2"/>
          </w:tcPr>
          <w:p>
            <w:pPr>
              <w:spacing w:line="460" w:lineRule="exact"/>
              <w:rPr>
                <w:sz w:val="24"/>
              </w:rPr>
            </w:pPr>
            <w:r>
              <w:rPr>
                <w:rFonts w:hint="eastAsia"/>
                <w:sz w:val="24"/>
              </w:rPr>
              <w:t>健康管理与信息化</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健康维护产品与保健品</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健康管理与健康咨询服务</w:t>
            </w:r>
          </w:p>
        </w:tc>
        <w:tc>
          <w:tcPr>
            <w:tcW w:w="552" w:type="dxa"/>
            <w:vAlign w:val="center"/>
          </w:tcPr>
          <w:p>
            <w:pPr>
              <w:spacing w:line="460" w:lineRule="exact"/>
              <w:jc w:val="center"/>
              <w:rPr>
                <w:sz w:val="24"/>
              </w:rPr>
            </w:pPr>
            <w:r>
              <w:rPr>
                <w:rFonts w:hint="eastAsia"/>
                <w:sz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第三方服务模式</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健康检查与健康监测设备</w:t>
            </w:r>
          </w:p>
        </w:tc>
        <w:tc>
          <w:tcPr>
            <w:tcW w:w="552" w:type="dxa"/>
            <w:vAlign w:val="center"/>
          </w:tcPr>
          <w:p>
            <w:pPr>
              <w:spacing w:line="460" w:lineRule="exact"/>
              <w:jc w:val="center"/>
              <w:rPr>
                <w:sz w:val="24"/>
              </w:rPr>
            </w:pPr>
            <w:r>
              <w:rPr>
                <w:rFonts w:hint="eastAsia"/>
                <w:sz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0" w:type="dxa"/>
            <w:vMerge w:val="continue"/>
          </w:tcPr>
          <w:p>
            <w:pPr>
              <w:spacing w:line="460" w:lineRule="exact"/>
              <w:rPr>
                <w:sz w:val="24"/>
              </w:rPr>
            </w:pPr>
          </w:p>
        </w:tc>
        <w:tc>
          <w:tcPr>
            <w:tcW w:w="1800" w:type="dxa"/>
            <w:vMerge w:val="continue"/>
          </w:tcPr>
          <w:p>
            <w:pPr>
              <w:spacing w:line="460" w:lineRule="exact"/>
              <w:rPr>
                <w:sz w:val="24"/>
              </w:rPr>
            </w:pPr>
          </w:p>
        </w:tc>
        <w:tc>
          <w:tcPr>
            <w:tcW w:w="6303" w:type="dxa"/>
            <w:gridSpan w:val="2"/>
          </w:tcPr>
          <w:p>
            <w:pPr>
              <w:spacing w:line="460" w:lineRule="exact"/>
              <w:rPr>
                <w:sz w:val="24"/>
              </w:rPr>
            </w:pPr>
            <w:r>
              <w:rPr>
                <w:rFonts w:hint="eastAsia"/>
                <w:sz w:val="24"/>
              </w:rPr>
              <w:t>其他</w:t>
            </w:r>
          </w:p>
        </w:tc>
        <w:tc>
          <w:tcPr>
            <w:tcW w:w="552" w:type="dxa"/>
            <w:vAlign w:val="center"/>
          </w:tcPr>
          <w:p>
            <w:pPr>
              <w:spacing w:line="460" w:lineRule="exact"/>
              <w:jc w:val="center"/>
              <w:rPr>
                <w:sz w:val="24"/>
              </w:rPr>
            </w:pPr>
            <w:r>
              <w:rPr>
                <w:rFonts w:hint="eastAsia"/>
                <w:sz w:val="24"/>
              </w:rPr>
              <w:t>L</w:t>
            </w:r>
          </w:p>
        </w:tc>
      </w:tr>
    </w:tbl>
    <w:p>
      <w:pPr>
        <w:jc w:val="center"/>
      </w:pPr>
    </w:p>
    <w:p>
      <w:pPr>
        <w:jc w:val="center"/>
      </w:pPr>
    </w:p>
    <w:p>
      <w:pPr>
        <w:numPr>
          <w:ilvl w:val="0"/>
          <w:numId w:val="2"/>
        </w:numPr>
        <w:rPr>
          <w:b/>
          <w:bCs/>
          <w:sz w:val="28"/>
          <w:szCs w:val="28"/>
        </w:rPr>
      </w:pPr>
      <w:r>
        <w:rPr>
          <w:rFonts w:hint="eastAsia"/>
          <w:b/>
          <w:bCs/>
          <w:sz w:val="28"/>
          <w:szCs w:val="28"/>
        </w:rPr>
        <w:t>部分师资力量</w:t>
      </w:r>
    </w:p>
    <w:p>
      <w:r>
        <w:drawing>
          <wp:inline distT="0" distB="0" distL="114300" distR="114300">
            <wp:extent cx="6181725" cy="3435985"/>
            <wp:effectExtent l="0" t="0" r="952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6181725" cy="3435985"/>
                    </a:xfrm>
                    <a:prstGeom prst="rect">
                      <a:avLst/>
                    </a:prstGeom>
                    <a:noFill/>
                    <a:ln>
                      <a:noFill/>
                    </a:ln>
                  </pic:spPr>
                </pic:pic>
              </a:graphicData>
            </a:graphic>
          </wp:inline>
        </w:drawing>
      </w:r>
    </w:p>
    <w:p>
      <w:r>
        <w:drawing>
          <wp:inline distT="0" distB="0" distL="114300" distR="114300">
            <wp:extent cx="6186170" cy="3426460"/>
            <wp:effectExtent l="0" t="0" r="508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6186170" cy="3426460"/>
                    </a:xfrm>
                    <a:prstGeom prst="rect">
                      <a:avLst/>
                    </a:prstGeom>
                    <a:noFill/>
                    <a:ln>
                      <a:noFill/>
                    </a:ln>
                  </pic:spPr>
                </pic:pic>
              </a:graphicData>
            </a:graphic>
          </wp:inline>
        </w:drawing>
      </w:r>
    </w:p>
    <w:p>
      <w:pPr>
        <w:numPr>
          <w:ilvl w:val="0"/>
          <w:numId w:val="2"/>
        </w:numPr>
        <w:rPr>
          <w:b/>
          <w:bCs/>
          <w:sz w:val="28"/>
          <w:szCs w:val="28"/>
        </w:rPr>
      </w:pPr>
      <w:r>
        <w:rPr>
          <w:rFonts w:hint="eastAsia"/>
          <w:b/>
          <w:bCs/>
          <w:sz w:val="28"/>
          <w:szCs w:val="28"/>
        </w:rPr>
        <w:t>部分合作伙伴</w:t>
      </w:r>
    </w:p>
    <w:p>
      <w:r>
        <w:drawing>
          <wp:inline distT="0" distB="0" distL="0" distR="0">
            <wp:extent cx="5610225" cy="3192145"/>
            <wp:effectExtent l="0" t="0" r="9525"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0"/>
                    <a:srcRect/>
                    <a:stretch>
                      <a:fillRect/>
                    </a:stretch>
                  </pic:blipFill>
                  <pic:spPr>
                    <a:xfrm>
                      <a:off x="0" y="0"/>
                      <a:ext cx="5614088" cy="3194970"/>
                    </a:xfrm>
                    <a:prstGeom prst="rect">
                      <a:avLst/>
                    </a:prstGeom>
                    <a:noFill/>
                    <a:ln w="9525">
                      <a:noFill/>
                      <a:miter lim="800000"/>
                      <a:headEnd/>
                      <a:tailEnd/>
                    </a:ln>
                  </pic:spPr>
                </pic:pic>
              </a:graphicData>
            </a:graphic>
          </wp:inline>
        </w:drawing>
      </w:r>
    </w:p>
    <w:p>
      <w:pPr>
        <w:rPr>
          <w:szCs w:val="21"/>
        </w:rPr>
      </w:pPr>
      <w:r>
        <w:rPr>
          <w:rFonts w:hint="eastAsia"/>
          <w:b/>
          <w:bCs/>
          <w:sz w:val="28"/>
          <w:szCs w:val="28"/>
        </w:rPr>
        <w:t>六、学习对象</w:t>
      </w:r>
      <w:r>
        <w:rPr>
          <w:rFonts w:hint="eastAsia"/>
          <w:sz w:val="28"/>
          <w:szCs w:val="28"/>
        </w:rPr>
        <w:br w:type="textWrapping"/>
      </w:r>
      <w:r>
        <w:rPr>
          <w:rFonts w:hint="eastAsia"/>
          <w:szCs w:val="21"/>
        </w:rPr>
        <w:t>1、大、中专院校在校学生；</w:t>
      </w:r>
      <w:r>
        <w:rPr>
          <w:rFonts w:hint="eastAsia"/>
          <w:szCs w:val="21"/>
        </w:rPr>
        <w:br w:type="textWrapping"/>
      </w:r>
      <w:r>
        <w:rPr>
          <w:rFonts w:hint="eastAsia"/>
          <w:szCs w:val="21"/>
        </w:rPr>
        <w:t>2、医院营养保健科室人员、相关临床科室人员、护士；</w:t>
      </w:r>
      <w:r>
        <w:rPr>
          <w:rFonts w:hint="eastAsia"/>
          <w:szCs w:val="21"/>
        </w:rPr>
        <w:br w:type="textWrapping"/>
      </w:r>
      <w:r>
        <w:rPr>
          <w:rFonts w:hint="eastAsia"/>
          <w:szCs w:val="21"/>
        </w:rPr>
        <w:t>3、学校、幼儿园、社区中负责膳食工作或从事营养与健康教育工作的人员；</w:t>
      </w:r>
      <w:r>
        <w:rPr>
          <w:rFonts w:hint="eastAsia"/>
          <w:szCs w:val="21"/>
        </w:rPr>
        <w:br w:type="textWrapping"/>
      </w:r>
      <w:r>
        <w:rPr>
          <w:rFonts w:hint="eastAsia"/>
          <w:szCs w:val="21"/>
        </w:rPr>
        <w:t>4、医药、营养保健品、食品、餐饮企业及美容、直销、健身、保险（寿险）等行业人员、高级管家、服务业销售员等；</w:t>
      </w:r>
      <w:r>
        <w:rPr>
          <w:rFonts w:hint="eastAsia"/>
          <w:szCs w:val="21"/>
        </w:rPr>
        <w:br w:type="textWrapping"/>
      </w:r>
      <w:r>
        <w:rPr>
          <w:rFonts w:hint="eastAsia"/>
          <w:szCs w:val="21"/>
        </w:rPr>
        <w:t>5、有志于全职或兼职从事营养健康工作或对营养、保健、健康知识有浓厚兴趣，希望系统学习者</w:t>
      </w:r>
    </w:p>
    <w:p>
      <w:pPr>
        <w:rPr>
          <w:b/>
          <w:bCs/>
          <w:sz w:val="28"/>
          <w:szCs w:val="28"/>
        </w:rPr>
      </w:pPr>
      <w:r>
        <w:rPr>
          <w:rFonts w:hint="eastAsia"/>
          <w:b/>
          <w:bCs/>
          <w:sz w:val="28"/>
          <w:szCs w:val="28"/>
        </w:rPr>
        <w:t>七、就业方向</w:t>
      </w:r>
    </w:p>
    <w:p>
      <w:pPr>
        <w:numPr>
          <w:ilvl w:val="0"/>
          <w:numId w:val="3"/>
        </w:numPr>
        <w:rPr>
          <w:szCs w:val="21"/>
        </w:rPr>
      </w:pPr>
      <w:r>
        <w:rPr>
          <w:rFonts w:hint="eastAsia"/>
          <w:szCs w:val="21"/>
        </w:rPr>
        <w:t>医疗诊所健康管理师：通常在医院、社区健身中心或保健机构工作，负责确诊病人的健康问题，列出保健计划和饮食干预方案，并监督饮食变化的有效性。</w:t>
      </w:r>
      <w:r>
        <w:rPr>
          <w:rFonts w:hint="eastAsia"/>
          <w:szCs w:val="21"/>
        </w:rPr>
        <w:br w:type="textWrapping"/>
      </w:r>
      <w:r>
        <w:rPr>
          <w:rFonts w:hint="eastAsia"/>
          <w:szCs w:val="21"/>
        </w:rPr>
        <w:t>2、健康管理咨询师：为个人、机构、商务组织提供有关健康管理师、营养、食疗和餐饮服务等方面的专家建议。</w:t>
      </w:r>
      <w:r>
        <w:rPr>
          <w:rFonts w:hint="eastAsia"/>
          <w:szCs w:val="21"/>
        </w:rPr>
        <w:br w:type="textWrapping"/>
      </w:r>
      <w:r>
        <w:rPr>
          <w:rFonts w:hint="eastAsia"/>
          <w:szCs w:val="21"/>
        </w:rPr>
        <w:t>3、专业健康管理师：多在专业的体检、健康管理中心，从事高端客户的健康管理工作，制定客户的健康管理方案、跟踪并调整方案，给出阶段性干预效果报告。</w:t>
      </w:r>
      <w:r>
        <w:rPr>
          <w:rFonts w:hint="eastAsia"/>
          <w:szCs w:val="21"/>
        </w:rPr>
        <w:br w:type="textWrapping"/>
      </w:r>
      <w:r>
        <w:rPr>
          <w:rFonts w:hint="eastAsia"/>
          <w:szCs w:val="21"/>
        </w:rPr>
        <w:t>4、健康管理讲师：为企业、机关单位进行营养宣教，并为健康类企业组织进行客服、销售、服务等在岗人员的培训。</w:t>
      </w:r>
      <w:r>
        <w:rPr>
          <w:rFonts w:hint="eastAsia"/>
          <w:szCs w:val="21"/>
        </w:rPr>
        <w:br w:type="textWrapping"/>
      </w:r>
      <w:r>
        <w:rPr>
          <w:rFonts w:hint="eastAsia"/>
          <w:szCs w:val="21"/>
        </w:rPr>
        <w:t>5、研究性健康管理师：通常在大学、保健机构和企业工作，负责制定研究项目的计划并执行，从而根本上提高医疗护理水平，节约餐饮服务成本。</w:t>
      </w:r>
      <w:r>
        <w:rPr>
          <w:rFonts w:hint="eastAsia"/>
          <w:szCs w:val="21"/>
        </w:rPr>
        <w:br w:type="textWrapping"/>
      </w:r>
      <w:r>
        <w:rPr>
          <w:rFonts w:hint="eastAsia"/>
          <w:szCs w:val="21"/>
        </w:rPr>
        <w:t>6、市场销售类健康管理师：多在药品、保健品公司，结合自身健康管理知识，从事市场销售类型的工作，同时为客户提供健康管理建议和方案。</w:t>
      </w:r>
      <w:r>
        <w:rPr>
          <w:rFonts w:hint="eastAsia"/>
          <w:szCs w:val="21"/>
        </w:rPr>
        <w:br w:type="textWrapping"/>
      </w:r>
      <w:r>
        <w:rPr>
          <w:rFonts w:hint="eastAsia"/>
          <w:szCs w:val="21"/>
        </w:rPr>
        <w:t>7、商务领域中的健康管理师：多为食品和制药公司、市场协会和餐饮服务供应商服务，协助企业领导进行研究，对管理和市场提出专家性意见，促使企业生产出更好的食品和营养产品并投放市场。</w:t>
      </w:r>
    </w:p>
    <w:p>
      <w:pPr>
        <w:rPr>
          <w:szCs w:val="21"/>
        </w:rPr>
      </w:pPr>
    </w:p>
    <w:p>
      <w:pPr>
        <w:rPr>
          <w:szCs w:val="21"/>
        </w:rPr>
      </w:pPr>
    </w:p>
    <w:p>
      <w:pPr>
        <w:rPr>
          <w:szCs w:val="21"/>
        </w:rPr>
      </w:pPr>
    </w:p>
    <w:p>
      <w:pPr>
        <w:rPr>
          <w:szCs w:val="21"/>
        </w:rPr>
      </w:pPr>
    </w:p>
    <w:p>
      <w:pPr>
        <w:rPr>
          <w:szCs w:val="21"/>
        </w:rPr>
      </w:pPr>
    </w:p>
    <w:p>
      <w:pPr>
        <w:numPr>
          <w:ilvl w:val="0"/>
          <w:numId w:val="4"/>
        </w:numPr>
        <w:rPr>
          <w:b/>
          <w:bCs/>
          <w:sz w:val="28"/>
          <w:szCs w:val="28"/>
        </w:rPr>
      </w:pPr>
      <w:r>
        <w:rPr>
          <w:rFonts w:hint="eastAsia"/>
          <w:b/>
          <w:bCs/>
          <w:sz w:val="28"/>
          <w:szCs w:val="28"/>
        </w:rPr>
        <w:t>培训费用</w:t>
      </w:r>
    </w:p>
    <w:tbl>
      <w:tblPr>
        <w:tblStyle w:val="7"/>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4"/>
        <w:gridCol w:w="1950"/>
        <w:gridCol w:w="4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054" w:type="dxa"/>
          </w:tcPr>
          <w:p>
            <w:pPr>
              <w:rPr>
                <w:b/>
                <w:bCs/>
                <w:sz w:val="28"/>
                <w:szCs w:val="28"/>
              </w:rPr>
            </w:pPr>
            <w:r>
              <w:rPr>
                <w:rFonts w:hint="eastAsia"/>
                <w:b/>
                <w:bCs/>
                <w:sz w:val="28"/>
                <w:szCs w:val="28"/>
              </w:rPr>
              <w:t>班型</w:t>
            </w:r>
          </w:p>
        </w:tc>
        <w:tc>
          <w:tcPr>
            <w:tcW w:w="1950" w:type="dxa"/>
          </w:tcPr>
          <w:p>
            <w:pPr>
              <w:rPr>
                <w:b/>
                <w:bCs/>
                <w:sz w:val="28"/>
                <w:szCs w:val="28"/>
              </w:rPr>
            </w:pPr>
            <w:r>
              <w:rPr>
                <w:rFonts w:hint="eastAsia"/>
                <w:b/>
                <w:bCs/>
                <w:sz w:val="28"/>
                <w:szCs w:val="28"/>
              </w:rPr>
              <w:t>价格</w:t>
            </w:r>
          </w:p>
        </w:tc>
        <w:tc>
          <w:tcPr>
            <w:tcW w:w="4736" w:type="dxa"/>
          </w:tcPr>
          <w:p>
            <w:pPr>
              <w:ind w:firstLine="281" w:firstLineChars="100"/>
              <w:rPr>
                <w:b/>
                <w:bCs/>
                <w:sz w:val="28"/>
                <w:szCs w:val="28"/>
              </w:rPr>
            </w:pPr>
            <w:r>
              <w:rPr>
                <w:rFonts w:hint="eastAsia"/>
                <w:b/>
                <w:bCs/>
                <w:sz w:val="28"/>
                <w:szCs w:val="28"/>
              </w:rPr>
              <w:t>课程包含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054" w:type="dxa"/>
          </w:tcPr>
          <w:p>
            <w:pPr>
              <w:rPr>
                <w:b/>
                <w:bCs/>
                <w:sz w:val="24"/>
              </w:rPr>
            </w:pPr>
            <w:r>
              <w:rPr>
                <w:rFonts w:hint="eastAsia"/>
                <w:b/>
                <w:bCs/>
                <w:sz w:val="24"/>
              </w:rPr>
              <w:t>A:网络单证班</w:t>
            </w:r>
          </w:p>
        </w:tc>
        <w:tc>
          <w:tcPr>
            <w:tcW w:w="1950" w:type="dxa"/>
          </w:tcPr>
          <w:p>
            <w:pPr>
              <w:rPr>
                <w:b/>
                <w:bCs/>
                <w:sz w:val="24"/>
              </w:rPr>
            </w:pPr>
            <w:r>
              <w:rPr>
                <w:rFonts w:hint="eastAsia"/>
                <w:b/>
                <w:bCs/>
                <w:sz w:val="24"/>
              </w:rPr>
              <w:t>1980元/人</w:t>
            </w:r>
          </w:p>
        </w:tc>
        <w:tc>
          <w:tcPr>
            <w:tcW w:w="4736" w:type="dxa"/>
          </w:tcPr>
          <w:p>
            <w:pPr>
              <w:rPr>
                <w:b/>
                <w:bCs/>
                <w:sz w:val="24"/>
              </w:rPr>
            </w:pPr>
            <w:r>
              <w:rPr>
                <w:rFonts w:hint="eastAsia"/>
                <w:b/>
                <w:bCs/>
                <w:sz w:val="24"/>
              </w:rPr>
              <w:t>含教材费、资料费；课程一年内免费重修；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054" w:type="dxa"/>
          </w:tcPr>
          <w:p>
            <w:pPr>
              <w:rPr>
                <w:b/>
                <w:bCs/>
                <w:sz w:val="28"/>
                <w:szCs w:val="28"/>
              </w:rPr>
            </w:pPr>
            <w:r>
              <w:rPr>
                <w:rFonts w:hint="eastAsia"/>
                <w:b/>
                <w:bCs/>
                <w:sz w:val="28"/>
                <w:szCs w:val="28"/>
              </w:rPr>
              <w:t>B:网络双证班</w:t>
            </w:r>
          </w:p>
        </w:tc>
        <w:tc>
          <w:tcPr>
            <w:tcW w:w="1950" w:type="dxa"/>
          </w:tcPr>
          <w:p>
            <w:pPr>
              <w:rPr>
                <w:b/>
                <w:bCs/>
                <w:sz w:val="28"/>
                <w:szCs w:val="28"/>
              </w:rPr>
            </w:pPr>
            <w:r>
              <w:rPr>
                <w:rFonts w:hint="eastAsia"/>
                <w:b/>
                <w:bCs/>
                <w:sz w:val="28"/>
                <w:szCs w:val="28"/>
              </w:rPr>
              <w:t>2980元/人</w:t>
            </w:r>
          </w:p>
        </w:tc>
        <w:tc>
          <w:tcPr>
            <w:tcW w:w="4736" w:type="dxa"/>
          </w:tcPr>
          <w:p>
            <w:pPr>
              <w:rPr>
                <w:b/>
                <w:bCs/>
                <w:sz w:val="28"/>
                <w:szCs w:val="28"/>
              </w:rPr>
            </w:pPr>
            <w:r>
              <w:rPr>
                <w:rFonts w:hint="eastAsia"/>
                <w:b/>
                <w:bCs/>
                <w:sz w:val="28"/>
                <w:szCs w:val="28"/>
              </w:rPr>
              <w:t>含A班型所有服务，增加一款健康管理师专项能力证书；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054" w:type="dxa"/>
          </w:tcPr>
          <w:p>
            <w:pPr>
              <w:rPr>
                <w:b/>
                <w:bCs/>
                <w:sz w:val="28"/>
                <w:szCs w:val="28"/>
              </w:rPr>
            </w:pPr>
            <w:r>
              <w:rPr>
                <w:rFonts w:hint="eastAsia"/>
                <w:b/>
                <w:bCs/>
                <w:sz w:val="28"/>
                <w:szCs w:val="28"/>
              </w:rPr>
              <w:t>C:网络VIP单证班</w:t>
            </w:r>
          </w:p>
        </w:tc>
        <w:tc>
          <w:tcPr>
            <w:tcW w:w="1950" w:type="dxa"/>
          </w:tcPr>
          <w:p>
            <w:pPr>
              <w:rPr>
                <w:b/>
                <w:bCs/>
                <w:sz w:val="28"/>
                <w:szCs w:val="28"/>
              </w:rPr>
            </w:pPr>
            <w:r>
              <w:rPr>
                <w:rFonts w:hint="eastAsia"/>
                <w:b/>
                <w:bCs/>
                <w:sz w:val="28"/>
                <w:szCs w:val="28"/>
              </w:rPr>
              <w:t>5980元/人</w:t>
            </w:r>
          </w:p>
        </w:tc>
        <w:tc>
          <w:tcPr>
            <w:tcW w:w="4736" w:type="dxa"/>
          </w:tcPr>
          <w:p>
            <w:pPr>
              <w:rPr>
                <w:b/>
                <w:bCs/>
                <w:sz w:val="28"/>
                <w:szCs w:val="28"/>
              </w:rPr>
            </w:pPr>
            <w:r>
              <w:rPr>
                <w:rFonts w:hint="eastAsia"/>
                <w:b/>
                <w:bCs/>
                <w:sz w:val="28"/>
                <w:szCs w:val="28"/>
              </w:rPr>
              <w:t>包含A班型所有服务，一年内考试不过退费，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054" w:type="dxa"/>
          </w:tcPr>
          <w:p>
            <w:pPr>
              <w:rPr>
                <w:b/>
                <w:bCs/>
                <w:sz w:val="28"/>
                <w:szCs w:val="28"/>
              </w:rPr>
            </w:pPr>
            <w:r>
              <w:rPr>
                <w:rFonts w:hint="eastAsia"/>
                <w:b/>
                <w:bCs/>
                <w:sz w:val="28"/>
                <w:szCs w:val="28"/>
              </w:rPr>
              <w:t>D:网络VIP双证班</w:t>
            </w:r>
          </w:p>
        </w:tc>
        <w:tc>
          <w:tcPr>
            <w:tcW w:w="1950" w:type="dxa"/>
          </w:tcPr>
          <w:p>
            <w:pPr>
              <w:rPr>
                <w:b/>
                <w:bCs/>
                <w:sz w:val="28"/>
                <w:szCs w:val="28"/>
              </w:rPr>
            </w:pPr>
            <w:r>
              <w:rPr>
                <w:rFonts w:hint="eastAsia"/>
                <w:b/>
                <w:bCs/>
                <w:sz w:val="28"/>
                <w:szCs w:val="28"/>
              </w:rPr>
              <w:t>6980元/人</w:t>
            </w:r>
          </w:p>
        </w:tc>
        <w:tc>
          <w:tcPr>
            <w:tcW w:w="4736" w:type="dxa"/>
          </w:tcPr>
          <w:p>
            <w:pPr>
              <w:rPr>
                <w:b/>
                <w:bCs/>
                <w:sz w:val="28"/>
                <w:szCs w:val="28"/>
              </w:rPr>
            </w:pPr>
            <w:r>
              <w:rPr>
                <w:rFonts w:hint="eastAsia"/>
                <w:b/>
                <w:bCs/>
                <w:sz w:val="28"/>
                <w:szCs w:val="28"/>
              </w:rPr>
              <w:t>包含B班型所有服务，一年内考试不过退费，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054" w:type="dxa"/>
          </w:tcPr>
          <w:p>
            <w:pPr>
              <w:rPr>
                <w:b/>
                <w:bCs/>
                <w:sz w:val="28"/>
                <w:szCs w:val="28"/>
              </w:rPr>
            </w:pPr>
            <w:r>
              <w:rPr>
                <w:rFonts w:hint="eastAsia"/>
                <w:b/>
                <w:bCs/>
                <w:sz w:val="28"/>
                <w:szCs w:val="28"/>
              </w:rPr>
              <w:t>E：网络VIP金牌双证班</w:t>
            </w:r>
          </w:p>
        </w:tc>
        <w:tc>
          <w:tcPr>
            <w:tcW w:w="1950" w:type="dxa"/>
          </w:tcPr>
          <w:p>
            <w:pPr>
              <w:rPr>
                <w:b/>
                <w:bCs/>
                <w:sz w:val="28"/>
                <w:szCs w:val="28"/>
              </w:rPr>
            </w:pPr>
            <w:r>
              <w:rPr>
                <w:rFonts w:hint="eastAsia"/>
                <w:b/>
                <w:bCs/>
                <w:sz w:val="28"/>
                <w:szCs w:val="28"/>
              </w:rPr>
              <w:t>9800元/人</w:t>
            </w:r>
          </w:p>
        </w:tc>
        <w:tc>
          <w:tcPr>
            <w:tcW w:w="4736" w:type="dxa"/>
          </w:tcPr>
          <w:p>
            <w:pPr>
              <w:rPr>
                <w:b/>
                <w:bCs/>
                <w:sz w:val="28"/>
                <w:szCs w:val="28"/>
              </w:rPr>
            </w:pPr>
            <w:r>
              <w:rPr>
                <w:rFonts w:hint="eastAsia"/>
                <w:b/>
                <w:bCs/>
                <w:sz w:val="28"/>
                <w:szCs w:val="28"/>
              </w:rPr>
              <w:t>包含B班型所有服务，承诺一次考试不过可申请退费，</w:t>
            </w:r>
          </w:p>
        </w:tc>
      </w:tr>
    </w:tbl>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rFonts w:hint="eastAsia"/>
          <w:b/>
          <w:bCs/>
          <w:sz w:val="28"/>
          <w:szCs w:val="28"/>
        </w:rPr>
      </w:pPr>
    </w:p>
    <w:p>
      <w:pPr>
        <w:ind w:firstLine="3654" w:firstLineChars="1300"/>
        <w:rPr>
          <w:b/>
          <w:bCs/>
          <w:sz w:val="28"/>
          <w:szCs w:val="28"/>
        </w:rPr>
      </w:pPr>
      <w:bookmarkStart w:id="0" w:name="_GoBack"/>
      <w:bookmarkEnd w:id="0"/>
      <w:r>
        <w:rPr>
          <w:rFonts w:hint="eastAsia"/>
          <w:b/>
          <w:bCs/>
          <w:sz w:val="28"/>
          <w:szCs w:val="28"/>
        </w:rPr>
        <w:t>健康管理师课程报名表</w:t>
      </w:r>
    </w:p>
    <w:tbl>
      <w:tblPr>
        <w:tblStyle w:val="6"/>
        <w:tblW w:w="979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95"/>
        <w:gridCol w:w="1492"/>
        <w:gridCol w:w="969"/>
        <w:gridCol w:w="1482"/>
        <w:gridCol w:w="1827"/>
        <w:gridCol w:w="457"/>
        <w:gridCol w:w="19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ascii="微软雅黑" w:hAnsi="微软雅黑" w:eastAsia="微软雅黑" w:cs="Arial"/>
                <w:sz w:val="24"/>
              </w:rPr>
            </w:pPr>
            <w:r>
              <w:rPr>
                <w:rFonts w:hint="eastAsia" w:ascii="微软雅黑" w:hAnsi="微软雅黑" w:eastAsia="微软雅黑" w:cs="Arial"/>
                <w:sz w:val="24"/>
              </w:rPr>
              <w:t>单     位</w:t>
            </w:r>
          </w:p>
        </w:tc>
        <w:tc>
          <w:tcPr>
            <w:tcW w:w="8198" w:type="dxa"/>
            <w:gridSpan w:val="6"/>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通信地址</w:t>
            </w:r>
          </w:p>
        </w:tc>
        <w:tc>
          <w:tcPr>
            <w:tcW w:w="5770" w:type="dxa"/>
            <w:gridSpan w:val="4"/>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c>
          <w:tcPr>
            <w:tcW w:w="457"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邮编</w:t>
            </w:r>
          </w:p>
        </w:tc>
        <w:tc>
          <w:tcPr>
            <w:tcW w:w="1971"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联 系 人</w:t>
            </w:r>
          </w:p>
        </w:tc>
        <w:tc>
          <w:tcPr>
            <w:tcW w:w="1492"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电 话</w:t>
            </w:r>
          </w:p>
        </w:tc>
        <w:tc>
          <w:tcPr>
            <w:tcW w:w="3309" w:type="dxa"/>
            <w:gridSpan w:val="2"/>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c>
          <w:tcPr>
            <w:tcW w:w="457"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传真</w:t>
            </w:r>
          </w:p>
        </w:tc>
        <w:tc>
          <w:tcPr>
            <w:tcW w:w="1971"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总 人 数</w:t>
            </w:r>
          </w:p>
        </w:tc>
        <w:tc>
          <w:tcPr>
            <w:tcW w:w="1492"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姓 名</w:t>
            </w:r>
          </w:p>
        </w:tc>
        <w:tc>
          <w:tcPr>
            <w:tcW w:w="969"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性 别</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学 历</w:t>
            </w:r>
          </w:p>
        </w:tc>
        <w:tc>
          <w:tcPr>
            <w:tcW w:w="1827" w:type="dxa"/>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手机</w:t>
            </w:r>
          </w:p>
        </w:tc>
        <w:tc>
          <w:tcPr>
            <w:tcW w:w="2428" w:type="dxa"/>
            <w:gridSpan w:val="2"/>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单位意见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2" w:hRule="atLeast"/>
          <w:jc w:val="center"/>
        </w:trPr>
        <w:tc>
          <w:tcPr>
            <w:tcW w:w="1595"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1</w:t>
            </w:r>
          </w:p>
        </w:tc>
        <w:tc>
          <w:tcPr>
            <w:tcW w:w="149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48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827"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242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4" w:hRule="atLeast"/>
          <w:jc w:val="center"/>
        </w:trPr>
        <w:tc>
          <w:tcPr>
            <w:tcW w:w="1595"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2</w:t>
            </w:r>
          </w:p>
        </w:tc>
        <w:tc>
          <w:tcPr>
            <w:tcW w:w="149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48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827"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242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4" w:hRule="atLeast"/>
          <w:jc w:val="center"/>
        </w:trPr>
        <w:tc>
          <w:tcPr>
            <w:tcW w:w="1595"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r>
              <w:rPr>
                <w:rFonts w:hint="eastAsia" w:ascii="微软雅黑" w:hAnsi="微软雅黑" w:eastAsia="微软雅黑" w:cs="Arial"/>
                <w:sz w:val="24"/>
              </w:rPr>
              <w:t>3</w:t>
            </w:r>
          </w:p>
        </w:tc>
        <w:tc>
          <w:tcPr>
            <w:tcW w:w="149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482"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1827" w:type="dxa"/>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c>
          <w:tcPr>
            <w:tcW w:w="2428" w:type="dxa"/>
            <w:gridSpan w:val="2"/>
            <w:tcBorders>
              <w:top w:val="single" w:color="auto" w:sz="4" w:space="0"/>
              <w:left w:val="single" w:color="auto" w:sz="4" w:space="0"/>
              <w:bottom w:val="single" w:color="auto" w:sz="4" w:space="0"/>
              <w:right w:val="single" w:color="auto" w:sz="4" w:space="0"/>
            </w:tcBorders>
          </w:tcPr>
          <w:p>
            <w:pPr>
              <w:widowControl/>
              <w:wordWrap w:val="0"/>
              <w:spacing w:line="500" w:lineRule="exact"/>
              <w:jc w:val="center"/>
              <w:rPr>
                <w:rFonts w:ascii="微软雅黑" w:hAnsi="微软雅黑" w:eastAsia="微软雅黑"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jc w:val="center"/>
        </w:trPr>
        <w:tc>
          <w:tcPr>
            <w:tcW w:w="1595" w:type="dxa"/>
            <w:tcBorders>
              <w:top w:val="single" w:color="auto" w:sz="4" w:space="0"/>
              <w:left w:val="single" w:color="auto" w:sz="4" w:space="0"/>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1492" w:type="dxa"/>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969" w:type="dxa"/>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3309" w:type="dxa"/>
            <w:gridSpan w:val="2"/>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457" w:type="dxa"/>
            <w:tcBorders>
              <w:top w:val="single" w:color="auto" w:sz="4" w:space="0"/>
              <w:left w:val="nil"/>
              <w:bottom w:val="single" w:color="auto" w:sz="4" w:space="0"/>
              <w:right w:val="nil"/>
            </w:tcBorders>
            <w:vAlign w:val="center"/>
          </w:tcPr>
          <w:p>
            <w:pPr>
              <w:widowControl/>
              <w:wordWrap w:val="0"/>
              <w:spacing w:line="500" w:lineRule="exact"/>
              <w:jc w:val="center"/>
              <w:rPr>
                <w:rFonts w:ascii="微软雅黑" w:hAnsi="微软雅黑" w:eastAsia="微软雅黑" w:cs="Arial"/>
                <w:sz w:val="24"/>
              </w:rPr>
            </w:pPr>
          </w:p>
        </w:tc>
        <w:tc>
          <w:tcPr>
            <w:tcW w:w="1971" w:type="dxa"/>
            <w:tcBorders>
              <w:top w:val="single" w:color="auto" w:sz="4" w:space="0"/>
              <w:left w:val="nil"/>
              <w:bottom w:val="single" w:color="auto" w:sz="4" w:space="0"/>
              <w:right w:val="single" w:color="auto" w:sz="4" w:space="0"/>
            </w:tcBorders>
            <w:vAlign w:val="center"/>
          </w:tcPr>
          <w:p>
            <w:pPr>
              <w:widowControl/>
              <w:wordWrap w:val="0"/>
              <w:spacing w:line="500" w:lineRule="exact"/>
              <w:jc w:val="center"/>
              <w:rPr>
                <w:rFonts w:ascii="微软雅黑" w:hAnsi="微软雅黑" w:eastAsia="微软雅黑" w:cs="Arial"/>
                <w:sz w:val="24"/>
              </w:rPr>
            </w:pPr>
          </w:p>
        </w:tc>
      </w:tr>
    </w:tbl>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100" w:right="1080" w:bottom="110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3998B1"/>
    <w:multiLevelType w:val="singleLevel"/>
    <w:tmpl w:val="973998B1"/>
    <w:lvl w:ilvl="0" w:tentative="0">
      <w:start w:val="8"/>
      <w:numFmt w:val="chineseCounting"/>
      <w:suff w:val="nothing"/>
      <w:lvlText w:val="%1、"/>
      <w:lvlJc w:val="left"/>
      <w:rPr>
        <w:rFonts w:hint="eastAsia"/>
      </w:rPr>
    </w:lvl>
  </w:abstractNum>
  <w:abstractNum w:abstractNumId="1">
    <w:nsid w:val="E77D8335"/>
    <w:multiLevelType w:val="singleLevel"/>
    <w:tmpl w:val="E77D8335"/>
    <w:lvl w:ilvl="0" w:tentative="0">
      <w:start w:val="1"/>
      <w:numFmt w:val="decimal"/>
      <w:suff w:val="nothing"/>
      <w:lvlText w:val="%1、"/>
      <w:lvlJc w:val="left"/>
    </w:lvl>
  </w:abstractNum>
  <w:abstractNum w:abstractNumId="2">
    <w:nsid w:val="2299402D"/>
    <w:multiLevelType w:val="singleLevel"/>
    <w:tmpl w:val="2299402D"/>
    <w:lvl w:ilvl="0" w:tentative="0">
      <w:start w:val="4"/>
      <w:numFmt w:val="chineseCounting"/>
      <w:suff w:val="nothing"/>
      <w:lvlText w:val="%1、"/>
      <w:lvlJc w:val="left"/>
      <w:rPr>
        <w:rFonts w:hint="eastAsia"/>
      </w:rPr>
    </w:lvl>
  </w:abstractNum>
  <w:abstractNum w:abstractNumId="3">
    <w:nsid w:val="7AB57785"/>
    <w:multiLevelType w:val="singleLevel"/>
    <w:tmpl w:val="7AB57785"/>
    <w:lvl w:ilvl="0" w:tentative="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AC9"/>
    <w:rsid w:val="000F7248"/>
    <w:rsid w:val="00427F62"/>
    <w:rsid w:val="009A1AC9"/>
    <w:rsid w:val="00D1166E"/>
    <w:rsid w:val="09F36062"/>
    <w:rsid w:val="17BE2FA8"/>
    <w:rsid w:val="1FA84210"/>
    <w:rsid w:val="211E3E39"/>
    <w:rsid w:val="29CF1494"/>
    <w:rsid w:val="2D79593A"/>
    <w:rsid w:val="32C76E7F"/>
    <w:rsid w:val="37B056AB"/>
    <w:rsid w:val="3966231E"/>
    <w:rsid w:val="39C85A18"/>
    <w:rsid w:val="462D3044"/>
    <w:rsid w:val="47057F50"/>
    <w:rsid w:val="58B5012E"/>
    <w:rsid w:val="5A3809C8"/>
    <w:rsid w:val="5F374DC5"/>
    <w:rsid w:val="606D324C"/>
    <w:rsid w:val="6C8867AC"/>
    <w:rsid w:val="6DE07D33"/>
    <w:rsid w:val="71B57607"/>
    <w:rsid w:val="76F97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批注框文本 Char"/>
    <w:basedOn w:val="8"/>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17</Pages>
  <Words>1310</Words>
  <Characters>7468</Characters>
  <Lines>62</Lines>
  <Paragraphs>17</Paragraphs>
  <TotalTime>52</TotalTime>
  <ScaleCrop>false</ScaleCrop>
  <LinksUpToDate>false</LinksUpToDate>
  <CharactersWithSpaces>8761</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2019-12-31T08:01:28Z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