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b/>
          <w:sz w:val="40"/>
          <w:szCs w:val="36"/>
        </w:rPr>
      </w:pPr>
      <w:bookmarkStart w:id="0" w:name="_Toc65768822"/>
      <w:bookmarkStart w:id="1" w:name="_Toc8288"/>
      <w:bookmarkStart w:id="2" w:name="_Toc292814148"/>
      <w:bookmarkStart w:id="3" w:name="_Toc14122"/>
    </w:p>
    <w:p>
      <w:pPr>
        <w:jc w:val="center"/>
        <w:rPr>
          <w:rFonts w:ascii="华文中宋" w:hAnsi="华文中宋" w:eastAsia="华文中宋"/>
          <w:b/>
          <w:sz w:val="40"/>
          <w:szCs w:val="36"/>
        </w:rPr>
      </w:pPr>
      <w:r>
        <w:rPr>
          <w:rFonts w:hint="eastAsia" w:ascii="华文中宋" w:hAnsi="华文中宋" w:eastAsia="华文中宋"/>
          <w:b/>
          <w:sz w:val="40"/>
          <w:szCs w:val="36"/>
        </w:rPr>
        <w:t>工业和信息化部中小企业经营管理领军人才</w:t>
      </w:r>
    </w:p>
    <w:p>
      <w:pPr>
        <w:tabs>
          <w:tab w:val="left" w:pos="945"/>
        </w:tabs>
        <w:jc w:val="center"/>
        <w:rPr>
          <w:rFonts w:ascii="华文中宋" w:hAnsi="华文中宋" w:eastAsia="华文中宋"/>
          <w:b/>
          <w:sz w:val="40"/>
          <w:szCs w:val="36"/>
        </w:rPr>
      </w:pPr>
      <w:r>
        <w:rPr>
          <w:rFonts w:hint="eastAsia" w:ascii="华文中宋" w:hAnsi="华文中宋" w:eastAsia="华文中宋"/>
          <w:b/>
          <w:sz w:val="40"/>
          <w:szCs w:val="36"/>
        </w:rPr>
        <w:t>区域发展培训</w:t>
      </w:r>
    </w:p>
    <w:p>
      <w:pPr>
        <w:tabs>
          <w:tab w:val="left" w:pos="945"/>
        </w:tabs>
        <w:jc w:val="center"/>
        <w:rPr>
          <w:rFonts w:hint="eastAsia" w:ascii="华文中宋" w:hAnsi="华文中宋" w:eastAsia="华文中宋"/>
          <w:b/>
          <w:sz w:val="40"/>
        </w:rPr>
      </w:pPr>
    </w:p>
    <w:p>
      <w:pPr>
        <w:rPr>
          <w:rFonts w:ascii="华文中宋" w:hAnsi="华文中宋" w:eastAsia="华文中宋"/>
          <w:b/>
          <w:sz w:val="40"/>
          <w:szCs w:val="36"/>
        </w:rPr>
      </w:pPr>
    </w:p>
    <w:p>
      <w:pPr>
        <w:jc w:val="center"/>
        <w:rPr>
          <w:rFonts w:ascii="黑体" w:eastAsia="黑体"/>
          <w:b/>
          <w:sz w:val="32"/>
          <w:szCs w:val="30"/>
        </w:rPr>
      </w:pPr>
      <w:r>
        <w:rPr>
          <w:rFonts w:ascii="黑体" w:eastAsia="黑体"/>
          <w:b/>
          <w:sz w:val="32"/>
          <w:szCs w:val="30"/>
        </w:rPr>
        <w:drawing>
          <wp:inline distT="0" distB="0" distL="114300" distR="114300">
            <wp:extent cx="2289810" cy="2874010"/>
            <wp:effectExtent l="0" t="0" r="1524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2289810" cy="2874010"/>
                    </a:xfrm>
                    <a:prstGeom prst="rect">
                      <a:avLst/>
                    </a:prstGeom>
                    <a:noFill/>
                    <a:ln>
                      <a:noFill/>
                    </a:ln>
                  </pic:spPr>
                </pic:pic>
              </a:graphicData>
            </a:graphic>
          </wp:inline>
        </w:drawing>
      </w:r>
    </w:p>
    <w:p>
      <w:pPr>
        <w:tabs>
          <w:tab w:val="left" w:pos="945"/>
        </w:tabs>
        <w:spacing w:line="520" w:lineRule="exact"/>
        <w:rPr>
          <w:rFonts w:ascii="华文中宋" w:hAnsi="华文中宋" w:eastAsia="华文中宋"/>
          <w:b/>
          <w:sz w:val="40"/>
        </w:rPr>
      </w:pPr>
    </w:p>
    <w:p>
      <w:pPr>
        <w:tabs>
          <w:tab w:val="left" w:pos="945"/>
        </w:tabs>
        <w:spacing w:line="520" w:lineRule="exact"/>
        <w:rPr>
          <w:rFonts w:hint="eastAsia" w:ascii="华文中宋" w:hAnsi="华文中宋" w:eastAsia="华文中宋"/>
          <w:b/>
          <w:sz w:val="40"/>
        </w:rPr>
      </w:pPr>
    </w:p>
    <w:p>
      <w:pPr>
        <w:tabs>
          <w:tab w:val="left" w:pos="945"/>
        </w:tabs>
        <w:spacing w:line="520" w:lineRule="exact"/>
        <w:jc w:val="center"/>
        <w:rPr>
          <w:rFonts w:ascii="华文中宋" w:hAnsi="华文中宋" w:eastAsia="华文中宋"/>
          <w:b/>
          <w:sz w:val="40"/>
        </w:rPr>
      </w:pPr>
      <w:r>
        <w:rPr>
          <w:rFonts w:hint="eastAsia" w:ascii="华文中宋" w:hAnsi="华文中宋" w:eastAsia="华文中宋"/>
          <w:b/>
          <w:sz w:val="40"/>
          <w:lang w:val="en-US" w:eastAsia="zh-CN"/>
        </w:rPr>
        <w:t>浙江大学</w:t>
      </w:r>
      <w:r>
        <w:rPr>
          <w:rFonts w:hint="eastAsia" w:ascii="华文中宋" w:hAnsi="华文中宋" w:eastAsia="华文中宋"/>
          <w:b/>
          <w:sz w:val="40"/>
        </w:rPr>
        <w:t>—</w:t>
      </w:r>
      <w:r>
        <w:rPr>
          <w:rFonts w:hint="eastAsia" w:ascii="华文中宋" w:hAnsi="华文中宋" w:eastAsia="华文中宋"/>
          <w:b/>
          <w:sz w:val="40"/>
          <w:lang w:val="en-US" w:eastAsia="zh-CN"/>
        </w:rPr>
        <w:t>浙江</w:t>
      </w:r>
      <w:r>
        <w:rPr>
          <w:rFonts w:hint="eastAsia" w:ascii="华文中宋" w:hAnsi="华文中宋" w:eastAsia="华文中宋"/>
          <w:b/>
          <w:sz w:val="40"/>
        </w:rPr>
        <w:t>班</w:t>
      </w:r>
    </w:p>
    <w:p>
      <w:pPr>
        <w:tabs>
          <w:tab w:val="left" w:pos="945"/>
        </w:tabs>
        <w:spacing w:line="520" w:lineRule="exact"/>
        <w:jc w:val="center"/>
        <w:rPr>
          <w:rFonts w:ascii="华文中宋" w:hAnsi="华文中宋" w:eastAsia="华文中宋"/>
          <w:b/>
          <w:sz w:val="40"/>
        </w:rPr>
      </w:pPr>
      <w:r>
        <w:rPr>
          <w:rFonts w:hint="eastAsia" w:ascii="华文中宋" w:hAnsi="华文中宋" w:eastAsia="华文中宋"/>
          <w:b/>
          <w:sz w:val="40"/>
        </w:rPr>
        <w:t>学员选拔培养方案</w:t>
      </w:r>
    </w:p>
    <w:p>
      <w:pPr>
        <w:tabs>
          <w:tab w:val="left" w:pos="945"/>
        </w:tabs>
        <w:spacing w:line="520" w:lineRule="exact"/>
        <w:jc w:val="center"/>
        <w:rPr>
          <w:rFonts w:ascii="黑体" w:hAnsi="宋体" w:eastAsia="黑体"/>
          <w:b/>
          <w:sz w:val="36"/>
        </w:rPr>
      </w:pPr>
    </w:p>
    <w:p>
      <w:pPr>
        <w:tabs>
          <w:tab w:val="left" w:pos="945"/>
        </w:tabs>
        <w:spacing w:line="520" w:lineRule="exact"/>
        <w:jc w:val="center"/>
        <w:rPr>
          <w:rFonts w:ascii="黑体" w:hAnsi="宋体" w:eastAsia="黑体"/>
          <w:b/>
          <w:sz w:val="36"/>
        </w:rPr>
      </w:pPr>
    </w:p>
    <w:p>
      <w:pPr>
        <w:jc w:val="center"/>
        <w:rPr>
          <w:rFonts w:ascii="宋体" w:hAnsi="宋体" w:cs="宋体"/>
          <w:kern w:val="0"/>
        </w:rPr>
      </w:pPr>
    </w:p>
    <w:p>
      <w:pPr>
        <w:tabs>
          <w:tab w:val="left" w:pos="945"/>
        </w:tabs>
        <w:spacing w:line="520" w:lineRule="exact"/>
        <w:jc w:val="center"/>
        <w:rPr>
          <w:rFonts w:ascii="华文中宋" w:hAnsi="华文中宋" w:eastAsia="华文中宋"/>
          <w:sz w:val="32"/>
        </w:rPr>
      </w:pPr>
      <w:r>
        <w:rPr>
          <w:rFonts w:hint="eastAsia" w:ascii="华文中宋" w:hAnsi="华文中宋" w:eastAsia="华文中宋"/>
          <w:sz w:val="32"/>
        </w:rPr>
        <w:t>工业和信息化部人才交流中心</w:t>
      </w:r>
    </w:p>
    <w:p>
      <w:pPr>
        <w:tabs>
          <w:tab w:val="left" w:pos="945"/>
        </w:tabs>
        <w:spacing w:line="520" w:lineRule="exact"/>
        <w:jc w:val="center"/>
        <w:rPr>
          <w:rFonts w:hint="eastAsia" w:ascii="华文中宋" w:hAnsi="华文中宋" w:eastAsia="华文中宋"/>
          <w:sz w:val="32"/>
          <w:lang w:val="en-US" w:eastAsia="zh-CN"/>
        </w:rPr>
      </w:pPr>
      <w:r>
        <w:rPr>
          <w:rFonts w:hint="eastAsia" w:ascii="华文中宋" w:hAnsi="华文中宋" w:eastAsia="华文中宋"/>
          <w:sz w:val="32"/>
          <w:lang w:val="en-US" w:eastAsia="zh-CN"/>
        </w:rPr>
        <w:t>浙江大学</w:t>
      </w:r>
    </w:p>
    <w:p>
      <w:pPr>
        <w:tabs>
          <w:tab w:val="left" w:pos="5220"/>
        </w:tabs>
        <w:rPr>
          <w:rFonts w:hint="eastAsia" w:ascii="黑体" w:hAnsi="黑体" w:eastAsia="黑体" w:cs="黑体"/>
          <w:sz w:val="36"/>
          <w:szCs w:val="36"/>
        </w:rPr>
        <w:sectPr>
          <w:headerReference r:id="rId3" w:type="even"/>
          <w:pgSz w:w="11906" w:h="16838"/>
          <w:pgMar w:top="1440" w:right="1800" w:bottom="1440" w:left="1800" w:header="851" w:footer="992" w:gutter="0"/>
          <w:cols w:space="720" w:num="1"/>
          <w:docGrid w:type="lines" w:linePitch="312" w:charSpace="0"/>
        </w:sectPr>
      </w:pPr>
    </w:p>
    <w:bookmarkEnd w:id="0"/>
    <w:bookmarkEnd w:id="1"/>
    <w:bookmarkEnd w:id="2"/>
    <w:bookmarkEnd w:id="3"/>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15" name="矩形 15"/>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研修背景</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A8mxejtAQAA1QMAAA4AAABkcnMvZTJvRG9jLnhtbK1TS27bMBDd&#10;F+gdCO5ryQ6cuoLloIiRboo2QNIDjClKIsAfOLQln6ZAdz1Ej1P0Gh1SruOmmyyqBTXDId/jexyu&#10;b0aj2UEGVM7WfD4rOZNWuEbZruZfHu/erDjDCLYB7ays+VEiv9m8frUefCUXrne6kYERiMVq8DXv&#10;Y/RVUaDopQGcOS8tFVsXDERKQ1c0AQZCN7pYlOV1MbjQ+OCERKTZ7VTkJ8TwEkDXtkrIrRN7I22c&#10;UIPUEEkS9soj3+TTtq0U8XPbooxM15yUxjwSCcW7NBabNVRdAN8rcToCvOQIzzQZUJZIz1BbiMD2&#10;Qf0DZZQIDl0bZ8KZYhKSHSEV8/KZNw89eJm1kNXoz6bj/4MVnw73gamGOmHJmQVDN/7r6/efP74x&#10;miB3Bo8VLXrw9+GUIYVJ6tgGk/4kgo3Z0ePZUTlGJmhyvrhaLZZktqDacl5eX71LoMXTbh8wfpDO&#10;sBTUPNCNZSPh8BHjtPTPkkSGTqvmTmmdk9DtbnVgB6DbvS3Td0L/a5m2bEhHeUtlJoB6tqVeodB4&#10;0o224wx0R49BxJC5rUsMRA5V4t4C9hNHhk0UUBkV6RloZWq+umTWluQl0yabUhTH3Uh7UrhzzXFy&#10;z7r3++halTVelvJmuu3s0qkzUztd5pni6TV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DybF6O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研修背景</w:t>
                      </w:r>
                    </w:p>
                  </w:txbxContent>
                </v:textbox>
                <w10:wrap type="none"/>
                <w10:anchorlock/>
              </v:rect>
            </w:pict>
          </mc:Fallback>
        </mc:AlternateContent>
      </w:r>
    </w:p>
    <w:p>
      <w:pPr>
        <w:pStyle w:val="11"/>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0340" cy="1167765"/>
            <wp:effectExtent l="0" t="0" r="16510" b="13335"/>
            <wp:docPr id="50" name="图片 50" descr="领军+师资__2022-12-06+16_12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领军+师资__2022-12-06+16_12_34"/>
                    <pic:cNvPicPr>
                      <a:picLocks noChangeAspect="1"/>
                    </pic:cNvPicPr>
                  </pic:nvPicPr>
                  <pic:blipFill>
                    <a:blip r:embed="rId9"/>
                    <a:srcRect l="8548" t="3429" r="6776" b="63159"/>
                    <a:stretch>
                      <a:fillRect/>
                    </a:stretch>
                  </pic:blipFill>
                  <pic:spPr>
                    <a:xfrm>
                      <a:off x="0" y="0"/>
                      <a:ext cx="5260340" cy="1167765"/>
                    </a:xfrm>
                    <a:prstGeom prst="rect">
                      <a:avLst/>
                    </a:prstGeom>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仿宋" w:hAnsi="仿宋" w:eastAsia="仿宋" w:cs="仿宋"/>
          <w:sz w:val="28"/>
          <w:szCs w:val="28"/>
        </w:rPr>
      </w:pPr>
      <w:r>
        <w:rPr>
          <w:rFonts w:hint="eastAsia" w:ascii="仿宋" w:hAnsi="仿宋" w:eastAsia="仿宋" w:cs="仿宋"/>
          <w:sz w:val="28"/>
          <w:szCs w:val="28"/>
        </w:rPr>
        <w:t>工信部发布数据显示，2022年1至7月，全国规模以上中小工业企业营业收入、利润总额分别同比增长8.1%和1.6%，中小企业生产经营呈企稳态势，为国民经济平稳运行奠定了坚实基础。</w:t>
      </w:r>
    </w:p>
    <w:p>
      <w:pPr>
        <w:pStyle w:val="11"/>
        <w:keepNext w:val="0"/>
        <w:keepLines w:val="0"/>
        <w:pageBreakBefore w:val="0"/>
        <w:widowControl/>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仿宋" w:hAnsi="仿宋" w:eastAsia="仿宋" w:cs="仿宋"/>
          <w:sz w:val="28"/>
          <w:szCs w:val="28"/>
        </w:rPr>
      </w:pPr>
      <w:r>
        <w:rPr>
          <w:rFonts w:hint="eastAsia" w:ascii="仿宋" w:hAnsi="仿宋" w:eastAsia="仿宋" w:cs="仿宋"/>
          <w:sz w:val="28"/>
          <w:szCs w:val="28"/>
        </w:rPr>
        <w:t>充满活力的中小企业，是我国经济韧性的重要保障。浙江是全国经济强省之一，区域创新能力稳居全国各省区第三位。中小企业是浙江数量最大、最具活力的企业群体，是实体经济发展的主力军。</w:t>
      </w:r>
    </w:p>
    <w:p>
      <w:pPr>
        <w:pStyle w:val="11"/>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0"/>
        <w:jc w:val="both"/>
        <w:textAlignment w:val="auto"/>
        <w:rPr>
          <w:rFonts w:ascii="仿宋" w:hAnsi="仿宋" w:eastAsia="仿宋" w:cs="仿宋"/>
          <w:sz w:val="28"/>
          <w:szCs w:val="28"/>
        </w:rPr>
      </w:pPr>
      <w:r>
        <w:rPr>
          <w:rFonts w:hint="eastAsia" w:ascii="仿宋" w:hAnsi="仿宋" w:eastAsia="仿宋" w:cs="仿宋"/>
          <w:sz w:val="28"/>
          <w:szCs w:val="28"/>
        </w:rPr>
        <w:t>当前，内外部环境更趋复杂严峻，国内产业转型升级任务艰巨，企业更需聚焦关键领域、加强自主创新、瞄准薄弱环节、深耕细分市场，这是应对当下挑战的关键之策，也是赢得发展主动的重要之举。</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 w:hAnsi="仿宋" w:eastAsia="仿宋" w:cs="仿宋"/>
          <w:kern w:val="0"/>
          <w:sz w:val="28"/>
          <w:szCs w:val="28"/>
        </w:rPr>
      </w:pPr>
      <w:r>
        <w:rPr>
          <w:rFonts w:hint="eastAsia" w:ascii="仿宋" w:hAnsi="仿宋" w:eastAsia="仿宋" w:cs="仿宋"/>
          <w:kern w:val="0"/>
          <w:sz w:val="28"/>
          <w:szCs w:val="28"/>
        </w:rPr>
        <w:t>为贯彻落实中共中央办公厅、国务院办公厅《关于促进中小企业健康发展的指导意见》，深入实施企业经营管理人才素质提升工程，提高中小企业经营管理水平，引导中小企业高质量发展，工业和信息化部决定开展2022-2023年度中小企业经营管理领军人才培训。</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微软雅黑" w:hAnsi="微软雅黑" w:eastAsia="微软雅黑" w:cs="微软雅黑"/>
          <w:color w:val="2F5597" w:themeColor="accent5" w:themeShade="BF"/>
          <w:sz w:val="28"/>
          <w:szCs w:val="28"/>
          <w:bdr w:val="thinThickSmallGap" w:color="FF0000" w:sz="24" w:space="0"/>
        </w:rPr>
      </w:pPr>
      <w:r>
        <w:rPr>
          <w:rFonts w:hint="eastAsia" w:ascii="仿宋" w:hAnsi="仿宋" w:eastAsia="仿宋" w:cs="仿宋"/>
          <w:kern w:val="0"/>
          <w:sz w:val="28"/>
          <w:szCs w:val="28"/>
        </w:rPr>
        <w:t>工业和信息化部人才交流中心联合浙江大学开展中小企业领军人才浙江班的组织工作，从浙江中小企业发展实际出发，全面整合浙江大学优质培训资源与特色鲜明的教育模式，依托学校雄厚的办学实力，以浙江大学高素质人才培养基地为支撑，邀请实战型专家教授、学者型企业家、研究型政府官员与行业标杆创新实践者等优质师资，致力于培养一支既具有国际视野又具有社会责任感的卓越企业家队伍，促进企业实现跨越式发展，推动浙江民营经济实现新飞跃！</w:t>
      </w:r>
      <w:r>
        <w:rPr>
          <w:rFonts w:ascii="仿宋" w:hAnsi="仿宋" w:eastAsia="仿宋" w:cs="微软雅黑"/>
          <w:kern w:val="0"/>
          <w:sz w:val="28"/>
          <w:szCs w:val="28"/>
        </w:rPr>
        <w:t xml:space="preserve"> </w:t>
      </w:r>
    </w:p>
    <w:p>
      <w:pPr>
        <w:rPr>
          <w:rFonts w:ascii="仿宋" w:hAnsi="仿宋" w:eastAsia="仿宋" w:cs="微软雅黑"/>
          <w:sz w:val="28"/>
          <w:szCs w:val="28"/>
        </w:rPr>
      </w:pPr>
      <w:r>
        <w:rPr>
          <w:rFonts w:ascii="仿宋" w:hAnsi="仿宋" w:eastAsia="仿宋" w:cs="微软雅黑"/>
          <w:sz w:val="28"/>
          <w:szCs w:val="28"/>
        </w:rPr>
        <w:br w:type="page"/>
      </w:r>
    </w:p>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0" name="矩形 30"/>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项目特色</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M6Zer3sAQAA1QMAAA4AAABkcnMvZTJvRG9jLnhtbK1TS27bMBDd&#10;F+gdCO5ryTaSuoLloIiRboo2QNIDjClKIsAfOLQln6ZAdz1Ej1P0Gh1SruOmmyyqBTXkDN+b90iu&#10;b0aj2UEGVM7WfD4rOZNWuEbZruZfHu/erDjDCLYB7ays+VEiv9m8frUefCUXrne6kYERiMVq8DXv&#10;Y/RVUaDopQGcOS8tJVsXDESahq5oAgyEbnSxKMvrYnCh8cEJiUir2ynJT4jhJYCubZWQWyf2Rto4&#10;oQapIZIk7JVHvsndtq0U8XPbooxM15yUxjwSCcW7NBabNVRdAN8rcWoBXtLCM00GlCXSM9QWIrB9&#10;UP9AGSWCQ9fGmXCmmIRkR0jFvHzmzUMPXmYtZDX6s+n4/2DFp8N9YKqp+ZIssWDoxH99/f7zxzdG&#10;C+TO4LGiogd/H04zpDBJHdtg0p9EsDE7ejw7KsfIBC3OF8vV4oqQBeWu5uX18l0CLZ52+4Dxg3SG&#10;paDmgU4sGwmHjxin0j8liQydVs2d0jpPQre71YEdgE73tkzfCf2vMm3ZkFp5S2kmgO5sS3eFQuNJ&#10;N9qOM9AdPQYRQ+a2LjEQOVSJewvYTxwZNlFAZVSkZ6CVqfnqkllbkpdMm2xKURx3I+1J4c41x8k9&#10;697vo2tV1niZypvptLNLp5uZrtPlPFM8vcb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baa3T&#10;AAAABAEAAA8AAAAAAAAAAQAgAAAAIgAAAGRycy9kb3ducmV2LnhtbFBLAQIUABQAAAAIAIdO4kDO&#10;mXq97AEAANUDAAAOAAAAAAAAAAEAIAAAACIBAABkcnMvZTJvRG9jLnhtbFBLBQYAAAAABgAGAFkB&#10;AACABQ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项目特色</w:t>
                      </w:r>
                    </w:p>
                  </w:txbxContent>
                </v:textbox>
                <w10:wrap type="none"/>
                <w10:anchorlock/>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eastAsia="zh-CN"/>
        </w:rPr>
      </w:pPr>
      <w:r>
        <w:rPr>
          <w:rFonts w:hint="eastAsia"/>
          <w:lang w:eastAsia="zh-CN"/>
        </w:rPr>
        <w:drawing>
          <wp:inline distT="0" distB="0" distL="114300" distR="114300">
            <wp:extent cx="3787140" cy="2328545"/>
            <wp:effectExtent l="0" t="0" r="0" b="14605"/>
            <wp:docPr id="52" name="图片 52" descr="领军+师资__2022-12-06+16_28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领军+师资__2022-12-06+16_28_58"/>
                    <pic:cNvPicPr>
                      <a:picLocks noChangeAspect="1"/>
                    </pic:cNvPicPr>
                  </pic:nvPicPr>
                  <pic:blipFill>
                    <a:blip r:embed="rId10"/>
                    <a:srcRect l="21799" t="18088" r="25838" b="24689"/>
                    <a:stretch>
                      <a:fillRect/>
                    </a:stretch>
                  </pic:blipFill>
                  <pic:spPr>
                    <a:xfrm>
                      <a:off x="0" y="0"/>
                      <a:ext cx="3787140" cy="2328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仿宋"/>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bCs/>
          <w:color w:val="000000" w:themeColor="text1"/>
          <w:sz w:val="28"/>
          <w:szCs w:val="28"/>
          <w14:textFill>
            <w14:solidFill>
              <w14:schemeClr w14:val="tx1"/>
            </w14:solidFill>
          </w14:textFill>
        </w:rPr>
        <w:t>全球化国际视野</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站在全球化高度，以国际视角观察和解读全球政治、经济、科技、文化大环境及其发展趋势，把握时代脉搏。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全方位学习体系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以政治、经济、社会、管理、科技、历史、人文等相交融的全方位学习体系，帮助学员掌握不断改变的新商业环境下，如何通过调整企业战略、组织架构、资本运作方式及营销方式，实现企业的转型与突破，打造企业可持续竞争优势。</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全国性互动平台</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微软雅黑"/>
          <w:sz w:val="28"/>
          <w:szCs w:val="28"/>
        </w:rPr>
      </w:pPr>
      <w:r>
        <w:rPr>
          <w:rFonts w:hint="eastAsia" w:ascii="仿宋" w:hAnsi="仿宋" w:eastAsia="仿宋" w:cs="微软雅黑"/>
          <w:sz w:val="28"/>
          <w:szCs w:val="28"/>
        </w:rPr>
        <w:t>由工业和信息化部</w:t>
      </w:r>
      <w:r>
        <w:rPr>
          <w:rFonts w:hint="eastAsia" w:ascii="仿宋" w:hAnsi="仿宋" w:eastAsia="仿宋" w:cs="微软雅黑"/>
          <w:sz w:val="28"/>
          <w:szCs w:val="28"/>
          <w:lang w:val="en-US" w:eastAsia="zh-CN"/>
        </w:rPr>
        <w:t>人才交流中心</w:t>
      </w:r>
      <w:r>
        <w:rPr>
          <w:rFonts w:hint="eastAsia" w:ascii="仿宋" w:hAnsi="仿宋" w:eastAsia="仿宋" w:cs="微软雅黑"/>
          <w:sz w:val="28"/>
          <w:szCs w:val="28"/>
        </w:rPr>
        <w:t>、浙江省经济和信息化委员会与浙江大学三方联合，为学员搭建跨地区、跨行业、跨领域的交流互动平台，学员可与来自浙江、北京、上海、福建、广东、四川、湖北、山东、黑龙江、河北等各地区领军企业家充分交流互动，共享知识盛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多维度结业复训</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学员顺利完成规定课程，结业后进入“全国中小企业经营管理领军人才库”。结业后，每年参与一定天数的复训，并可在全国范围内进行选课，实现跨省份学习、跨地区交流。一年学习、多维度复训，让学习者紧跟时代步伐，思维与时俱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产学研聚焦对接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联合浙江大学工业技术转化研究院，提供浙大及泛浙大的技术成果转移和转化服务，为企业搭建产学研合作平台，发挥科研机构优势，提供产品研发、科技咨询和技术攻关、技术推广等服务，助力企业自主创新。</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重实战企业经验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通过对本土标杆企业及跨国集团公司在成长中遇到的典型现象和趋势进行深度解剖和分析，秉承以实用为本的原则，帮助学员学习先进企业管理经验，转变思维方式和经营理念，提高战略决策能力、经营管理能力及专业管理技能，全面提升驾驭全局的能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b/>
          <w:bCs/>
          <w:color w:val="C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themeColor="text1"/>
          <w:sz w:val="28"/>
          <w:szCs w:val="28"/>
          <w14:textFill>
            <w14:solidFill>
              <w14:schemeClr w14:val="tx1"/>
            </w14:solidFill>
          </w14:textFill>
        </w:rPr>
        <w:t>全方</w:t>
      </w:r>
      <w:r>
        <w:rPr>
          <w:rFonts w:hint="eastAsia" w:ascii="仿宋" w:hAnsi="仿宋" w:eastAsia="仿宋" w:cs="微软雅黑"/>
          <w:b/>
          <w:bCs/>
          <w:color w:val="000000" w:themeColor="text1"/>
          <w:sz w:val="28"/>
          <w:szCs w:val="28"/>
          <w:lang w:val="en-US" w:eastAsia="zh-CN"/>
          <w14:textFill>
            <w14:solidFill>
              <w14:schemeClr w14:val="tx1"/>
            </w14:solidFill>
          </w14:textFill>
        </w:rPr>
        <w:t>面</w:t>
      </w:r>
      <w:r>
        <w:rPr>
          <w:rFonts w:hint="eastAsia" w:ascii="仿宋" w:hAnsi="仿宋" w:eastAsia="仿宋" w:cs="微软雅黑"/>
          <w:b/>
          <w:bCs/>
          <w:color w:val="000000" w:themeColor="text1"/>
          <w:sz w:val="28"/>
          <w:szCs w:val="28"/>
          <w14:textFill>
            <w14:solidFill>
              <w14:schemeClr w14:val="tx1"/>
            </w14:solidFill>
          </w14:textFill>
        </w:rPr>
        <w:t>共赢平台</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仿宋" w:hAnsi="仿宋" w:eastAsia="仿宋" w:cs="微软雅黑"/>
          <w:sz w:val="28"/>
          <w:szCs w:val="28"/>
        </w:rPr>
      </w:pPr>
      <w:r>
        <w:rPr>
          <w:rFonts w:hint="eastAsia" w:ascii="仿宋" w:hAnsi="仿宋" w:eastAsia="仿宋" w:cs="微软雅黑"/>
          <w:sz w:val="28"/>
          <w:szCs w:val="28"/>
        </w:rPr>
        <w:t>学员可享受浙江大学校友待遇，加入“全国中小企业经营管理领军人才库”，与北京大学、清华大学、厦门大学、复旦大学、中山大学、上海交通大学、华中科技大学等全国著名高校共同接入中国最具影响力、号召力和凝聚力的领军校友平台。</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sz w:val="28"/>
          <w:szCs w:val="28"/>
        </w:rPr>
      </w:pPr>
      <w:r>
        <w:rPr>
          <w:rFonts w:hint="eastAsia" w:ascii="仿宋" w:hAnsi="仿宋" w:eastAsia="仿宋"/>
          <w:sz w:val="28"/>
          <w:szCs w:val="28"/>
          <w:highlight w:val="none"/>
        </w:rPr>
        <w:t>浙江大学</w:t>
      </w:r>
      <w:r>
        <w:rPr>
          <w:rFonts w:ascii="仿宋" w:hAnsi="仿宋" w:eastAsia="仿宋"/>
          <w:sz w:val="28"/>
          <w:szCs w:val="28"/>
          <w:highlight w:val="none"/>
        </w:rPr>
        <w:t>作为首批承办工信</w:t>
      </w:r>
      <w:r>
        <w:rPr>
          <w:rFonts w:ascii="仿宋" w:hAnsi="仿宋" w:eastAsia="仿宋"/>
          <w:sz w:val="28"/>
          <w:szCs w:val="28"/>
        </w:rPr>
        <w:t>部领军人才项目的高校之一，与领军项目一共成长，共同进步，见证了整个</w:t>
      </w:r>
      <w:r>
        <w:rPr>
          <w:rFonts w:hint="eastAsia" w:ascii="仿宋" w:hAnsi="仿宋" w:eastAsia="仿宋"/>
          <w:sz w:val="28"/>
          <w:szCs w:val="28"/>
        </w:rPr>
        <w:t>领军</w:t>
      </w:r>
      <w:r>
        <w:rPr>
          <w:rFonts w:ascii="仿宋" w:hAnsi="仿宋" w:eastAsia="仿宋"/>
          <w:sz w:val="28"/>
          <w:szCs w:val="28"/>
        </w:rPr>
        <w:t>项目</w:t>
      </w:r>
      <w:r>
        <w:rPr>
          <w:rFonts w:hint="eastAsia" w:ascii="仿宋" w:hAnsi="仿宋" w:eastAsia="仿宋"/>
          <w:sz w:val="28"/>
          <w:szCs w:val="28"/>
        </w:rPr>
        <w:t>运营</w:t>
      </w:r>
      <w:r>
        <w:rPr>
          <w:rFonts w:ascii="仿宋" w:hAnsi="仿宋" w:eastAsia="仿宋"/>
          <w:sz w:val="28"/>
          <w:szCs w:val="28"/>
        </w:rPr>
        <w:t>过程中的诸多</w:t>
      </w:r>
      <w:r>
        <w:rPr>
          <w:rFonts w:hint="eastAsia" w:ascii="仿宋" w:hAnsi="仿宋" w:eastAsia="仿宋"/>
          <w:sz w:val="28"/>
          <w:szCs w:val="28"/>
        </w:rPr>
        <w:t>“</w:t>
      </w:r>
      <w:r>
        <w:rPr>
          <w:rFonts w:ascii="仿宋" w:hAnsi="仿宋" w:eastAsia="仿宋"/>
          <w:sz w:val="28"/>
          <w:szCs w:val="28"/>
        </w:rPr>
        <w:t>第一次</w:t>
      </w:r>
      <w:r>
        <w:rPr>
          <w:rFonts w:hint="eastAsia" w:ascii="仿宋" w:hAnsi="仿宋" w:eastAsia="仿宋"/>
          <w:sz w:val="28"/>
          <w:szCs w:val="28"/>
        </w:rPr>
        <w:t>”：2012年12月21日全国</w:t>
      </w:r>
      <w:r>
        <w:rPr>
          <w:rFonts w:ascii="仿宋" w:hAnsi="仿宋" w:eastAsia="仿宋"/>
          <w:sz w:val="28"/>
          <w:szCs w:val="28"/>
        </w:rPr>
        <w:t>第一个</w:t>
      </w:r>
      <w:r>
        <w:rPr>
          <w:rFonts w:hint="eastAsia" w:ascii="仿宋" w:hAnsi="仿宋" w:eastAsia="仿宋"/>
          <w:sz w:val="28"/>
          <w:szCs w:val="28"/>
        </w:rPr>
        <w:t>领军</w:t>
      </w:r>
      <w:r>
        <w:rPr>
          <w:rFonts w:ascii="仿宋" w:hAnsi="仿宋" w:eastAsia="仿宋"/>
          <w:sz w:val="28"/>
          <w:szCs w:val="28"/>
        </w:rPr>
        <w:t>人才班在浙江大学开班；2013</w:t>
      </w:r>
      <w:r>
        <w:rPr>
          <w:rFonts w:hint="eastAsia" w:ascii="仿宋" w:hAnsi="仿宋" w:eastAsia="仿宋"/>
          <w:sz w:val="28"/>
          <w:szCs w:val="28"/>
        </w:rPr>
        <w:t>年7月</w:t>
      </w:r>
      <w:r>
        <w:rPr>
          <w:rFonts w:ascii="仿宋" w:hAnsi="仿宋" w:eastAsia="仿宋"/>
          <w:sz w:val="28"/>
          <w:szCs w:val="28"/>
        </w:rPr>
        <w:t>，</w:t>
      </w:r>
      <w:r>
        <w:rPr>
          <w:rFonts w:hint="eastAsia" w:ascii="仿宋" w:hAnsi="仿宋" w:eastAsia="仿宋"/>
          <w:sz w:val="28"/>
          <w:szCs w:val="28"/>
        </w:rPr>
        <w:t>第一次</w:t>
      </w:r>
      <w:r>
        <w:rPr>
          <w:rFonts w:ascii="仿宋" w:hAnsi="仿宋" w:eastAsia="仿宋"/>
          <w:sz w:val="28"/>
          <w:szCs w:val="28"/>
        </w:rPr>
        <w:t>全国领军人才班委交流</w:t>
      </w:r>
      <w:r>
        <w:rPr>
          <w:rFonts w:hint="eastAsia" w:ascii="仿宋" w:hAnsi="仿宋" w:eastAsia="仿宋"/>
          <w:sz w:val="28"/>
          <w:szCs w:val="28"/>
        </w:rPr>
        <w:t>会议在</w:t>
      </w:r>
      <w:r>
        <w:rPr>
          <w:rFonts w:ascii="仿宋" w:hAnsi="仿宋" w:eastAsia="仿宋"/>
          <w:sz w:val="28"/>
          <w:szCs w:val="28"/>
        </w:rPr>
        <w:t>浙江大学玉泉校区举行；</w:t>
      </w:r>
      <w:r>
        <w:rPr>
          <w:rFonts w:hint="eastAsia" w:ascii="仿宋" w:hAnsi="仿宋" w:eastAsia="仿宋"/>
          <w:sz w:val="28"/>
          <w:szCs w:val="28"/>
        </w:rPr>
        <w:t>第一次</w:t>
      </w:r>
      <w:r>
        <w:rPr>
          <w:rFonts w:ascii="仿宋" w:hAnsi="仿宋" w:eastAsia="仿宋"/>
          <w:sz w:val="28"/>
          <w:szCs w:val="28"/>
        </w:rPr>
        <w:t>领军思潮商业巡回周、第一届领军新丝路、第一场领军之夜晚会</w:t>
      </w:r>
      <w:r>
        <w:rPr>
          <w:rFonts w:hint="eastAsia" w:ascii="仿宋" w:hAnsi="仿宋" w:eastAsia="仿宋"/>
          <w:sz w:val="28"/>
          <w:szCs w:val="28"/>
        </w:rPr>
        <w:t>……</w:t>
      </w:r>
      <w:r>
        <w:rPr>
          <w:rFonts w:ascii="仿宋" w:hAnsi="仿宋" w:eastAsia="仿宋"/>
          <w:sz w:val="28"/>
          <w:szCs w:val="28"/>
        </w:rPr>
        <w:t>浙江大学</w:t>
      </w:r>
      <w:r>
        <w:rPr>
          <w:rFonts w:hint="eastAsia" w:ascii="仿宋" w:hAnsi="仿宋" w:eastAsia="仿宋"/>
          <w:sz w:val="28"/>
          <w:szCs w:val="28"/>
        </w:rPr>
        <w:t>在</w:t>
      </w:r>
      <w:r>
        <w:rPr>
          <w:rFonts w:ascii="仿宋" w:hAnsi="仿宋" w:eastAsia="仿宋"/>
          <w:sz w:val="28"/>
          <w:szCs w:val="28"/>
        </w:rPr>
        <w:t>承办领军项目的过程中</w:t>
      </w:r>
      <w:r>
        <w:rPr>
          <w:rFonts w:hint="eastAsia" w:ascii="仿宋" w:hAnsi="仿宋" w:eastAsia="仿宋"/>
          <w:sz w:val="28"/>
          <w:szCs w:val="28"/>
        </w:rPr>
        <w:t>也</w:t>
      </w:r>
      <w:r>
        <w:rPr>
          <w:rFonts w:ascii="仿宋" w:hAnsi="仿宋" w:eastAsia="仿宋"/>
          <w:sz w:val="28"/>
          <w:szCs w:val="28"/>
        </w:rPr>
        <w:t>积累了</w:t>
      </w:r>
      <w:r>
        <w:rPr>
          <w:rFonts w:hint="eastAsia" w:ascii="仿宋" w:hAnsi="仿宋" w:eastAsia="仿宋"/>
          <w:sz w:val="28"/>
          <w:szCs w:val="28"/>
        </w:rPr>
        <w:t>丰富</w:t>
      </w:r>
      <w:r>
        <w:rPr>
          <w:rFonts w:ascii="仿宋" w:hAnsi="仿宋" w:eastAsia="仿宋"/>
          <w:sz w:val="28"/>
          <w:szCs w:val="28"/>
        </w:rPr>
        <w:t>的经验，在项目的</w:t>
      </w:r>
      <w:r>
        <w:rPr>
          <w:rFonts w:hint="eastAsia" w:ascii="仿宋" w:hAnsi="仿宋" w:eastAsia="仿宋"/>
          <w:sz w:val="28"/>
          <w:szCs w:val="28"/>
        </w:rPr>
        <w:t>复合</w:t>
      </w:r>
      <w:r>
        <w:rPr>
          <w:rFonts w:ascii="仿宋" w:hAnsi="仿宋" w:eastAsia="仿宋"/>
          <w:sz w:val="28"/>
          <w:szCs w:val="28"/>
        </w:rPr>
        <w:t>培养</w:t>
      </w:r>
      <w:r>
        <w:rPr>
          <w:rFonts w:hint="eastAsia" w:ascii="仿宋" w:hAnsi="仿宋" w:eastAsia="仿宋"/>
          <w:sz w:val="28"/>
          <w:szCs w:val="28"/>
        </w:rPr>
        <w:t>模式</w:t>
      </w:r>
      <w:r>
        <w:rPr>
          <w:rFonts w:ascii="仿宋" w:hAnsi="仿宋" w:eastAsia="仿宋"/>
          <w:sz w:val="28"/>
          <w:szCs w:val="28"/>
        </w:rPr>
        <w:t>、</w:t>
      </w:r>
      <w:r>
        <w:rPr>
          <w:rFonts w:hint="eastAsia" w:ascii="仿宋" w:hAnsi="仿宋" w:eastAsia="仿宋"/>
          <w:sz w:val="28"/>
          <w:szCs w:val="28"/>
        </w:rPr>
        <w:t>闭环</w:t>
      </w:r>
      <w:r>
        <w:rPr>
          <w:rFonts w:ascii="仿宋" w:hAnsi="仿宋" w:eastAsia="仿宋"/>
          <w:sz w:val="28"/>
          <w:szCs w:val="28"/>
        </w:rPr>
        <w:t>实施</w:t>
      </w:r>
      <w:r>
        <w:rPr>
          <w:rFonts w:hint="eastAsia" w:ascii="仿宋" w:hAnsi="仿宋" w:eastAsia="仿宋"/>
          <w:sz w:val="28"/>
          <w:szCs w:val="28"/>
        </w:rPr>
        <w:t>体系</w:t>
      </w:r>
      <w:r>
        <w:rPr>
          <w:rFonts w:ascii="仿宋" w:hAnsi="仿宋" w:eastAsia="仿宋"/>
          <w:sz w:val="28"/>
          <w:szCs w:val="28"/>
        </w:rPr>
        <w:t>、</w:t>
      </w:r>
      <w:r>
        <w:rPr>
          <w:rFonts w:hint="eastAsia" w:ascii="仿宋" w:hAnsi="仿宋" w:eastAsia="仿宋"/>
          <w:sz w:val="28"/>
          <w:szCs w:val="28"/>
        </w:rPr>
        <w:t>社会</w:t>
      </w:r>
      <w:r>
        <w:rPr>
          <w:rFonts w:ascii="仿宋" w:hAnsi="仿宋" w:eastAsia="仿宋"/>
          <w:sz w:val="28"/>
          <w:szCs w:val="28"/>
        </w:rPr>
        <w:t>公益、</w:t>
      </w:r>
      <w:r>
        <w:rPr>
          <w:rFonts w:hint="eastAsia" w:ascii="仿宋" w:hAnsi="仿宋" w:eastAsia="仿宋"/>
          <w:sz w:val="28"/>
          <w:szCs w:val="28"/>
        </w:rPr>
        <w:t>论坛</w:t>
      </w:r>
      <w:r>
        <w:rPr>
          <w:rFonts w:ascii="仿宋" w:hAnsi="仿宋" w:eastAsia="仿宋"/>
          <w:sz w:val="28"/>
          <w:szCs w:val="28"/>
        </w:rPr>
        <w:t>服务等方面均做出了一定的成绩</w:t>
      </w:r>
      <w:r>
        <w:rPr>
          <w:rFonts w:hint="eastAsia" w:ascii="仿宋" w:hAnsi="仿宋" w:eastAsia="仿宋"/>
          <w:sz w:val="28"/>
          <w:szCs w:val="28"/>
        </w:rPr>
        <w:t>。近两年</w:t>
      </w:r>
      <w:r>
        <w:rPr>
          <w:rFonts w:ascii="仿宋" w:hAnsi="仿宋" w:eastAsia="仿宋"/>
          <w:sz w:val="28"/>
          <w:szCs w:val="28"/>
        </w:rPr>
        <w:t>来我们更加关注项目的细节化实施，推出了</w:t>
      </w:r>
      <w:r>
        <w:rPr>
          <w:rFonts w:hint="eastAsia" w:ascii="仿宋" w:hAnsi="仿宋" w:eastAsia="仿宋"/>
          <w:sz w:val="28"/>
          <w:szCs w:val="28"/>
        </w:rPr>
        <w:t>一系列</w:t>
      </w:r>
      <w:r>
        <w:rPr>
          <w:rFonts w:ascii="仿宋" w:hAnsi="仿宋" w:eastAsia="仿宋"/>
          <w:sz w:val="28"/>
          <w:szCs w:val="28"/>
        </w:rPr>
        <w:t>精细化</w:t>
      </w:r>
      <w:r>
        <w:rPr>
          <w:rFonts w:hint="eastAsia" w:ascii="仿宋" w:hAnsi="仿宋" w:eastAsia="仿宋"/>
          <w:sz w:val="28"/>
          <w:szCs w:val="28"/>
        </w:rPr>
        <w:t>学务</w:t>
      </w:r>
      <w:r>
        <w:rPr>
          <w:rFonts w:ascii="仿宋" w:hAnsi="仿宋" w:eastAsia="仿宋"/>
          <w:sz w:val="28"/>
          <w:szCs w:val="28"/>
        </w:rPr>
        <w:t>服务的举措，例如</w:t>
      </w:r>
      <w:r>
        <w:rPr>
          <w:rFonts w:hint="eastAsia" w:ascii="仿宋" w:hAnsi="仿宋" w:eastAsia="仿宋"/>
          <w:sz w:val="28"/>
          <w:szCs w:val="28"/>
        </w:rPr>
        <w:t>领军播报</w:t>
      </w:r>
      <w:r>
        <w:rPr>
          <w:rFonts w:ascii="仿宋" w:hAnsi="仿宋" w:eastAsia="仿宋"/>
          <w:sz w:val="28"/>
          <w:szCs w:val="28"/>
        </w:rPr>
        <w:t>导读，每月一次上课的时间，由班委进行分工，收集这一</w:t>
      </w:r>
      <w:r>
        <w:rPr>
          <w:rFonts w:hint="eastAsia" w:ascii="仿宋" w:hAnsi="仿宋" w:eastAsia="仿宋"/>
          <w:sz w:val="28"/>
          <w:szCs w:val="28"/>
        </w:rPr>
        <w:t>个月内班级</w:t>
      </w:r>
      <w:r>
        <w:rPr>
          <w:rFonts w:ascii="仿宋" w:hAnsi="仿宋" w:eastAsia="仿宋"/>
          <w:sz w:val="28"/>
          <w:szCs w:val="28"/>
        </w:rPr>
        <w:t>学员的成长发展动态进行汇总，在上课前的导读环节进行统一播报，既体现了对班级学员的关心关注，又可以</w:t>
      </w:r>
      <w:r>
        <w:rPr>
          <w:rFonts w:hint="eastAsia" w:ascii="仿宋" w:hAnsi="仿宋" w:eastAsia="仿宋"/>
          <w:sz w:val="28"/>
          <w:szCs w:val="28"/>
        </w:rPr>
        <w:t>增进</w:t>
      </w:r>
      <w:r>
        <w:rPr>
          <w:rFonts w:ascii="仿宋" w:hAnsi="仿宋" w:eastAsia="仿宋"/>
          <w:sz w:val="28"/>
          <w:szCs w:val="28"/>
        </w:rPr>
        <w:t>学员之间</w:t>
      </w:r>
      <w:r>
        <w:rPr>
          <w:rFonts w:hint="eastAsia" w:ascii="仿宋" w:hAnsi="仿宋" w:eastAsia="仿宋"/>
          <w:sz w:val="28"/>
          <w:szCs w:val="28"/>
        </w:rPr>
        <w:t>的</w:t>
      </w:r>
      <w:r>
        <w:rPr>
          <w:rFonts w:ascii="仿宋" w:hAnsi="仿宋" w:eastAsia="仿宋"/>
          <w:sz w:val="28"/>
          <w:szCs w:val="28"/>
        </w:rPr>
        <w:t>相互了解</w:t>
      </w:r>
      <w:r>
        <w:rPr>
          <w:rFonts w:hint="eastAsia" w:ascii="仿宋" w:hAnsi="仿宋" w:eastAsia="仿宋"/>
          <w:sz w:val="28"/>
          <w:szCs w:val="28"/>
        </w:rPr>
        <w:t>与</w:t>
      </w:r>
      <w:r>
        <w:rPr>
          <w:rFonts w:ascii="仿宋" w:hAnsi="仿宋" w:eastAsia="仿宋"/>
          <w:sz w:val="28"/>
          <w:szCs w:val="28"/>
        </w:rPr>
        <w:t>融合。再如</w:t>
      </w:r>
      <w:r>
        <w:rPr>
          <w:rFonts w:hint="eastAsia" w:ascii="仿宋" w:hAnsi="仿宋" w:eastAsia="仿宋"/>
          <w:sz w:val="28"/>
          <w:szCs w:val="28"/>
        </w:rPr>
        <w:t>实战</w:t>
      </w:r>
      <w:r>
        <w:rPr>
          <w:rFonts w:ascii="仿宋" w:hAnsi="仿宋" w:eastAsia="仿宋"/>
          <w:sz w:val="28"/>
          <w:szCs w:val="28"/>
        </w:rPr>
        <w:t>课堂的</w:t>
      </w:r>
      <w:r>
        <w:rPr>
          <w:rFonts w:hint="eastAsia" w:ascii="仿宋" w:hAnsi="仿宋" w:eastAsia="仿宋"/>
          <w:sz w:val="28"/>
          <w:szCs w:val="28"/>
        </w:rPr>
        <w:t>推进</w:t>
      </w:r>
      <w:r>
        <w:rPr>
          <w:rFonts w:ascii="仿宋" w:hAnsi="仿宋" w:eastAsia="仿宋"/>
          <w:sz w:val="28"/>
          <w:szCs w:val="28"/>
        </w:rPr>
        <w:t>，</w:t>
      </w:r>
      <w:r>
        <w:rPr>
          <w:rFonts w:hint="eastAsia" w:ascii="仿宋" w:hAnsi="仿宋" w:eastAsia="仿宋"/>
          <w:sz w:val="28"/>
          <w:szCs w:val="28"/>
        </w:rPr>
        <w:t>邀请</w:t>
      </w:r>
      <w:r>
        <w:rPr>
          <w:rFonts w:ascii="仿宋" w:hAnsi="仿宋" w:eastAsia="仿宋"/>
          <w:sz w:val="28"/>
          <w:szCs w:val="28"/>
        </w:rPr>
        <w:t>授课老师走进学员企业，帮助企业做深入分析，</w:t>
      </w:r>
      <w:r>
        <w:rPr>
          <w:rFonts w:hint="eastAsia" w:ascii="仿宋" w:hAnsi="仿宋" w:eastAsia="仿宋"/>
          <w:sz w:val="28"/>
          <w:szCs w:val="28"/>
        </w:rPr>
        <w:t>促进</w:t>
      </w:r>
      <w:r>
        <w:rPr>
          <w:rFonts w:ascii="仿宋" w:hAnsi="仿宋" w:eastAsia="仿宋"/>
          <w:sz w:val="28"/>
          <w:szCs w:val="28"/>
        </w:rPr>
        <w:t>学员之间的</w:t>
      </w:r>
      <w:r>
        <w:rPr>
          <w:rFonts w:hint="eastAsia" w:ascii="仿宋" w:hAnsi="仿宋" w:eastAsia="仿宋"/>
          <w:sz w:val="28"/>
          <w:szCs w:val="28"/>
        </w:rPr>
        <w:t>互动</w:t>
      </w:r>
      <w:r>
        <w:rPr>
          <w:rFonts w:ascii="仿宋" w:hAnsi="仿宋" w:eastAsia="仿宋"/>
          <w:sz w:val="28"/>
          <w:szCs w:val="28"/>
        </w:rPr>
        <w:t>交流。</w:t>
      </w:r>
      <w:r>
        <w:rPr>
          <w:rFonts w:hint="eastAsia" w:ascii="仿宋" w:hAnsi="仿宋" w:eastAsia="仿宋"/>
          <w:sz w:val="28"/>
          <w:szCs w:val="28"/>
        </w:rPr>
        <w:t>未来</w:t>
      </w:r>
      <w:r>
        <w:rPr>
          <w:rFonts w:ascii="仿宋" w:hAnsi="仿宋" w:eastAsia="仿宋"/>
          <w:sz w:val="28"/>
          <w:szCs w:val="28"/>
        </w:rPr>
        <w:t>我们将更加关注领军项目的整体实施</w:t>
      </w:r>
      <w:r>
        <w:rPr>
          <w:rFonts w:hint="eastAsia" w:ascii="仿宋" w:hAnsi="仿宋" w:eastAsia="仿宋"/>
          <w:sz w:val="28"/>
          <w:szCs w:val="28"/>
        </w:rPr>
        <w:t>与</w:t>
      </w:r>
      <w:r>
        <w:rPr>
          <w:rFonts w:ascii="仿宋" w:hAnsi="仿宋" w:eastAsia="仿宋"/>
          <w:sz w:val="28"/>
          <w:szCs w:val="28"/>
        </w:rPr>
        <w:t>细节落地，</w:t>
      </w:r>
      <w:r>
        <w:rPr>
          <w:rFonts w:hint="eastAsia" w:ascii="仿宋" w:hAnsi="仿宋" w:eastAsia="仿宋"/>
          <w:sz w:val="28"/>
          <w:szCs w:val="28"/>
        </w:rPr>
        <w:t>铸造</w:t>
      </w:r>
      <w:r>
        <w:rPr>
          <w:rFonts w:ascii="仿宋" w:hAnsi="仿宋" w:eastAsia="仿宋"/>
          <w:sz w:val="28"/>
          <w:szCs w:val="28"/>
        </w:rPr>
        <w:t>领军</w:t>
      </w:r>
      <w:r>
        <w:rPr>
          <w:rFonts w:hint="eastAsia" w:ascii="仿宋" w:hAnsi="仿宋" w:eastAsia="仿宋"/>
          <w:sz w:val="28"/>
          <w:szCs w:val="28"/>
        </w:rPr>
        <w:t>精品</w:t>
      </w:r>
      <w:r>
        <w:rPr>
          <w:rFonts w:ascii="仿宋" w:hAnsi="仿宋" w:eastAsia="仿宋"/>
          <w:sz w:val="28"/>
          <w:szCs w:val="28"/>
        </w:rPr>
        <w:t>项目</w:t>
      </w:r>
      <w:r>
        <w:rPr>
          <w:rFonts w:hint="eastAsia" w:ascii="仿宋" w:hAnsi="仿宋" w:eastAsia="仿宋"/>
          <w:sz w:val="28"/>
          <w:szCs w:val="28"/>
        </w:rPr>
        <w:t>。</w:t>
      </w:r>
    </w:p>
    <w:p>
      <w:pPr>
        <w:rPr>
          <w:rFonts w:ascii="仿宋" w:hAnsi="仿宋" w:eastAsia="仿宋" w:cs="微软雅黑"/>
          <w:kern w:val="0"/>
          <w:sz w:val="24"/>
        </w:rPr>
      </w:pPr>
      <w:r>
        <mc:AlternateContent>
          <mc:Choice Requires="wps">
            <w:drawing>
              <wp:inline distT="0" distB="0" distL="114300" distR="114300">
                <wp:extent cx="1238250" cy="510540"/>
                <wp:effectExtent l="0" t="0" r="0" b="3810"/>
                <wp:docPr id="31" name="矩形 31"/>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培训目标</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JbCYiftAQAA1QMAAA4AAABkcnMvZTJvRG9jLnhtbK1TS27bMBDd&#10;F+gdCO5rSTaSuoLloIiRboo2QNID0BQpEeAPHNqST1Ogux6ixyl6jQ4p1XHTTRbVghpyhu/NeyQ3&#10;N6PR5CgCKGcbWi1KSoTlrlW2a+iXx7s3a0ogMtsy7axo6EkAvdm+frUZfC2Wrne6FYEgiIV68A3t&#10;Y/R1UQDvhWGwcF5YTEoXDIs4DV3RBjYgutHFsiyvi8GF1gfHBQCu7qYknRHDSwCdlIqLneMHI2yc&#10;UIPQLKIk6JUHus3dSil4/CwliEh0Q1FpzCOSYLxPY7HdsLoLzPeKzy2wl7TwTJNhyiLpGWrHIiOH&#10;oP6BMooHB07GBXemmIRkR1BFVT7z5qFnXmQtaDX4s+nw/2D5p+N9IKpt6KqixDKDJ/7r6/efP74R&#10;XEB3Bg81Fj34+zDPAMMkdZTBpD+KIGN29HR2VIyRcFyslqv18grN5pi7qsrr1bsEWjzt9gHiB+EM&#10;SUFDA55YNpIdP0KcSv+UJDJwWrV3Sus8Cd3+VgdyZHi6t2X6ZvS/yrQlQ2rlLaYJZ3hnJd4VDI1H&#10;3WA7Spju8DHwGDK3dYkByVmduHcM+okjwyYKVhsV8RloZRq6vmTWFuUl0yabUhTH/Yh7Urh37Wly&#10;z7r3h+ikyhovU3kznnZ2ab6Z6TpdzjPF02vc/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lsJiJ+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b/>
                          <w:bCs/>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培训目标</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仿宋"/>
          <w:kern w:val="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kern w:val="0"/>
          <w:sz w:val="28"/>
          <w:szCs w:val="28"/>
        </w:rPr>
        <w:t>加强政治引领，弘扬企业家精神。引导民营经济人士争做爱国敬业、守法经营、创新创业、回报社会的典范；</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仿宋"/>
          <w:kern w:val="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kern w:val="0"/>
          <w:sz w:val="28"/>
          <w:szCs w:val="28"/>
        </w:rPr>
        <w:t>激发创新思维，推动企业管理变革。着力激发创新活力，促动民营企业融入新发展格局，推动民营企业创新发展和转型升级；</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仿宋"/>
          <w:kern w:val="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kern w:val="0"/>
          <w:sz w:val="28"/>
          <w:szCs w:val="28"/>
        </w:rPr>
        <w:t>夯实管理基础，提升企业发展质量。提升企业竞争力、增强企业凝聚力、提高企业战斗力。</w:t>
      </w:r>
    </w:p>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2" name="矩形 32"/>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面向对象</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D8pO1LtAQAA1QMAAA4AAABkcnMvZTJvRG9jLnhtbK1TS27bMBDd&#10;F+gdCO5ryTKSuoLloIiRboo2QNID0BQpEeAPHNqST1Ogux6ixyl6jQ4p1XHTTRbVghpyhu/NeyQ3&#10;N6PR5CgCKGcbulyUlAjLXats19Avj3dv1pRAZLZl2lnR0JMAerN9/Woz+FpUrne6FYEgiIV68A3t&#10;Y/R1UQDvhWGwcF5YTEoXDIs4DV3RBjYgutFFVZbXxeBC64PjAgBXd1OSzojhJYBOSsXFzvGDETZO&#10;qEFoFlES9MoD3eZupRQ8fpYSRCS6oag05hFJMN6nsdhuWN0F5nvF5xbYS1p4pskwZZH0DLVjkZFD&#10;UP9AGcWDAyfjgjtTTEKyI6hiWT7z5qFnXmQtaDX4s+nw/2D5p+N9IKpt6KqixDKDJ/7r6/efP74R&#10;XEB3Bg81Fj34+zDPAMMkdZTBpD+KIGN29HR2VIyRcFxcVqt1dYVmc8xdLcvr1bsEWjzt9gHiB+EM&#10;SUFDA55YNpIdP0KcSv+UJDJwWrV3Sus8Cd3+VgdyZHi6t2X6ZvS/yrQlQ2rlLaYJZ3hnJd4VDI1H&#10;3WA7Spju8DHwGDK3dYkByVmduHcM+okjwyYKVhsV8RloZRq6vmTWFuUl0yabUhTH/Yh7Urh37Wly&#10;z7r3h+ikyhovU3kznnZ2ab6Z6TpdzjPF02vc/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Pyk7Uu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面向对象</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 xml:space="preserve">中小企业高层管理者，担任企业法人代表、董事长或总经理、副总经理等主要领导职务，年龄在60周岁以下，具有专科及以上学历或者具备同等学力，从事企业综合管理工作3年以上或承担科研团队带头人；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w w:val="97"/>
          <w:sz w:val="28"/>
          <w:szCs w:val="28"/>
        </w:rPr>
        <w:t xml:space="preserve">企业家本人或所领导企业对所在行业做出过突出贡献，所领导的企业为所在地区产业集群的龙头企业，或属于地区重点扶持产业企业；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仿宋" w:hAnsi="仿宋" w:eastAsia="仿宋" w:cs="微软雅黑"/>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企业家本人及所领导企业具有良好的公众形象，能自觉承担社会责任。</w:t>
      </w:r>
    </w:p>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3" name="矩形 33"/>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课程管理</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GdyI8jtAQAA1QMAAA4AAABkcnMvZTJvRG9jLnhtbK1TS27bMBDd&#10;F+gdCO5ryTaSuoLloIiRboo2QNIDjClKIsAfOLQln6ZAdz1Ej1P0Gh1SruOmmyyqBTXkDN+b90iu&#10;b0aj2UEGVM7WfD4rOZNWuEbZruZfHu/erDjDCLYB7ays+VEiv9m8frUefCUXrne6kYERiMVq8DXv&#10;Y/RVUaDopQGcOS8tJVsXDESahq5oAgyEbnSxKMvrYnCh8cEJiUir2ynJT4jhJYCubZWQWyf2Rto4&#10;oQapIZIk7JVHvsndtq0U8XPbooxM15yUxjwSCcW7NBabNVRdAN8rcWoBXtLCM00GlCXSM9QWIrB9&#10;UP9AGSWCQ9fGmXCmmIRkR0jFvHzmzUMPXmYtZDX6s+n4/2DFp8N9YKqp+XLJmQVDJ/7r6/efP74x&#10;WiB3Bo8VFT34+3CaIYVJ6tgGk/4kgo3Z0ePZUTlGJmhxvliuFldktqDc1by8Xr5LoMXTbh8wfpDO&#10;sBTUPNCJZSPh8BHjVPqnJJGh06q5U1rnSeh2tzqwA9Dp3pbpO6H/VaYtG1IrbynNBNCdbemuUGg8&#10;6UbbcQa6o8cgYsjc1iUGIocqcW8B+4kjwyYKqIyK9Ay0MjVfXTJrS/KSaZNNKYrjbqQ9Kdy55ji5&#10;Z937fXStyhovU3kznXZ26XQz03W6nGeKp9e4+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Z3IjyO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课程管理</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sz w:val="28"/>
          <w:szCs w:val="28"/>
        </w:rPr>
        <w:t>教学安排：</w:t>
      </w:r>
      <w:r>
        <w:rPr>
          <w:rFonts w:hint="eastAsia" w:ascii="仿宋" w:hAnsi="仿宋" w:eastAsia="仿宋" w:cs="仿宋"/>
          <w:sz w:val="28"/>
          <w:szCs w:val="28"/>
        </w:rPr>
        <w:t xml:space="preserve">学制1年（共20天计160学时），核心课程每月集中2天面授（周六、日）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仿宋"/>
          <w:bCs/>
          <w:spacing w:val="3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sz w:val="28"/>
          <w:szCs w:val="28"/>
        </w:rPr>
        <w:t>开学时间：</w:t>
      </w:r>
      <w:r>
        <w:rPr>
          <w:rFonts w:hint="eastAsia" w:ascii="仿宋" w:hAnsi="仿宋" w:eastAsia="仿宋" w:cs="仿宋"/>
          <w:b/>
          <w:sz w:val="28"/>
          <w:szCs w:val="28"/>
          <w:u w:val="single"/>
        </w:rPr>
        <w:t xml:space="preserve"> </w:t>
      </w:r>
      <w:r>
        <w:rPr>
          <w:rFonts w:hint="eastAsia" w:ascii="仿宋" w:hAnsi="仿宋" w:eastAsia="仿宋" w:cs="仿宋"/>
          <w:b/>
          <w:sz w:val="28"/>
          <w:szCs w:val="28"/>
          <w:u w:val="single"/>
          <w:lang w:val="en-US" w:eastAsia="zh-CN"/>
        </w:rPr>
        <w:t xml:space="preserve">   </w:t>
      </w:r>
      <w:r>
        <w:rPr>
          <w:rFonts w:hint="eastAsia" w:ascii="仿宋" w:hAnsi="仿宋" w:eastAsia="仿宋" w:cs="仿宋"/>
          <w:b/>
          <w:sz w:val="28"/>
          <w:szCs w:val="28"/>
          <w:u w:val="single"/>
        </w:rPr>
        <w:t xml:space="preserve"> </w:t>
      </w:r>
      <w:r>
        <w:rPr>
          <w:rFonts w:hint="eastAsia" w:ascii="仿宋" w:hAnsi="仿宋" w:eastAsia="仿宋" w:cs="仿宋"/>
          <w:b/>
          <w:sz w:val="28"/>
          <w:szCs w:val="28"/>
        </w:rPr>
        <w:t>年</w:t>
      </w:r>
      <w:r>
        <w:rPr>
          <w:rFonts w:hint="eastAsia" w:ascii="仿宋" w:hAnsi="仿宋" w:eastAsia="仿宋" w:cs="仿宋"/>
          <w:b/>
          <w:sz w:val="28"/>
          <w:szCs w:val="28"/>
          <w:u w:val="single"/>
        </w:rPr>
        <w:t xml:space="preserve"> </w:t>
      </w:r>
      <w:r>
        <w:rPr>
          <w:rFonts w:hint="eastAsia" w:ascii="仿宋" w:hAnsi="仿宋" w:eastAsia="仿宋" w:cs="仿宋"/>
          <w:b/>
          <w:sz w:val="28"/>
          <w:szCs w:val="28"/>
          <w:u w:val="single"/>
          <w:lang w:val="en-US" w:eastAsia="zh-CN"/>
        </w:rPr>
        <w:t xml:space="preserve">  </w:t>
      </w:r>
      <w:r>
        <w:rPr>
          <w:rFonts w:hint="eastAsia" w:ascii="仿宋" w:hAnsi="仿宋" w:eastAsia="仿宋" w:cs="仿宋"/>
          <w:b/>
          <w:sz w:val="28"/>
          <w:szCs w:val="28"/>
          <w:u w:val="single"/>
        </w:rPr>
        <w:t xml:space="preserve"> </w:t>
      </w:r>
      <w:r>
        <w:rPr>
          <w:rFonts w:hint="eastAsia" w:ascii="仿宋" w:hAnsi="仿宋" w:eastAsia="仿宋" w:cs="仿宋"/>
          <w:b/>
          <w:sz w:val="28"/>
          <w:szCs w:val="28"/>
        </w:rPr>
        <w:t>月</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sz w:val="28"/>
          <w:szCs w:val="28"/>
        </w:rPr>
        <w:t>授课地点：</w:t>
      </w:r>
      <w:r>
        <w:rPr>
          <w:rFonts w:hint="eastAsia" w:ascii="仿宋" w:hAnsi="仿宋" w:eastAsia="仿宋" w:cs="仿宋"/>
          <w:sz w:val="28"/>
          <w:szCs w:val="28"/>
        </w:rPr>
        <w:t>浙江大学</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sz w:val="28"/>
          <w:szCs w:val="28"/>
        </w:rPr>
        <w:t>研修费用：</w:t>
      </w:r>
      <w:r>
        <w:rPr>
          <w:rFonts w:hint="eastAsia" w:ascii="仿宋" w:hAnsi="仿宋" w:eastAsia="仿宋" w:cs="仿宋"/>
          <w:color w:val="000000"/>
          <w:sz w:val="28"/>
          <w:szCs w:val="28"/>
        </w:rPr>
        <w:t>共计</w:t>
      </w:r>
      <w:r>
        <w:rPr>
          <w:rFonts w:hint="eastAsia" w:ascii="仿宋" w:hAnsi="仿宋" w:eastAsia="仿宋" w:cs="仿宋"/>
          <w:color w:val="000000"/>
          <w:sz w:val="28"/>
          <w:szCs w:val="28"/>
          <w:u w:val="single"/>
        </w:rPr>
        <w:t xml:space="preserve">  </w:t>
      </w:r>
      <w:r>
        <w:rPr>
          <w:rFonts w:hint="eastAsia" w:ascii="仿宋" w:hAnsi="仿宋" w:eastAsia="仿宋" w:cs="仿宋"/>
          <w:b/>
          <w:bCs/>
          <w:color w:val="000000"/>
          <w:sz w:val="28"/>
          <w:szCs w:val="28"/>
          <w:u w:val="single"/>
        </w:rPr>
        <w:t>49800</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元/人（包括学费、教材费、教务费、通讯录、书包和其他资源费，</w:t>
      </w:r>
      <w:r>
        <w:rPr>
          <w:rFonts w:hint="eastAsia" w:ascii="仿宋" w:hAnsi="仿宋" w:eastAsia="仿宋" w:cs="仿宋"/>
          <w:b/>
          <w:color w:val="000000"/>
          <w:sz w:val="28"/>
          <w:szCs w:val="28"/>
        </w:rPr>
        <w:t>学员自筹</w:t>
      </w:r>
      <w:r>
        <w:rPr>
          <w:rFonts w:hint="eastAsia" w:ascii="仿宋" w:hAnsi="仿宋" w:eastAsia="仿宋" w:cs="仿宋"/>
          <w:color w:val="000000"/>
          <w:sz w:val="28"/>
          <w:szCs w:val="28"/>
          <w:u w:val="single"/>
        </w:rPr>
        <w:t xml:space="preserve"> </w:t>
      </w:r>
      <w:r>
        <w:rPr>
          <w:rFonts w:hint="eastAsia" w:ascii="仿宋" w:hAnsi="仿宋" w:eastAsia="仿宋" w:cs="仿宋"/>
          <w:b/>
          <w:bCs/>
          <w:color w:val="000000"/>
          <w:sz w:val="28"/>
          <w:szCs w:val="28"/>
          <w:u w:val="single"/>
        </w:rPr>
        <w:t xml:space="preserve">39800 </w:t>
      </w:r>
      <w:r>
        <w:rPr>
          <w:rFonts w:hint="eastAsia" w:ascii="仿宋" w:hAnsi="仿宋" w:eastAsia="仿宋" w:cs="仿宋"/>
          <w:color w:val="000000"/>
          <w:sz w:val="28"/>
          <w:szCs w:val="28"/>
        </w:rPr>
        <w:t>元/人，申请财政补贴</w:t>
      </w:r>
      <w:r>
        <w:rPr>
          <w:rFonts w:hint="eastAsia" w:ascii="仿宋" w:hAnsi="仿宋" w:eastAsia="仿宋" w:cs="仿宋"/>
          <w:b/>
          <w:bCs/>
          <w:color w:val="000000"/>
          <w:sz w:val="28"/>
          <w:szCs w:val="28"/>
        </w:rPr>
        <w:t>10000</w:t>
      </w:r>
      <w:r>
        <w:rPr>
          <w:rFonts w:hint="eastAsia" w:ascii="仿宋" w:hAnsi="仿宋" w:eastAsia="仿宋" w:cs="仿宋"/>
          <w:color w:val="000000"/>
          <w:sz w:val="28"/>
          <w:szCs w:val="28"/>
        </w:rPr>
        <w:t>元/人，</w:t>
      </w:r>
      <w:r>
        <w:rPr>
          <w:rFonts w:hint="eastAsia" w:ascii="仿宋" w:hAnsi="仿宋" w:eastAsia="仿宋" w:cs="仿宋"/>
          <w:sz w:val="28"/>
          <w:szCs w:val="28"/>
        </w:rPr>
        <w:t>食宿交通和班费等自理，可协助安排食宿）。</w:t>
      </w:r>
    </w:p>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4" name="矩形 34"/>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教学管理</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G3+iLjtAQAA1QMAAA4AAABkcnMvZTJvRG9jLnhtbK1TzY7TMBC+&#10;I/EOlu80acsuJWq6QlstFwQrLTzA1HESS/6Tx23Sp0HixkPwOIjXYOyUblkueyAHZ+wZf998n+31&#10;zWg0O8iAytmaz2clZ9IK1yjb1fzL57tXK84wgm1AOytrfpTIbzYvX6wHX8mF651uZGAEYrEafM37&#10;GH1VFCh6aQBnzktLydYFA5GmoSuaAAOhG10syvK6GFxofHBCItLqdkryE2J4DqBrWyXk1om9kTZO&#10;qEFqiCQJe+WRb3K3bStF/NS2KCPTNSelMY9EQvEujcVmDVUXwPdKnFqA57TwRJMBZYn0DLWFCGwf&#10;1D9QRong0LVxJpwpJiHZEVIxL59489CDl1kLWY3+bDr+P1jx8XAfmGpqvnzNmQVDJ/7r6/efP74x&#10;WiB3Bo8VFT34+3CaIYVJ6tgGk/4kgo3Z0ePZUTlGJmhxvliuFldktqDc1by8Xr5NoMXjbh8wvpfO&#10;sBTUPNCJZSPh8AHjVPqnJJGh06q5U1rnSeh2tzqwA9Dp3pbpO6H/VaYtG1IrbyjNBNCdbemuUGg8&#10;6UbbcQa6o8cgYsjc1iUGIocqcW8B+4kjwyYKqIyK9Ay0MjVfXTJrS/KSaZNNKYrjbqQ9Kdy55ji5&#10;Z927fXStyhovU3kznXZ26XQz03W6nGeKx9e4+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bf6IuO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教学管理</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sz w:val="28"/>
          <w:szCs w:val="28"/>
        </w:rPr>
        <w:t>学员管理：</w:t>
      </w:r>
      <w:r>
        <w:rPr>
          <w:rFonts w:hint="eastAsia" w:ascii="仿宋" w:hAnsi="仿宋" w:eastAsia="仿宋" w:cs="仿宋"/>
          <w:sz w:val="28"/>
          <w:szCs w:val="28"/>
        </w:rPr>
        <w:t>学员完成报名程序，有关资料即将转入浙江大学继续教育学院备案，进行统一管理，并建立领军人才信息库，对学员实行跟踪管理；每个班级配备班主任1名，教务助理1名，负责整个班级的教学管理与服务工作；建立班委会和辅导员制度，辅导员由工业和信息化部人才交流中心统一选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b/>
          <w:bCs/>
          <w:sz w:val="28"/>
          <w:szCs w:val="28"/>
        </w:rPr>
        <w:t>证书颁发</w:t>
      </w:r>
      <w:r>
        <w:rPr>
          <w:rFonts w:hint="eastAsia" w:ascii="仿宋" w:hAnsi="仿宋" w:eastAsia="仿宋" w:cs="仿宋"/>
          <w:sz w:val="28"/>
          <w:szCs w:val="28"/>
        </w:rPr>
        <w:t>：采取“双证”模式，学员通过全部课程并考核合格后：</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1.颁发由</w:t>
      </w:r>
      <w:r>
        <w:rPr>
          <w:rFonts w:hint="eastAsia" w:ascii="仿宋" w:hAnsi="仿宋" w:eastAsia="仿宋" w:cs="仿宋"/>
          <w:sz w:val="28"/>
          <w:szCs w:val="28"/>
          <w:lang w:val="en-US" w:eastAsia="zh-CN"/>
        </w:rPr>
        <w:t>工业和信息化部</w:t>
      </w:r>
      <w:r>
        <w:rPr>
          <w:rFonts w:hint="eastAsia" w:ascii="仿宋" w:hAnsi="仿宋" w:eastAsia="仿宋" w:cs="仿宋"/>
          <w:sz w:val="28"/>
          <w:szCs w:val="28"/>
        </w:rPr>
        <w:t>企业经营管理人才素质提升工程协调小组办公室统一管理的“中小企业经营管理领军人才”证书；</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rPr>
      </w:pPr>
      <w:r>
        <w:rPr>
          <w:rFonts w:hint="eastAsia" w:ascii="仿宋" w:hAnsi="仿宋" w:eastAsia="仿宋" w:cs="仿宋"/>
          <w:sz w:val="28"/>
          <w:szCs w:val="28"/>
        </w:rPr>
        <w:t>2.完成规定课程后颁发浙江大学高级研修班证书（校长签发，浙江大学钢印）。</w:t>
      </w:r>
    </w:p>
    <w:p>
      <w:pPr>
        <w:spacing w:line="348" w:lineRule="auto"/>
        <w:jc w:val="center"/>
        <w:rPr>
          <w:rFonts w:ascii="仿宋" w:hAnsi="仿宋" w:eastAsia="仿宋" w:cs="微软雅黑"/>
          <w:kern w:val="0"/>
          <w:sz w:val="24"/>
        </w:rPr>
      </w:pPr>
      <w:r>
        <w:rPr>
          <w:rFonts w:hint="eastAsia" w:eastAsia="仿宋"/>
          <w:lang w:eastAsia="zh-CN"/>
        </w:rPr>
        <w:drawing>
          <wp:inline distT="0" distB="0" distL="114300" distR="114300">
            <wp:extent cx="5179695" cy="1296670"/>
            <wp:effectExtent l="0" t="0" r="1905" b="17780"/>
            <wp:docPr id="14" name="图片 14" descr="战略新兴产业培育发展培训专题-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战略新兴产业培育发展培训专题-02"/>
                    <pic:cNvPicPr>
                      <a:picLocks noChangeAspect="1"/>
                    </pic:cNvPicPr>
                  </pic:nvPicPr>
                  <pic:blipFill>
                    <a:blip r:embed="rId11"/>
                    <a:stretch>
                      <a:fillRect/>
                    </a:stretch>
                  </pic:blipFill>
                  <pic:spPr>
                    <a:xfrm>
                      <a:off x="0" y="0"/>
                      <a:ext cx="5179695" cy="1296670"/>
                    </a:xfrm>
                    <a:prstGeom prst="rect">
                      <a:avLst/>
                    </a:prstGeom>
                  </pic:spPr>
                </pic:pic>
              </a:graphicData>
            </a:graphic>
          </wp:inline>
        </w:drawing>
      </w:r>
    </w:p>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5" name="矩形 35"/>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培养模式</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DWlkCLtAQAA1QMAAA4AAABkcnMvZTJvRG9jLnhtbK1TS27bMBDd&#10;F+gdCO5ryTacuoLloIiRboo2QNIDjClSIsAfSNqST1Ogux6ixyl6jQ4p1XGTTRbRghpyhu/NeyQ3&#10;14NW5Mh9kNbUdD4rKeGG2UaatqbfHm7frSkJEUwDyhpe0xMP9Hr79s2mdxVf2M6qhnuCICZUvatp&#10;F6OriiKwjmsIM+u4waSwXkPEqW+LxkOP6FoVi7K8KnrrG+ct4yHg6m5M0gnRvwTQCiEZ31l20NzE&#10;EdVzBRElhU66QLe5WyE4i1+FCDwSVVNUGvOIJBjv01hsN1C1Hlwn2dQCvKSFJ5o0SIOkZ6gdRCAH&#10;L59Bacm8DVbEGbO6GIVkR1DFvHzizX0HjmctaHVwZ9PD68GyL8c7T2RT0+WKEgMaT/zP95+/f/0g&#10;uIDu9C5UWHTv7vw0CxgmqYPwOv1RBBmyo6ezo3yIhOHifLFcL1ZoNsPcal5eLT8k0OJxt/MhfuJW&#10;kxTU1OOJZSPh+DnEsfRfSSILVsnmViqVJ77d3yhPjoCne1Omb0L/r0wZ0qdW3mOaMMA7K/CuYKgd&#10;6g6mpQRUi4+BRZ+5jU0MSA5V4t5B6EaODJsooNIy4jNQUtd0fcmsDMpLpo02pSgO+wH3pHBvm9Po&#10;nrEfD9EKmTVepvJmPO3s0nQz03W6nGeKx9e4/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NaWQIu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培养模式</w:t>
                      </w:r>
                    </w:p>
                  </w:txbxContent>
                </v:textbox>
                <w10:wrap type="none"/>
                <w10:anchorlock/>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textAlignment w:val="auto"/>
        <w:rPr>
          <w:rFonts w:hint="eastAsia" w:eastAsia="宋体"/>
          <w:lang w:eastAsia="zh-CN"/>
        </w:rPr>
      </w:pPr>
      <w:r>
        <w:rPr>
          <w:rFonts w:hint="eastAsia" w:eastAsia="宋体"/>
          <w:lang w:eastAsia="zh-CN"/>
        </w:rPr>
        <w:drawing>
          <wp:inline distT="0" distB="0" distL="114300" distR="114300">
            <wp:extent cx="5443220" cy="1866265"/>
            <wp:effectExtent l="0" t="0" r="5080" b="0"/>
            <wp:docPr id="53" name="图片 53" descr="领军+师资__2022-12-06+17_4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领军+师资__2022-12-06+17_43_22"/>
                    <pic:cNvPicPr>
                      <a:picLocks noChangeAspect="1"/>
                    </pic:cNvPicPr>
                  </pic:nvPicPr>
                  <pic:blipFill>
                    <a:blip r:embed="rId12"/>
                    <a:srcRect l="9682" t="25825" r="10984" b="25825"/>
                    <a:stretch>
                      <a:fillRect/>
                    </a:stretch>
                  </pic:blipFill>
                  <pic:spPr>
                    <a:xfrm>
                      <a:off x="0" y="0"/>
                      <a:ext cx="5443220" cy="1866265"/>
                    </a:xfrm>
                    <a:prstGeom prst="rect">
                      <a:avLst/>
                    </a:prstGeom>
                  </pic:spPr>
                </pic:pic>
              </a:graphicData>
            </a:graphic>
          </wp:inline>
        </w:drawing>
      </w:r>
    </w:p>
    <w:p>
      <w:pPr>
        <w:spacing w:line="560" w:lineRule="exact"/>
        <w:ind w:firstLine="562"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16：</w:t>
      </w:r>
      <w:r>
        <w:rPr>
          <w:rFonts w:hint="eastAsia" w:ascii="仿宋" w:hAnsi="仿宋" w:eastAsia="仿宋" w:cs="仿宋"/>
          <w:color w:val="000000" w:themeColor="text1"/>
          <w:sz w:val="28"/>
          <w:szCs w:val="28"/>
          <w14:textFill>
            <w14:solidFill>
              <w14:schemeClr w14:val="tx1"/>
            </w14:solidFill>
          </w14:textFill>
        </w:rPr>
        <w:t>组织16天精品课程，围绕互联网+与新常态经济，结合企业内部经营管理，设计系统化培训课程，辅助可选全国其他高校课程；</w:t>
      </w:r>
    </w:p>
    <w:p>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每年组织1次以点带面，通过班委带动全班同学的资源共享机制的全国班委交流活动，促进各行业班委之间的交流、互通、共融；</w:t>
      </w:r>
    </w:p>
    <w:p>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工业和信息化部人才交流中心联合各承担机构举办领军企业家商业思潮巡回周2次，活动汇聚来自全国各地的中小企业主管部门领导、领军企业家、知名专家学者，就领军企业家如何适应不断变化的市场环境，全面提升创新能力和经营管理能力展开交流研讨；</w:t>
      </w:r>
    </w:p>
    <w:p>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t>每年由工业和信息化部人才交流中心争取至少5个行业闭门培训的参与名额，行业研修包括但不限于装备制造、生态纺织、物联网、生物医药等行业</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视实际工作开展</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w:t>
      </w:r>
    </w:p>
    <w:p>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举办每学年产业转型升级交流活动，为学员企业和转型升级提供更多资源、人脉、合作方面的实效支持，创造更多转型升级的成功案例与合作范本；</w:t>
      </w:r>
    </w:p>
    <w:p>
      <w:pPr>
        <w:spacing w:line="560" w:lineRule="exact"/>
        <w:ind w:left="-141" w:leftChars="-67" w:right="-258" w:rightChars="-123"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N：</w:t>
      </w:r>
      <w:r>
        <w:rPr>
          <w:rFonts w:hint="eastAsia" w:ascii="仿宋" w:hAnsi="仿宋" w:eastAsia="仿宋" w:cs="仿宋"/>
          <w:color w:val="000000" w:themeColor="text1"/>
          <w:sz w:val="28"/>
          <w:szCs w:val="28"/>
          <w14:textFill>
            <w14:solidFill>
              <w14:schemeClr w14:val="tx1"/>
            </w14:solidFill>
          </w14:textFill>
        </w:rPr>
        <w:t>每年由各承办高校机构、班委、同学组织的各种互访、学习、交流的活动。</w:t>
      </w:r>
    </w:p>
    <w:p>
      <w:pPr>
        <w:rPr>
          <w:rFonts w:hint="eastAsia" w:ascii="楷体" w:hAnsi="楷体" w:eastAsia="楷体" w:cs="楷体"/>
          <w:b/>
          <w:bCs/>
          <w:sz w:val="32"/>
          <w:szCs w:val="40"/>
        </w:rPr>
      </w:pPr>
      <w:bookmarkStart w:id="4" w:name="_Toc8285"/>
      <w:bookmarkStart w:id="5" w:name="_Toc20764"/>
      <w:r>
        <w:rPr>
          <w:rFonts w:hint="eastAsia" w:ascii="楷体" w:hAnsi="楷体" w:eastAsia="楷体" w:cs="楷体"/>
          <w:b/>
          <w:bCs/>
          <w:sz w:val="32"/>
          <w:szCs w:val="40"/>
        </w:rPr>
        <w:br w:type="page"/>
      </w:r>
    </w:p>
    <w:bookmarkEnd w:id="4"/>
    <w:bookmarkEnd w:id="5"/>
    <w:p>
      <w:pPr>
        <w:spacing w:line="348" w:lineRule="auto"/>
        <w:rPr>
          <w:rFonts w:ascii="仿宋" w:hAnsi="仿宋" w:eastAsia="仿宋" w:cs="微软雅黑"/>
          <w:kern w:val="0"/>
          <w:sz w:val="24"/>
        </w:rPr>
      </w:pPr>
      <w:r>
        <mc:AlternateContent>
          <mc:Choice Requires="wps">
            <w:drawing>
              <wp:inline distT="0" distB="0" distL="114300" distR="114300">
                <wp:extent cx="1238250" cy="510540"/>
                <wp:effectExtent l="0" t="0" r="0" b="3810"/>
                <wp:docPr id="36" name="矩形 36"/>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课程设计</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JxOyVftAQAA1QMAAA4AAABkcnMvZTJvRG9jLnhtbK1TS27bMBDd&#10;F+gdCO5ryTbiuoLloIiRboo2QNIDjClSIsAfSNqST1Ogux6ixyl6jQ4p1XGTTRbRghpyhu/NeyQ3&#10;14NW5Mh9kNbUdD4rKeGG2UaatqbfHm7frSkJEUwDyhpe0xMP9Hr79s2mdxVf2M6qhnuCICZUvatp&#10;F6OriiKwjmsIM+u4waSwXkPEqW+LxkOP6FoVi7JcFb31jfOW8RBwdTcm6YToXwJohZCM7yw7aG7i&#10;iOq5goiSQiddoNvcrRCcxa9CBB6JqikqjXlEEoz3aSy2G6haD66TbGoBXtLCE00apEHSM9QOIpCD&#10;l8+gtGTeBivijFldjEKyI6hiXj7x5r4Dx7MWtDq4s+nh9WDZl+OdJ7Kp6XJFiQGNJ/7n+8/fv34Q&#10;XEB3ehcqLLp3d36aBQyT1EF4nf4oggzZ0dPZUT5EwnBxvliuF1doNsPc1bxcLT8k0OJxt/MhfuJW&#10;kxTU1OOJZSPh+DnEsfRfSSILVsnmViqVJ77d3yhPjoCne1Omb0L/r0wZ0qdW3mOaMMA7K/CuYKgd&#10;6g6mpQRUi4+BRZ+5jU0MSA5V4t5B6EaODJsooNIy4jNQUtd0fcmsDMpLpo02pSgO+wH3pHBvm9Po&#10;nrEfD9EKmTVepvJmPO3s0nQz03W6nGeKx9e4/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nE7JV+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课程设计</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425"/>
        <w:jc w:val="center"/>
        <w:textAlignment w:val="auto"/>
        <w:rPr>
          <w:rFonts w:hint="eastAsia" w:ascii="仿宋" w:hAnsi="仿宋" w:eastAsia="仿宋" w:cs="微软雅黑"/>
          <w:b/>
          <w:sz w:val="28"/>
          <w:szCs w:val="28"/>
        </w:rPr>
      </w:pPr>
      <w:r>
        <w:rPr>
          <w:rFonts w:hint="eastAsia" w:ascii="仿宋" w:hAnsi="仿宋" w:eastAsia="仿宋" w:cs="微软雅黑"/>
          <w:b/>
          <w:sz w:val="28"/>
          <w:szCs w:val="28"/>
        </w:rPr>
        <w:t>领军精品课堂</w:t>
      </w:r>
    </w:p>
    <w:p>
      <w:pPr>
        <w:jc w:val="center"/>
        <w:rPr>
          <w:rFonts w:hint="eastAsia"/>
          <w:lang w:eastAsia="zh-CN"/>
        </w:rPr>
      </w:pPr>
      <w:r>
        <w:rPr>
          <w:rFonts w:hint="eastAsia"/>
          <w:lang w:eastAsia="zh-CN"/>
        </w:rPr>
        <w:drawing>
          <wp:inline distT="0" distB="0" distL="114300" distR="114300">
            <wp:extent cx="5292090" cy="2416810"/>
            <wp:effectExtent l="0" t="0" r="3810" b="0"/>
            <wp:docPr id="10" name="图片 10" descr="领军+师资__2022-11-28+16_46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领军+师资__2022-11-28+16_46_41"/>
                    <pic:cNvPicPr>
                      <a:picLocks noChangeAspect="1"/>
                    </pic:cNvPicPr>
                  </pic:nvPicPr>
                  <pic:blipFill>
                    <a:blip r:embed="rId13"/>
                    <a:srcRect l="6882" t="18453" r="6908" b="11595"/>
                    <a:stretch>
                      <a:fillRect/>
                    </a:stretch>
                  </pic:blipFill>
                  <pic:spPr>
                    <a:xfrm>
                      <a:off x="0" y="0"/>
                      <a:ext cx="5292090" cy="241681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lang w:eastAsia="zh-CN"/>
        </w:rPr>
      </w:pPr>
      <w:r>
        <w:rPr>
          <w:rFonts w:hint="eastAsia"/>
          <w:lang w:eastAsia="zh-CN"/>
        </w:rPr>
        <w:drawing>
          <wp:inline distT="0" distB="0" distL="114300" distR="114300">
            <wp:extent cx="5292090" cy="2442845"/>
            <wp:effectExtent l="0" t="0" r="3810" b="0"/>
            <wp:docPr id="11" name="图片 11" descr="领军+师资__2022-11-28+16_5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领军+师资__2022-11-28+16_52_30"/>
                    <pic:cNvPicPr>
                      <a:picLocks noChangeAspect="1"/>
                    </pic:cNvPicPr>
                  </pic:nvPicPr>
                  <pic:blipFill>
                    <a:blip r:embed="rId14"/>
                    <a:srcRect l="6957" t="18710" r="6824" b="10544"/>
                    <a:stretch>
                      <a:fillRect/>
                    </a:stretch>
                  </pic:blipFill>
                  <pic:spPr>
                    <a:xfrm>
                      <a:off x="0" y="0"/>
                      <a:ext cx="5292090" cy="2442845"/>
                    </a:xfrm>
                    <a:prstGeom prst="rect">
                      <a:avLst/>
                    </a:prstGeom>
                  </pic:spPr>
                </pic:pic>
              </a:graphicData>
            </a:graphic>
          </wp:inline>
        </w:drawing>
      </w:r>
      <w:r>
        <w:rPr>
          <w:rFonts w:hint="eastAsia"/>
          <w:lang w:eastAsia="zh-CN"/>
        </w:rPr>
        <w:drawing>
          <wp:inline distT="0" distB="0" distL="114300" distR="114300">
            <wp:extent cx="5292090" cy="2424430"/>
            <wp:effectExtent l="0" t="0" r="3810" b="0"/>
            <wp:docPr id="12" name="图片 12" descr="领军+师资__2022-11-28+16_52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领军+师资__2022-11-28+16_52_42"/>
                    <pic:cNvPicPr>
                      <a:picLocks noChangeAspect="1"/>
                    </pic:cNvPicPr>
                  </pic:nvPicPr>
                  <pic:blipFill>
                    <a:blip r:embed="rId15"/>
                    <a:srcRect l="7114" t="19246" r="6957" b="10802"/>
                    <a:stretch>
                      <a:fillRect/>
                    </a:stretch>
                  </pic:blipFill>
                  <pic:spPr>
                    <a:xfrm>
                      <a:off x="0" y="0"/>
                      <a:ext cx="5292090" cy="2424430"/>
                    </a:xfrm>
                    <a:prstGeom prst="rect">
                      <a:avLst/>
                    </a:prstGeom>
                  </pic:spPr>
                </pic:pic>
              </a:graphicData>
            </a:graphic>
          </wp:inline>
        </w:drawing>
      </w:r>
    </w:p>
    <w:p>
      <w:pPr>
        <w:keepNext w:val="0"/>
        <w:keepLines w:val="0"/>
        <w:pageBreakBefore/>
        <w:widowControl w:val="0"/>
        <w:kinsoku/>
        <w:wordWrap/>
        <w:overflowPunct/>
        <w:topLinePunct w:val="0"/>
        <w:autoSpaceDE/>
        <w:autoSpaceDN/>
        <w:bidi w:val="0"/>
        <w:adjustRightInd/>
        <w:snapToGrid/>
        <w:spacing w:before="157" w:beforeLines="50" w:line="360" w:lineRule="auto"/>
        <w:jc w:val="center"/>
        <w:textAlignment w:val="auto"/>
        <w:rPr>
          <w:rFonts w:hint="eastAsia" w:ascii="仿宋" w:hAnsi="仿宋" w:eastAsia="仿宋" w:cs="微软雅黑"/>
          <w:b/>
          <w:sz w:val="28"/>
          <w:szCs w:val="28"/>
        </w:rPr>
      </w:pPr>
      <w:r>
        <w:rPr>
          <w:rFonts w:hint="eastAsia" w:ascii="仿宋" w:hAnsi="仿宋" w:eastAsia="仿宋" w:cs="微软雅黑"/>
          <w:b/>
          <w:sz w:val="28"/>
          <w:szCs w:val="28"/>
        </w:rPr>
        <w:t>领军移动课堂</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lang w:eastAsia="zh-CN"/>
        </w:rPr>
      </w:pPr>
      <w:r>
        <w:rPr>
          <w:rFonts w:hint="eastAsia"/>
          <w:lang w:eastAsia="zh-CN"/>
        </w:rPr>
        <w:drawing>
          <wp:inline distT="0" distB="0" distL="114300" distR="114300">
            <wp:extent cx="5292725" cy="3135630"/>
            <wp:effectExtent l="0" t="0" r="3175" b="7620"/>
            <wp:docPr id="24" name="图片 24" descr="领军+师资__2022-12-06+12_5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领军+师资__2022-12-06+12_51_05"/>
                    <pic:cNvPicPr>
                      <a:picLocks noChangeAspect="1"/>
                    </pic:cNvPicPr>
                  </pic:nvPicPr>
                  <pic:blipFill>
                    <a:blip r:embed="rId16"/>
                    <a:srcRect l="9368" t="4554" r="5160" b="5444"/>
                    <a:stretch>
                      <a:fillRect/>
                    </a:stretch>
                  </pic:blipFill>
                  <pic:spPr>
                    <a:xfrm>
                      <a:off x="0" y="0"/>
                      <a:ext cx="5292725" cy="3135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157" w:afterLines="50" w:line="348" w:lineRule="auto"/>
        <w:textAlignment w:val="auto"/>
        <w:rPr>
          <w:rFonts w:hint="eastAsia"/>
          <w:b/>
          <w:sz w:val="24"/>
        </w:rPr>
      </w:pPr>
      <w:bookmarkStart w:id="6" w:name="_Toc26088"/>
      <w:bookmarkStart w:id="7" w:name="_Toc728"/>
      <w:r>
        <mc:AlternateContent>
          <mc:Choice Requires="wps">
            <w:drawing>
              <wp:inline distT="0" distB="0" distL="114300" distR="114300">
                <wp:extent cx="1238250" cy="510540"/>
                <wp:effectExtent l="0" t="0" r="0" b="3810"/>
                <wp:docPr id="37" name="矩形 37"/>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领军服务</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MQV0c3tAQAA1QMAAA4AAABkcnMvZTJvRG9jLnhtbK1TS27bMBDd&#10;F+gdCO5ryTaSuILloIiRboo2QNoDjClKIsAfOLQln6ZAdz1Ej1P0Gh1SruOmmyyqBTXkDN+b90iu&#10;b0ej2UEGVM7WfD4rOZNWuEbZruZfPt+/WXGGEWwD2llZ86NEfrt5/Wo9+EouXO90IwMjEIvV4Gve&#10;x+irokDRSwM4c15aSrYuGIg0DV3RBBgI3ehiUZbXxeBC44MTEpFWt1OSnxDDSwBd2yoht07sjbRx&#10;Qg1SQyRJ2CuPfJO7bVsp4qe2RRmZrjkpjXkkEop3aSw2a6i6AL5X4tQCvKSFZ5oMKEukZ6gtRGD7&#10;oP6BMkoEh66NM+FMMQnJjpCKefnMm8cevMxayGr0Z9Px/8GKj4eHwFRT8+UNZxYMnfivr99//vjG&#10;aIHcGTxWVPToH8JphhQmqWMbTPqTCDZmR49nR+UYmaDF+WK5WlyR2YJyV/Pyevk2gRZPu33A+F46&#10;w1JQ80Anlo2EwweMU+mfkkSGTqvmXmmdJ6Hb3enADkCne1em74T+V5m2bEit3FCaCaA729JdodB4&#10;0o224wx0R49BxJC5rUsMRA5V4t4C9hNHhk0UUBkV6RloZWq+umTWluQl0yabUhTH3Uh7UrhzzXFy&#10;z7p3++halTVepvJmOu3s0ulmput0Oc8UT69x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xBXRze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领军服务</w:t>
                      </w:r>
                    </w:p>
                  </w:txbxContent>
                </v:textbox>
                <w10:wrap type="none"/>
                <w10:anchorlock/>
              </v:rect>
            </w:pict>
          </mc:Fallback>
        </mc:AlternateContent>
      </w:r>
      <w:r>
        <w:rPr>
          <w:rFonts w:hint="eastAsia" w:ascii="楷体" w:hAnsi="楷体" w:eastAsia="楷体" w:cs="楷体"/>
          <w:sz w:val="24"/>
          <w:szCs w:val="24"/>
        </w:rPr>
        <w:t>（</w:t>
      </w:r>
      <w:r>
        <w:rPr>
          <w:rFonts w:hint="eastAsia" w:ascii="仿宋" w:hAnsi="仿宋" w:eastAsia="仿宋"/>
          <w:b/>
          <w:sz w:val="24"/>
          <w:szCs w:val="24"/>
        </w:rPr>
        <w:t>由工业和信息化部人才交流中心与浙江大学共同深入推进）</w:t>
      </w:r>
      <w:bookmarkEnd w:id="6"/>
      <w:bookmarkEnd w:id="7"/>
      <w:r>
        <w:rPr>
          <w:rFonts w:hint="eastAsia"/>
          <w:b/>
          <w:sz w:val="24"/>
        </w:rPr>
        <w:t xml:space="preserve"> </w:t>
      </w:r>
    </w:p>
    <w:p>
      <w:pPr>
        <w:keepNext w:val="0"/>
        <w:keepLines w:val="0"/>
        <w:pageBreakBefore w:val="0"/>
        <w:widowControl w:val="0"/>
        <w:kinsoku/>
        <w:wordWrap/>
        <w:overflowPunct/>
        <w:topLinePunct w:val="0"/>
        <w:autoSpaceDE/>
        <w:autoSpaceDN/>
        <w:bidi w:val="0"/>
        <w:adjustRightInd/>
        <w:snapToGrid/>
        <w:spacing w:before="313" w:beforeLines="100" w:after="157" w:afterLines="50" w:line="348" w:lineRule="auto"/>
        <w:textAlignment w:val="auto"/>
        <w:rPr>
          <w:rFonts w:hint="eastAsia" w:eastAsia="宋体"/>
          <w:lang w:eastAsia="zh-CN"/>
        </w:rPr>
      </w:pPr>
      <w:r>
        <w:rPr>
          <w:rFonts w:hint="eastAsia" w:eastAsia="宋体"/>
          <w:lang w:eastAsia="zh-CN"/>
        </w:rPr>
        <w:drawing>
          <wp:inline distT="0" distB="0" distL="114300" distR="114300">
            <wp:extent cx="5325110" cy="3456305"/>
            <wp:effectExtent l="0" t="0" r="8890" b="10795"/>
            <wp:docPr id="42" name="图片 42" descr="领军+师资__2022-12-06+15_25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领军+师资__2022-12-06+15_25_49"/>
                    <pic:cNvPicPr>
                      <a:picLocks noChangeAspect="1"/>
                    </pic:cNvPicPr>
                  </pic:nvPicPr>
                  <pic:blipFill>
                    <a:blip r:embed="rId17"/>
                    <a:srcRect l="8789" r="4521"/>
                    <a:stretch>
                      <a:fillRect/>
                    </a:stretch>
                  </pic:blipFill>
                  <pic:spPr>
                    <a:xfrm>
                      <a:off x="0" y="0"/>
                      <a:ext cx="5325110" cy="3456305"/>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rPr>
          <w:rFonts w:hint="eastAsia" w:ascii="微软雅黑" w:hAnsi="微软雅黑" w:eastAsia="微软雅黑" w:cs="微软雅黑"/>
          <w:b/>
          <w:bCs/>
          <w:color w:val="1F497D"/>
          <w:sz w:val="16"/>
          <w:szCs w:val="16"/>
          <w:lang w:eastAsia="zh-CN"/>
        </w:rPr>
      </w:pPr>
      <w:bookmarkStart w:id="8" w:name="_Toc12127"/>
      <w:bookmarkStart w:id="9" w:name="_Toc32043"/>
    </w:p>
    <w:p>
      <w:pPr>
        <w:rPr>
          <w:rFonts w:hint="eastAsia" w:ascii="微软雅黑" w:hAnsi="微软雅黑" w:eastAsia="微软雅黑" w:cs="微软雅黑"/>
          <w:b/>
          <w:bCs/>
          <w:color w:val="1F497D"/>
          <w:sz w:val="32"/>
          <w:szCs w:val="32"/>
          <w:lang w:eastAsia="zh-CN"/>
        </w:rPr>
      </w:pPr>
      <w:r>
        <w:rPr>
          <w:rFonts w:hint="eastAsia" w:ascii="微软雅黑" w:hAnsi="微软雅黑" w:eastAsia="微软雅黑" w:cs="微软雅黑"/>
          <w:b/>
          <w:bCs/>
          <w:color w:val="1F497D"/>
          <w:sz w:val="32"/>
          <w:szCs w:val="32"/>
          <w:lang w:eastAsia="zh-CN"/>
        </w:rPr>
        <w:drawing>
          <wp:inline distT="0" distB="0" distL="114300" distR="114300">
            <wp:extent cx="5253355" cy="2085340"/>
            <wp:effectExtent l="0" t="0" r="0" b="10160"/>
            <wp:docPr id="43" name="图片 43" descr="领军+师资__2022-12-06+14_4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领军+师资__2022-12-06+14_41_10"/>
                    <pic:cNvPicPr>
                      <a:picLocks noChangeAspect="1"/>
                    </pic:cNvPicPr>
                  </pic:nvPicPr>
                  <pic:blipFill>
                    <a:blip r:embed="rId18"/>
                    <a:srcRect l="2508" t="13395" r="4521" b="21003"/>
                    <a:stretch>
                      <a:fillRect/>
                    </a:stretch>
                  </pic:blipFill>
                  <pic:spPr>
                    <a:xfrm>
                      <a:off x="0" y="0"/>
                      <a:ext cx="5253355" cy="2085340"/>
                    </a:xfrm>
                    <a:prstGeom prst="rect">
                      <a:avLst/>
                    </a:prstGeom>
                  </pic:spPr>
                </pic:pic>
              </a:graphicData>
            </a:graphic>
          </wp:inline>
        </w:drawing>
      </w:r>
    </w:p>
    <w:bookmarkEnd w:id="8"/>
    <w:bookmarkEnd w:id="9"/>
    <w:p>
      <w:pPr>
        <w:pStyle w:val="2"/>
        <w:keepNext/>
        <w:keepLines/>
        <w:pageBreakBefore w:val="0"/>
        <w:widowControl w:val="0"/>
        <w:kinsoku/>
        <w:wordWrap/>
        <w:overflowPunct/>
        <w:topLinePunct w:val="0"/>
        <w:autoSpaceDE/>
        <w:autoSpaceDN/>
        <w:bidi w:val="0"/>
        <w:adjustRightInd/>
        <w:snapToGrid/>
        <w:spacing w:before="157" w:beforeLines="50" w:after="157" w:afterLines="50"/>
        <w:textAlignment w:val="auto"/>
        <w:rPr>
          <w:rFonts w:ascii="微软雅黑" w:hAnsi="微软雅黑" w:eastAsia="微软雅黑" w:cs="微软雅黑"/>
          <w:b/>
          <w:bCs/>
          <w:color w:val="1F497D"/>
          <w:sz w:val="32"/>
          <w:szCs w:val="32"/>
        </w:rPr>
      </w:pPr>
      <w:r>
        <mc:AlternateContent>
          <mc:Choice Requires="wps">
            <w:drawing>
              <wp:inline distT="0" distB="0" distL="114300" distR="114300">
                <wp:extent cx="1238250" cy="510540"/>
                <wp:effectExtent l="0" t="0" r="0" b="3810"/>
                <wp:docPr id="39" name="矩形 39"/>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拟邀师资</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NANhiztAQAA1QMAAA4AAABkcnMvZTJvRG9jLnhtbK1TwW4TMRC9&#10;I/EPlu9kN6laQpRNhRqVC4JKhQ9wvPauJdtjeZzs5muQuPERfA7iNxh707SUSw/ksBl7xu/Nex6v&#10;r0dn2UFFNOAbPp/VnCkvoTW+a/jXL7dvlpxhEr4VFrxq+FEhv968frUewkotoAfbqsgIxONqCA3v&#10;UwqrqkLZKydwBkF5SmqITiRaxq5qoxgI3dlqUddX1QCxDRGkQqTd7ZTkJ8T4EkDQ2ki1Bbl3yqcJ&#10;NSorEknC3gTkm9Kt1kqmz1qjSsw2nJSm8iUSinf5W23WYtVFEXojTy2Il7TwTJMTxhPpGWorkmD7&#10;aP6BckZGQNBpJsFVk5DiCKmY18+8ue9FUEULWY3hbDr+P1j56XAXmWkbfvGOMy8c3fjvbz9+/fzO&#10;aIPcGQKuqOg+3MXTCinMUkcdXf4nEWwsjh7PjqoxMUmb88XFcnFJZkvKXc7rqwm0ejwdIqYPChzL&#10;QcMj3VgxUhw+YiJGKn0oyWQI1rS3xtqyiN3uxkZ2EHS7N3X+5ZbpyF9l1rMht/KW0kwKmllNs0Kh&#10;C6QbfceZsB09Bpli4faQGQhp4t4K7CeOAjvNjDOJnoE1ruHLp8zWUwPZtMmmHKVxN56820F7nNzz&#10;8H6fQJuiMVc9pMphuu2i4zSZeZyergvF42vc/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0A2GLO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拟邀师资</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29225" cy="728345"/>
            <wp:effectExtent l="0" t="0" r="9525" b="15240"/>
            <wp:docPr id="20" name="图片 20" descr="领军+师资__2022-12-06+09_51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领军+师资__2022-12-06+09_51_38"/>
                    <pic:cNvPicPr>
                      <a:picLocks noChangeAspect="1"/>
                    </pic:cNvPicPr>
                  </pic:nvPicPr>
                  <pic:blipFill>
                    <a:blip r:embed="rId19"/>
                    <a:srcRect l="3147" t="25504" r="3147" b="51298"/>
                    <a:stretch>
                      <a:fillRect/>
                    </a:stretch>
                  </pic:blipFill>
                  <pic:spPr>
                    <a:xfrm>
                      <a:off x="0" y="0"/>
                      <a:ext cx="5229225" cy="728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29225" cy="711200"/>
            <wp:effectExtent l="0" t="0" r="9525" b="12700"/>
            <wp:docPr id="45" name="图片 45" descr="领军+师资__2022-12-06+09_51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领军+师资__2022-12-06+09_51_38"/>
                    <pic:cNvPicPr>
                      <a:picLocks noChangeAspect="1"/>
                    </pic:cNvPicPr>
                  </pic:nvPicPr>
                  <pic:blipFill>
                    <a:blip r:embed="rId19"/>
                    <a:srcRect l="3147" t="56388" r="3147" b="20960"/>
                    <a:stretch>
                      <a:fillRect/>
                    </a:stretch>
                  </pic:blipFill>
                  <pic:spPr>
                    <a:xfrm>
                      <a:off x="0" y="0"/>
                      <a:ext cx="5229225" cy="71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24145" cy="711200"/>
            <wp:effectExtent l="0" t="0" r="14605" b="13335"/>
            <wp:docPr id="46" name="图片 46" descr="领军+师资__2022-12-06+09_49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领军+师资__2022-12-06+09_49_50"/>
                    <pic:cNvPicPr>
                      <a:picLocks noChangeAspect="1"/>
                    </pic:cNvPicPr>
                  </pic:nvPicPr>
                  <pic:blipFill>
                    <a:blip r:embed="rId20"/>
                    <a:srcRect l="3340" t="26034" r="3340" b="51384"/>
                    <a:stretch>
                      <a:fillRect/>
                    </a:stretch>
                  </pic:blipFill>
                  <pic:spPr>
                    <a:xfrm>
                      <a:off x="0" y="0"/>
                      <a:ext cx="5224145" cy="71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24145" cy="735965"/>
            <wp:effectExtent l="0" t="0" r="14605" b="6985"/>
            <wp:docPr id="18" name="图片 18" descr="领军+师资__2022-12-06+09_49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领军+师资__2022-12-06+09_49_50"/>
                    <pic:cNvPicPr>
                      <a:picLocks noChangeAspect="1"/>
                    </pic:cNvPicPr>
                  </pic:nvPicPr>
                  <pic:blipFill>
                    <a:blip r:embed="rId20"/>
                    <a:srcRect l="3340" t="56015" r="3340" b="20617"/>
                    <a:stretch>
                      <a:fillRect/>
                    </a:stretch>
                  </pic:blipFill>
                  <pic:spPr>
                    <a:xfrm>
                      <a:off x="0" y="0"/>
                      <a:ext cx="5224145" cy="735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41290" cy="735965"/>
            <wp:effectExtent l="0" t="0" r="16510" b="6985"/>
            <wp:docPr id="48" name="图片 48" descr="领军+师资__2022-12-06+09_5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领军+师资__2022-12-06+09_50_05"/>
                    <pic:cNvPicPr>
                      <a:picLocks noChangeAspect="1"/>
                    </pic:cNvPicPr>
                  </pic:nvPicPr>
                  <pic:blipFill>
                    <a:blip r:embed="rId21"/>
                    <a:srcRect l="3340" t="26226" r="3340" b="50481"/>
                    <a:stretch>
                      <a:fillRect/>
                    </a:stretch>
                  </pic:blipFill>
                  <pic:spPr>
                    <a:xfrm>
                      <a:off x="0" y="0"/>
                      <a:ext cx="5241290" cy="735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lang w:val="en-US" w:eastAsia="zh-CN"/>
        </w:rPr>
      </w:pPr>
      <w:r>
        <w:rPr>
          <w:rFonts w:hint="eastAsia"/>
          <w:lang w:val="en-US" w:eastAsia="zh-CN"/>
        </w:rPr>
        <w:drawing>
          <wp:inline distT="0" distB="0" distL="114300" distR="114300">
            <wp:extent cx="5241290" cy="718820"/>
            <wp:effectExtent l="0" t="0" r="16510" b="5080"/>
            <wp:docPr id="19" name="图片 19" descr="领军+师资__2022-12-06+09_5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领军+师资__2022-12-06+09_50_05"/>
                    <pic:cNvPicPr>
                      <a:picLocks noChangeAspect="1"/>
                    </pic:cNvPicPr>
                  </pic:nvPicPr>
                  <pic:blipFill>
                    <a:blip r:embed="rId21"/>
                    <a:srcRect l="3340" t="55829" r="3340" b="21421"/>
                    <a:stretch>
                      <a:fillRect/>
                    </a:stretch>
                  </pic:blipFill>
                  <pic:spPr>
                    <a:xfrm>
                      <a:off x="0" y="0"/>
                      <a:ext cx="5241290" cy="718820"/>
                    </a:xfrm>
                    <a:prstGeom prst="rect">
                      <a:avLst/>
                    </a:prstGeom>
                  </pic:spPr>
                </pic:pic>
              </a:graphicData>
            </a:graphic>
          </wp:inline>
        </w:drawing>
      </w:r>
    </w:p>
    <w:p>
      <w:pPr>
        <w:pStyle w:val="3"/>
        <w:spacing w:before="120" w:after="120"/>
        <w:outlineLvl w:val="1"/>
        <w:rPr>
          <w:rFonts w:hint="eastAsia" w:ascii="楷体" w:hAnsi="楷体" w:eastAsia="楷体" w:cs="楷体"/>
          <w:b/>
          <w:bCs/>
          <w:kern w:val="2"/>
          <w:sz w:val="32"/>
          <w:szCs w:val="40"/>
          <w:lang w:val="en-US" w:eastAsia="zh-CN" w:bidi="ar-SA"/>
        </w:rPr>
      </w:pPr>
      <w:bookmarkStart w:id="10" w:name="_Toc3398"/>
      <w:bookmarkStart w:id="11" w:name="_Toc10419"/>
      <w:bookmarkStart w:id="12" w:name="_Toc31106"/>
      <w:bookmarkStart w:id="13" w:name="_Toc28266"/>
      <w:r>
        <mc:AlternateContent>
          <mc:Choice Requires="wps">
            <w:drawing>
              <wp:inline distT="0" distB="0" distL="114300" distR="114300">
                <wp:extent cx="1238250" cy="510540"/>
                <wp:effectExtent l="0" t="0" r="0" b="3810"/>
                <wp:docPr id="44" name="矩形 44"/>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实训基地</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P+8LVjtAQAA1QMAAA4AAABkcnMvZTJvRG9jLnhtbK1TS27bMBDd&#10;F+gdCO5ryc6nrmA5KGKkm6INkPQAY4qSCPAHDm3JpynQXQ/R4xS9RoeU67jpJotqQQ05w/fmPZKr&#10;m9FotpcBlbM1n89KzqQVrlG2q/mXx7s3S84wgm1AOytrfpDIb9avX60GX8mF651uZGAEYrEafM37&#10;GH1VFCh6aQBnzktLydYFA5GmoSuaAAOhG10syvK6GFxofHBCItLqZkryI2J4CaBrWyXkxomdkTZO&#10;qEFqiCQJe+WRr3O3bStF/Ny2KCPTNSelMY9EQvE2jcV6BVUXwPdKHFuAl7TwTJMBZYn0BLWBCGwX&#10;1D9QRong0LVxJpwpJiHZEVIxL59589CDl1kLWY3+ZDr+P1jxaX8fmGpqfnnJmQVDJ/7r6/efP74x&#10;WiB3Bo8VFT34+3CcIYVJ6tgGk/4kgo3Z0cPJUTlGJmhxvrhYLq7IbEG5q3l5ffEugRZPu33A+EE6&#10;w1JQ80Anlo2E/UeMU+mfkkSGTqvmTmmdJ6Hb3urA9kCne1um74j+V5m2bEitvKU0E0B3tqW7QqHx&#10;pBttxxnojh6DiCFzW5cYiByqxL0B7CeODJsooDIq0jPQytR8ec6sLclLpk02pSiO25H2pHDrmsPk&#10;nnXvd9G1Kms8T+XNdNrZpePNTNfpfJ4pnl7j+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7wtWO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实训基地</w:t>
                      </w:r>
                    </w:p>
                  </w:txbxContent>
                </v:textbox>
                <w10:wrap type="none"/>
                <w10:anchorlock/>
              </v:rect>
            </w:pict>
          </mc:Fallback>
        </mc:AlternateContent>
      </w:r>
      <w:bookmarkEnd w:id="10"/>
      <w:bookmarkEnd w:id="11"/>
    </w:p>
    <w:p>
      <w:pPr>
        <w:spacing w:line="560" w:lineRule="exact"/>
        <w:ind w:right="-258" w:rightChars="-123" w:firstLine="560" w:firstLineChars="200"/>
        <w:rPr>
          <w:rFonts w:ascii="仿宋" w:hAnsi="仿宋" w:eastAsia="仿宋" w:cs="微软雅黑"/>
          <w:color w:val="0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sz w:val="28"/>
          <w:szCs w:val="28"/>
        </w:rPr>
        <w:t>新华三集团</w:t>
      </w:r>
    </w:p>
    <w:p>
      <w:pPr>
        <w:spacing w:line="560" w:lineRule="exact"/>
        <w:ind w:right="-258" w:rightChars="-123" w:firstLine="560" w:firstLineChars="200"/>
        <w:rPr>
          <w:rFonts w:ascii="仿宋" w:hAnsi="仿宋" w:eastAsia="仿宋" w:cs="微软雅黑"/>
          <w:color w:val="000000"/>
          <w:sz w:val="28"/>
          <w:szCs w:val="28"/>
        </w:rPr>
      </w:pPr>
      <w:r>
        <w:rPr>
          <w:rFonts w:hint="eastAsia" w:ascii="仿宋" w:hAnsi="仿宋" w:eastAsia="仿宋" w:cs="微软雅黑"/>
          <w:color w:val="000000"/>
          <w:sz w:val="28"/>
          <w:szCs w:val="28"/>
        </w:rPr>
        <w:t>新华三集团是紫光集团旗下的核心云网企业，拥有计算、存储、网络、安全等全方位的数字化基础设施整体能力。2019年新华三集团推出“数字大脑计划”，以数字基础设施、业务能力平台、主动安全和统一运维构成的“智能数字平台”为基础，帮助客户实现数字化转型。</w:t>
      </w:r>
    </w:p>
    <w:p>
      <w:pPr>
        <w:spacing w:line="560" w:lineRule="exact"/>
        <w:ind w:right="-258" w:rightChars="-123" w:firstLine="560" w:firstLineChars="200"/>
        <w:rPr>
          <w:rFonts w:ascii="仿宋" w:hAnsi="仿宋" w:eastAsia="仿宋" w:cs="微软雅黑"/>
          <w:color w:val="0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sz w:val="28"/>
          <w:szCs w:val="28"/>
        </w:rPr>
        <w:t>正泰集团</w:t>
      </w:r>
    </w:p>
    <w:p>
      <w:pPr>
        <w:spacing w:line="560" w:lineRule="exact"/>
        <w:ind w:right="-258" w:rightChars="-123" w:firstLine="560" w:firstLineChars="200"/>
        <w:rPr>
          <w:rFonts w:ascii="仿宋" w:hAnsi="仿宋" w:eastAsia="仿宋" w:cs="微软雅黑"/>
          <w:color w:val="000000"/>
          <w:sz w:val="28"/>
          <w:szCs w:val="28"/>
        </w:rPr>
      </w:pPr>
      <w:r>
        <w:rPr>
          <w:rFonts w:hint="eastAsia" w:ascii="仿宋" w:hAnsi="仿宋" w:eastAsia="仿宋" w:cs="微软雅黑"/>
          <w:color w:val="000000"/>
          <w:sz w:val="28"/>
          <w:szCs w:val="28"/>
        </w:rPr>
        <w:t>正泰集团是全球工业电气与新能源领军企业，正泰积极响应浙江省全面实施数字经济“一号工程”号召，布局“一云两网”发展战略，将“正泰云”作为智慧科技和数据应用的载体，实现企业对内与对外的数字化应用与服务；依托工业物联网构建正泰智能制造体系，践行电气行业智能化应用；依托能源物联网构建正泰智慧能源体系，开拓区域能源物联网模式。</w:t>
      </w:r>
    </w:p>
    <w:p>
      <w:pPr>
        <w:spacing w:line="560" w:lineRule="exact"/>
        <w:ind w:right="-258" w:rightChars="-123" w:firstLine="560" w:firstLineChars="200"/>
        <w:rPr>
          <w:rFonts w:ascii="仿宋" w:hAnsi="仿宋" w:eastAsia="仿宋" w:cs="微软雅黑"/>
          <w:color w:val="000000"/>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微软雅黑"/>
          <w:b/>
          <w:bCs/>
          <w:color w:val="000000"/>
          <w:sz w:val="28"/>
          <w:szCs w:val="28"/>
        </w:rPr>
        <w:t>中控科技集团</w:t>
      </w:r>
    </w:p>
    <w:p>
      <w:pPr>
        <w:spacing w:line="560" w:lineRule="exact"/>
        <w:ind w:right="-258" w:rightChars="-123" w:firstLine="560" w:firstLineChars="200"/>
        <w:rPr>
          <w:rFonts w:hint="eastAsia" w:ascii="仿宋" w:hAnsi="仿宋" w:eastAsia="仿宋" w:cs="微软雅黑"/>
          <w:color w:val="000000"/>
          <w:sz w:val="28"/>
          <w:szCs w:val="28"/>
        </w:rPr>
      </w:pPr>
      <w:r>
        <w:rPr>
          <w:rFonts w:hint="eastAsia" w:ascii="仿宋" w:hAnsi="仿宋" w:eastAsia="仿宋" w:cs="微软雅黑"/>
          <w:color w:val="000000"/>
          <w:sz w:val="28"/>
          <w:szCs w:val="28"/>
        </w:rPr>
        <w:t>中控科技集团是一家涉及自动化、信息化等多领域的综合性集团公司，以自动化、数字化、智能化为支撑，展开以智能工厂和智慧城市为核心的业务布局。中控科技集团完成多项国家“863”和科技攻关重大研究课题，主持制定了具有自主知识产权的EPA国际标准，参与制定多项国家标准。</w:t>
      </w:r>
    </w:p>
    <w:p>
      <w:pPr>
        <w:rPr>
          <w:rFonts w:hint="eastAsia" w:ascii="仿宋" w:hAnsi="仿宋" w:eastAsia="仿宋" w:cs="微软雅黑"/>
          <w:color w:val="000000"/>
          <w:sz w:val="28"/>
          <w:szCs w:val="28"/>
        </w:rPr>
      </w:pPr>
      <w:r>
        <w:rPr>
          <w:rFonts w:hint="eastAsia" w:ascii="仿宋" w:hAnsi="仿宋" w:eastAsia="仿宋" w:cs="微软雅黑"/>
          <w:color w:val="000000"/>
          <w:sz w:val="28"/>
          <w:szCs w:val="28"/>
        </w:rPr>
        <w:br w:type="page"/>
      </w:r>
    </w:p>
    <w:p>
      <w:pPr>
        <w:spacing w:line="348" w:lineRule="auto"/>
        <w:rPr>
          <w:rFonts w:ascii="仿宋" w:hAnsi="仿宋" w:eastAsia="仿宋" w:cs="微软雅黑"/>
          <w:kern w:val="0"/>
          <w:sz w:val="24"/>
        </w:rPr>
      </w:pPr>
      <w:bookmarkStart w:id="14" w:name="_GoBack"/>
      <w:bookmarkEnd w:id="14"/>
      <w:r>
        <mc:AlternateContent>
          <mc:Choice Requires="wps">
            <w:drawing>
              <wp:inline distT="0" distB="0" distL="114300" distR="114300">
                <wp:extent cx="1238250" cy="510540"/>
                <wp:effectExtent l="0" t="0" r="0" b="3810"/>
                <wp:docPr id="29" name="矩形 29"/>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浙大概况</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E3MrEnuAQAA1QMAAA4AAABkcnMvZTJvRG9jLnhtbK1TwW4TMRC9&#10;I/EPlu9kN6laQpRNhRqVC4JKhQ9wvPauJdtjeZzs5muQuPERfA7iNxh707SUSw/ksBl7xu/Nex6v&#10;r0dn2UFFNOAbPp/VnCkvoTW+a/jXL7dvlpxhEr4VFrxq+FEhv968frUewkotoAfbqsgIxONqCA3v&#10;UwqrqkLZKydwBkF5SmqITiRaxq5qoxgI3dlqUddX1QCxDRGkQqTd7ZTkJ8T4EkDQ2ki1Bbl3yqcJ&#10;NSorEknC3gTkm9Kt1kqmz1qjSsw2nJSm8iUSinf5W23WYtVFEXojTy2Il7TwTJMTxhPpGWorkmD7&#10;aP6BckZGQNBpJsFVk5DiCKmY18+8ue9FUEULWY3hbDr+P1j56XAXmWkbvnjHmReObvz3tx+/fn5n&#10;tEHuDAFXVHQf7uJphRRmqaOOLv+TCDYWR49nR9WYmKTN+eJiubgksyXlLuf11UUBrR5Ph4jpgwLH&#10;ctDwSDdWjBSHj5iIkUofSjIZgjXtrbG2LGK3u7GRHQTd7k2df7llOvJXmfVsyK28pTSTgmZW06xQ&#10;6ALpRt9xJmxHj0GmWLg9ZAZCmri3AvuJo8BOM+NMomdgjWv48imz9dRANm2yKUdp3I0n73bQHif3&#10;PLzfJ9CmaMxVD6lymG676DhNZh6np+tC8fgaN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Ztp&#10;rdMAAAAEAQAADwAAAAAAAAABACAAAAAiAAAAZHJzL2Rvd25yZXYueG1sUEsBAhQAFAAAAAgAh07i&#10;QE3MrEnuAQAA1QMAAA4AAAAAAAAAAQAgAAAAIgEAAGRycy9lMm9Eb2MueG1sUEsFBgAAAAAGAAYA&#10;WQEAAIIFA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浙大概况</w:t>
                      </w:r>
                    </w:p>
                  </w:txbxContent>
                </v:textbox>
                <w10:wrap type="none"/>
                <w10:anchorlock/>
              </v:rect>
            </w:pict>
          </mc:Fallback>
        </mc:AlternateContent>
      </w:r>
    </w:p>
    <w:p>
      <w:pPr>
        <w:spacing w:line="560" w:lineRule="exact"/>
        <w:ind w:firstLine="560" w:firstLineChars="200"/>
        <w:rPr>
          <w:rFonts w:ascii="仿宋" w:hAnsi="仿宋" w:eastAsia="仿宋" w:cs="微软雅黑"/>
          <w:sz w:val="28"/>
          <w:szCs w:val="28"/>
        </w:rPr>
      </w:pPr>
      <w:r>
        <w:rPr>
          <w:rFonts w:hint="eastAsia" w:ascii="仿宋" w:hAnsi="仿宋" w:eastAsia="仿宋" w:cs="微软雅黑"/>
          <w:sz w:val="28"/>
          <w:szCs w:val="28"/>
        </w:rPr>
        <w:t>“国有成均，在浙之滨”。有着百余年历史的浙江大学是教育部直属、省部共建的全国重点大学，是首批进入国家“211工程”“985工程”建设的若干所大学之一。经过120多年发展，浙江大学已成为一所基础坚实、实力雄厚、特色鲜明，居于国内一流水平，在国际上有较大影响的综合型、研究型、创新型大学。2009年，浙江大学凭借其雄厚的办学实力和干部教育培训的良好基础，成为中组部指定的全国干部教育培训基地之一。</w:t>
      </w:r>
    </w:p>
    <w:p>
      <w:pPr>
        <w:spacing w:line="560" w:lineRule="exact"/>
        <w:ind w:firstLine="560" w:firstLineChars="200"/>
        <w:rPr>
          <w:rFonts w:ascii="仿宋" w:hAnsi="仿宋" w:eastAsia="仿宋" w:cs="微软雅黑"/>
          <w:sz w:val="28"/>
          <w:szCs w:val="28"/>
        </w:rPr>
      </w:pPr>
      <w:r>
        <w:rPr>
          <w:rFonts w:hint="eastAsia" w:ascii="仿宋" w:hAnsi="仿宋" w:eastAsia="仿宋" w:cs="微软雅黑"/>
          <w:sz w:val="28"/>
          <w:szCs w:val="28"/>
        </w:rPr>
        <w:t>浙江大学继续教育学院是浙江大学专门开展继续教育的直属单位，办学主校区位于风景秀丽、历史悠久的华家池校区，周边交通便利，办学设施完备。学院依托中组部全国干部教育培训浙江大学基地、人社部国家级专业技术人员继续教育基地、全国工商联“全国非公有制经济人士理想信念教育基地”等平台，全面对接中央和国家各部委、各省（区、市）相关党政部门以及重点行业、企业，不断加快高端培训事业发展，年均培训逾10万人。近5年来，学院高端培训办学规模快速发展，累计承办高端培训项目近1万个，培训近60万人，与中组部等多个国家部委建立密切合作，先后承办69期部委培训班；与各级党委、政府不断夯实合作基础，实现全国31个省(区、市)合作全覆盖，承办了20多个省（区、市）委组织部委托的重点班次，其中包含厅处级干部班1800余个，培训12万余人；与一大批中央、地方重点行业、企业单位开展紧密合作，先后承办了中组部、国资委、全国工商联和各省（区、市）委组织部委托的重点企业负责人培训班，以及30多家世界500强企业委托的培训班。此外，学院还举办了</w:t>
      </w:r>
      <w:r>
        <w:rPr>
          <w:sz w:val="28"/>
          <w:szCs w:val="28"/>
        </w:rPr>
        <w:fldChar w:fldCharType="begin"/>
      </w:r>
      <w:r>
        <w:rPr>
          <w:sz w:val="28"/>
          <w:szCs w:val="28"/>
        </w:rPr>
        <w:instrText xml:space="preserve"> HYPERLINK "http://zdpx.zju.edu.cn/zdemba.html" </w:instrText>
      </w:r>
      <w:r>
        <w:rPr>
          <w:sz w:val="28"/>
          <w:szCs w:val="28"/>
        </w:rPr>
        <w:fldChar w:fldCharType="separate"/>
      </w:r>
      <w:r>
        <w:rPr>
          <w:rFonts w:hint="eastAsia" w:ascii="仿宋" w:hAnsi="仿宋" w:eastAsia="仿宋" w:cs="微软雅黑"/>
          <w:sz w:val="28"/>
          <w:szCs w:val="28"/>
        </w:rPr>
        <w:t>工商管理高级研修班</w:t>
      </w:r>
      <w:r>
        <w:rPr>
          <w:rFonts w:hint="eastAsia" w:ascii="仿宋" w:hAnsi="仿宋" w:eastAsia="仿宋" w:cs="微软雅黑"/>
          <w:sz w:val="28"/>
          <w:szCs w:val="28"/>
        </w:rPr>
        <w:fldChar w:fldCharType="end"/>
      </w:r>
      <w:r>
        <w:rPr>
          <w:rFonts w:hint="eastAsia" w:ascii="仿宋" w:hAnsi="仿宋" w:eastAsia="仿宋" w:cs="微软雅黑"/>
          <w:sz w:val="28"/>
          <w:szCs w:val="28"/>
        </w:rPr>
        <w:t>160余期，培育了领军人才、科创凤凰、金融创新、房地产等多个品牌研修项目。2022年，围绕国家重大发展战略和地区发展重点，学院联合能源工程学院和药学院共同研发“中国碳路者”及“药企领航人才”高级研修项目，助力企业成长，赋能行业发展</w:t>
      </w:r>
      <w:r>
        <w:rPr>
          <w:rFonts w:hint="eastAsia" w:ascii="仿宋" w:hAnsi="仿宋" w:eastAsia="仿宋" w:cs="微软雅黑"/>
          <w:sz w:val="28"/>
          <w:szCs w:val="28"/>
          <w:lang w:eastAsia="zh-CN"/>
        </w:rPr>
        <w:t>。</w:t>
      </w:r>
      <w:r>
        <w:rPr>
          <w:rFonts w:hint="eastAsia" w:ascii="仿宋" w:hAnsi="仿宋" w:eastAsia="仿宋" w:cs="微软雅黑"/>
          <w:sz w:val="28"/>
          <w:szCs w:val="28"/>
        </w:rPr>
        <w:t>2018年上半年，全国工商联委托浙江大学继续教育学院编制《全国工商联教育培训大纲》，2019年已通过验收付印。同年，学院全新上线着眼终身教育、适应新时代需求的综合在线学习平台——浙江大学“求是云学堂”。</w:t>
      </w:r>
    </w:p>
    <w:p>
      <w:pPr>
        <w:spacing w:line="560" w:lineRule="exact"/>
        <w:ind w:firstLine="554" w:firstLineChars="200"/>
        <w:rPr>
          <w:rFonts w:ascii="仿宋" w:hAnsi="仿宋" w:eastAsia="仿宋" w:cs="微软雅黑"/>
          <w:w w:val="99"/>
          <w:sz w:val="28"/>
          <w:szCs w:val="28"/>
        </w:rPr>
      </w:pPr>
      <w:r>
        <w:rPr>
          <w:rFonts w:hint="eastAsia" w:ascii="仿宋" w:hAnsi="仿宋" w:eastAsia="仿宋" w:cs="微软雅黑"/>
          <w:w w:val="99"/>
          <w:sz w:val="28"/>
          <w:szCs w:val="28"/>
        </w:rPr>
        <w:t>基于对浙江民营企业的精确了解，</w:t>
      </w:r>
      <w:r>
        <w:rPr>
          <w:rFonts w:ascii="仿宋" w:hAnsi="仿宋" w:eastAsia="仿宋" w:cs="微软雅黑"/>
          <w:w w:val="99"/>
          <w:sz w:val="28"/>
          <w:szCs w:val="28"/>
        </w:rPr>
        <w:t>浙江大学依托</w:t>
      </w:r>
      <w:r>
        <w:rPr>
          <w:rFonts w:hint="eastAsia" w:ascii="仿宋" w:hAnsi="仿宋" w:eastAsia="仿宋" w:cs="微软雅黑"/>
          <w:w w:val="99"/>
          <w:sz w:val="28"/>
          <w:szCs w:val="28"/>
        </w:rPr>
        <w:t>雄厚的办学实力及丰富的培训经验，通过</w:t>
      </w:r>
      <w:r>
        <w:rPr>
          <w:rFonts w:ascii="仿宋" w:hAnsi="仿宋" w:eastAsia="仿宋" w:cs="微软雅黑"/>
          <w:w w:val="99"/>
          <w:sz w:val="28"/>
          <w:szCs w:val="28"/>
        </w:rPr>
        <w:t>严格的</w:t>
      </w:r>
      <w:r>
        <w:rPr>
          <w:rFonts w:hint="eastAsia" w:ascii="仿宋" w:hAnsi="仿宋" w:eastAsia="仿宋" w:cs="微软雅黑"/>
          <w:w w:val="99"/>
          <w:sz w:val="28"/>
          <w:szCs w:val="28"/>
        </w:rPr>
        <w:t>选拔</w:t>
      </w:r>
      <w:r>
        <w:rPr>
          <w:rFonts w:ascii="仿宋" w:hAnsi="仿宋" w:eastAsia="仿宋" w:cs="微软雅黑"/>
          <w:w w:val="99"/>
          <w:sz w:val="28"/>
          <w:szCs w:val="28"/>
        </w:rPr>
        <w:t>流程</w:t>
      </w:r>
      <w:r>
        <w:rPr>
          <w:rFonts w:hint="eastAsia" w:ascii="仿宋" w:hAnsi="仿宋" w:eastAsia="仿宋" w:cs="微软雅黑"/>
          <w:w w:val="99"/>
          <w:sz w:val="28"/>
          <w:szCs w:val="28"/>
        </w:rPr>
        <w:t>，经过工业和信息化部人才交流中心严格审核，成为中小企业领军人才培养项目</w:t>
      </w:r>
      <w:r>
        <w:rPr>
          <w:rFonts w:ascii="仿宋" w:hAnsi="仿宋" w:eastAsia="仿宋" w:cs="微软雅黑"/>
          <w:w w:val="99"/>
          <w:sz w:val="28"/>
          <w:szCs w:val="28"/>
        </w:rPr>
        <w:t>的</w:t>
      </w:r>
      <w:r>
        <w:rPr>
          <w:rFonts w:hint="eastAsia" w:ascii="仿宋" w:hAnsi="仿宋" w:eastAsia="仿宋" w:cs="微软雅黑"/>
          <w:w w:val="99"/>
          <w:sz w:val="28"/>
          <w:szCs w:val="28"/>
        </w:rPr>
        <w:t>承担</w:t>
      </w:r>
      <w:r>
        <w:rPr>
          <w:rFonts w:ascii="仿宋" w:hAnsi="仿宋" w:eastAsia="仿宋" w:cs="微软雅黑"/>
          <w:w w:val="99"/>
          <w:sz w:val="28"/>
          <w:szCs w:val="28"/>
        </w:rPr>
        <w:t>机构</w:t>
      </w:r>
      <w:r>
        <w:rPr>
          <w:rFonts w:hint="eastAsia" w:ascii="仿宋" w:hAnsi="仿宋" w:eastAsia="仿宋" w:cs="微软雅黑"/>
          <w:w w:val="99"/>
          <w:sz w:val="28"/>
          <w:szCs w:val="28"/>
        </w:rPr>
        <w:t>。</w:t>
      </w:r>
      <w:r>
        <w:rPr>
          <w:rFonts w:ascii="仿宋" w:hAnsi="仿宋" w:eastAsia="仿宋" w:cs="微软雅黑"/>
          <w:w w:val="99"/>
          <w:sz w:val="28"/>
          <w:szCs w:val="28"/>
        </w:rPr>
        <w:t>自</w:t>
      </w:r>
      <w:r>
        <w:rPr>
          <w:rFonts w:hint="eastAsia" w:ascii="仿宋" w:hAnsi="仿宋" w:eastAsia="仿宋" w:cs="微软雅黑"/>
          <w:w w:val="99"/>
          <w:sz w:val="28"/>
          <w:szCs w:val="28"/>
        </w:rPr>
        <w:t>2012年起，</w:t>
      </w:r>
      <w:r>
        <w:rPr>
          <w:rFonts w:ascii="仿宋" w:hAnsi="仿宋" w:eastAsia="仿宋" w:cs="微软雅黑"/>
          <w:w w:val="99"/>
          <w:sz w:val="28"/>
          <w:szCs w:val="28"/>
        </w:rPr>
        <w:t>浙江大学</w:t>
      </w:r>
      <w:r>
        <w:rPr>
          <w:rFonts w:hint="eastAsia" w:ascii="仿宋" w:hAnsi="仿宋" w:eastAsia="仿宋" w:cs="微软雅黑"/>
          <w:w w:val="99"/>
          <w:sz w:val="28"/>
          <w:szCs w:val="28"/>
        </w:rPr>
        <w:t>陆续</w:t>
      </w:r>
      <w:r>
        <w:rPr>
          <w:rFonts w:ascii="仿宋" w:hAnsi="仿宋" w:eastAsia="仿宋" w:cs="微软雅黑"/>
          <w:w w:val="99"/>
          <w:sz w:val="28"/>
          <w:szCs w:val="28"/>
        </w:rPr>
        <w:t>在浙江、山东、安徽、江西、云南等省份组织开展领军人才培养工作，</w:t>
      </w:r>
      <w:r>
        <w:rPr>
          <w:rFonts w:hint="eastAsia" w:ascii="仿宋" w:hAnsi="仿宋" w:eastAsia="仿宋" w:cs="微软雅黑"/>
          <w:w w:val="99"/>
          <w:sz w:val="28"/>
          <w:szCs w:val="28"/>
        </w:rPr>
        <w:t>共计培养</w:t>
      </w:r>
      <w:r>
        <w:rPr>
          <w:rFonts w:ascii="仿宋" w:hAnsi="仿宋" w:eastAsia="仿宋" w:cs="微软雅黑"/>
          <w:w w:val="99"/>
          <w:sz w:val="28"/>
          <w:szCs w:val="28"/>
        </w:rPr>
        <w:t>领军学员</w:t>
      </w:r>
      <w:r>
        <w:rPr>
          <w:rFonts w:hint="eastAsia" w:ascii="仿宋" w:hAnsi="仿宋" w:eastAsia="仿宋" w:cs="微软雅黑"/>
          <w:w w:val="99"/>
          <w:sz w:val="28"/>
          <w:szCs w:val="28"/>
        </w:rPr>
        <w:t>1000余名。2</w:t>
      </w:r>
      <w:r>
        <w:rPr>
          <w:rFonts w:ascii="仿宋" w:hAnsi="仿宋" w:eastAsia="仿宋" w:cs="微软雅黑"/>
          <w:w w:val="99"/>
          <w:sz w:val="28"/>
          <w:szCs w:val="28"/>
        </w:rPr>
        <w:t>012</w:t>
      </w:r>
      <w:r>
        <w:rPr>
          <w:rFonts w:hint="eastAsia" w:ascii="仿宋" w:hAnsi="仿宋" w:eastAsia="仿宋" w:cs="微软雅黑"/>
          <w:w w:val="99"/>
          <w:sz w:val="28"/>
          <w:szCs w:val="28"/>
        </w:rPr>
        <w:t>年12月21日</w:t>
      </w:r>
      <w:r>
        <w:rPr>
          <w:rFonts w:ascii="仿宋" w:hAnsi="仿宋" w:eastAsia="仿宋" w:cs="微软雅黑"/>
          <w:w w:val="99"/>
          <w:sz w:val="28"/>
          <w:szCs w:val="28"/>
        </w:rPr>
        <w:t>，全国第一个</w:t>
      </w:r>
      <w:r>
        <w:rPr>
          <w:rFonts w:hint="eastAsia" w:ascii="仿宋" w:hAnsi="仿宋" w:eastAsia="仿宋" w:cs="微软雅黑"/>
          <w:w w:val="99"/>
          <w:sz w:val="28"/>
          <w:szCs w:val="28"/>
        </w:rPr>
        <w:t>中小企业</w:t>
      </w:r>
      <w:r>
        <w:rPr>
          <w:rFonts w:ascii="仿宋" w:hAnsi="仿宋" w:eastAsia="仿宋" w:cs="微软雅黑"/>
          <w:w w:val="99"/>
          <w:sz w:val="28"/>
          <w:szCs w:val="28"/>
        </w:rPr>
        <w:t>领军人才培训班</w:t>
      </w:r>
      <w:r>
        <w:rPr>
          <w:rFonts w:hint="eastAsia" w:ascii="仿宋" w:hAnsi="仿宋" w:eastAsia="仿宋" w:cs="微软雅黑"/>
          <w:w w:val="99"/>
          <w:sz w:val="28"/>
          <w:szCs w:val="28"/>
        </w:rPr>
        <w:t>在</w:t>
      </w:r>
      <w:r>
        <w:rPr>
          <w:rFonts w:ascii="仿宋" w:hAnsi="仿宋" w:eastAsia="仿宋" w:cs="微软雅黑"/>
          <w:w w:val="99"/>
          <w:sz w:val="28"/>
          <w:szCs w:val="28"/>
        </w:rPr>
        <w:t>浙江大学开班，由此</w:t>
      </w:r>
      <w:r>
        <w:rPr>
          <w:rFonts w:hint="eastAsia" w:ascii="仿宋" w:hAnsi="仿宋" w:eastAsia="仿宋" w:cs="微软雅黑"/>
          <w:w w:val="99"/>
          <w:sz w:val="28"/>
          <w:szCs w:val="28"/>
        </w:rPr>
        <w:t>点燃</w:t>
      </w:r>
      <w:r>
        <w:rPr>
          <w:rFonts w:ascii="仿宋" w:hAnsi="仿宋" w:eastAsia="仿宋" w:cs="微软雅黑"/>
          <w:w w:val="99"/>
          <w:sz w:val="28"/>
          <w:szCs w:val="28"/>
        </w:rPr>
        <w:t>领军人才的星星之火</w:t>
      </w:r>
      <w:r>
        <w:rPr>
          <w:rFonts w:hint="eastAsia" w:ascii="仿宋" w:hAnsi="仿宋" w:eastAsia="仿宋" w:cs="微软雅黑"/>
          <w:w w:val="99"/>
          <w:sz w:val="28"/>
          <w:szCs w:val="28"/>
        </w:rPr>
        <w:t>。2</w:t>
      </w:r>
      <w:r>
        <w:rPr>
          <w:rFonts w:ascii="仿宋" w:hAnsi="仿宋" w:eastAsia="仿宋" w:cs="微软雅黑"/>
          <w:w w:val="99"/>
          <w:sz w:val="28"/>
          <w:szCs w:val="28"/>
        </w:rPr>
        <w:t>019</w:t>
      </w:r>
      <w:r>
        <w:rPr>
          <w:rFonts w:hint="eastAsia" w:ascii="仿宋" w:hAnsi="仿宋" w:eastAsia="仿宋" w:cs="微软雅黑"/>
          <w:w w:val="99"/>
          <w:sz w:val="28"/>
          <w:szCs w:val="28"/>
        </w:rPr>
        <w:t>年1</w:t>
      </w:r>
      <w:r>
        <w:rPr>
          <w:rFonts w:ascii="仿宋" w:hAnsi="仿宋" w:eastAsia="仿宋" w:cs="微软雅黑"/>
          <w:w w:val="99"/>
          <w:sz w:val="28"/>
          <w:szCs w:val="28"/>
        </w:rPr>
        <w:t>2</w:t>
      </w:r>
      <w:r>
        <w:rPr>
          <w:rFonts w:hint="eastAsia" w:ascii="仿宋" w:hAnsi="仿宋" w:eastAsia="仿宋" w:cs="微软雅黑"/>
          <w:w w:val="99"/>
          <w:sz w:val="28"/>
          <w:szCs w:val="28"/>
        </w:rPr>
        <w:t>月7日，全国第一个数字经济主题班也在浙里诞生，开启数字经济领军人才新篇章！</w:t>
      </w:r>
    </w:p>
    <w:p>
      <w:pPr>
        <w:ind w:firstLine="548" w:firstLineChars="196"/>
        <w:rPr>
          <w:rFonts w:ascii="仿宋" w:hAnsi="仿宋" w:eastAsia="仿宋"/>
          <w:sz w:val="28"/>
          <w:szCs w:val="28"/>
        </w:rPr>
      </w:pPr>
      <w:r>
        <w:rPr>
          <w:rFonts w:hint="eastAsia" w:ascii="仿宋" w:hAnsi="仿宋" w:eastAsia="仿宋"/>
          <w:sz w:val="28"/>
          <w:szCs w:val="28"/>
          <w:highlight w:val="none"/>
        </w:rPr>
        <w:t>自</w:t>
      </w:r>
      <w:r>
        <w:rPr>
          <w:rFonts w:hint="eastAsia" w:ascii="仿宋" w:hAnsi="仿宋" w:eastAsia="仿宋"/>
          <w:sz w:val="28"/>
          <w:szCs w:val="28"/>
          <w:highlight w:val="none"/>
          <w:lang w:val="en-US" w:eastAsia="zh-CN"/>
        </w:rPr>
        <w:t>浙江大学</w:t>
      </w:r>
      <w:r>
        <w:rPr>
          <w:rFonts w:ascii="仿宋" w:hAnsi="仿宋" w:eastAsia="仿宋"/>
          <w:sz w:val="28"/>
          <w:szCs w:val="28"/>
          <w:highlight w:val="none"/>
        </w:rPr>
        <w:t>承办第一</w:t>
      </w:r>
      <w:r>
        <w:rPr>
          <w:rFonts w:hint="eastAsia" w:ascii="仿宋" w:hAnsi="仿宋" w:eastAsia="仿宋"/>
          <w:sz w:val="28"/>
          <w:szCs w:val="28"/>
          <w:highlight w:val="none"/>
          <w:lang w:val="en-US" w:eastAsia="zh-CN"/>
        </w:rPr>
        <w:t>期领军</w:t>
      </w:r>
      <w:r>
        <w:rPr>
          <w:rFonts w:ascii="仿宋" w:hAnsi="仿宋" w:eastAsia="仿宋"/>
          <w:sz w:val="28"/>
          <w:szCs w:val="28"/>
          <w:highlight w:val="none"/>
        </w:rPr>
        <w:t>班级以来，</w:t>
      </w:r>
      <w:r>
        <w:rPr>
          <w:rFonts w:hint="eastAsia" w:ascii="仿宋" w:hAnsi="仿宋" w:eastAsia="仿宋"/>
          <w:sz w:val="28"/>
          <w:szCs w:val="28"/>
          <w:highlight w:val="none"/>
        </w:rPr>
        <w:t>迄今为止</w:t>
      </w:r>
      <w:r>
        <w:rPr>
          <w:rFonts w:ascii="仿宋" w:hAnsi="仿宋" w:eastAsia="仿宋"/>
          <w:sz w:val="28"/>
          <w:szCs w:val="28"/>
          <w:highlight w:val="none"/>
        </w:rPr>
        <w:t>陆续承担</w:t>
      </w:r>
      <w:r>
        <w:rPr>
          <w:rFonts w:ascii="仿宋" w:hAnsi="仿宋" w:eastAsia="仿宋"/>
          <w:sz w:val="28"/>
          <w:szCs w:val="28"/>
        </w:rPr>
        <w:t>了浙江、安徽</w:t>
      </w:r>
      <w:r>
        <w:rPr>
          <w:rFonts w:hint="eastAsia" w:ascii="仿宋" w:hAnsi="仿宋" w:eastAsia="仿宋"/>
          <w:sz w:val="28"/>
          <w:szCs w:val="28"/>
        </w:rPr>
        <w:t>、</w:t>
      </w:r>
      <w:r>
        <w:rPr>
          <w:rFonts w:ascii="仿宋" w:hAnsi="仿宋" w:eastAsia="仿宋"/>
          <w:sz w:val="28"/>
          <w:szCs w:val="28"/>
        </w:rPr>
        <w:t>山东、江西、云南</w:t>
      </w:r>
      <w:r>
        <w:rPr>
          <w:rFonts w:hint="eastAsia" w:ascii="仿宋" w:hAnsi="仿宋" w:eastAsia="仿宋"/>
          <w:sz w:val="28"/>
          <w:szCs w:val="28"/>
        </w:rPr>
        <w:t>等地区</w:t>
      </w:r>
      <w:r>
        <w:rPr>
          <w:rFonts w:ascii="仿宋" w:hAnsi="仿宋" w:eastAsia="仿宋"/>
          <w:sz w:val="28"/>
          <w:szCs w:val="28"/>
        </w:rPr>
        <w:t>共计</w:t>
      </w:r>
      <w:r>
        <w:rPr>
          <w:rFonts w:hint="eastAsia" w:ascii="仿宋" w:hAnsi="仿宋" w:eastAsia="仿宋"/>
          <w:sz w:val="28"/>
          <w:szCs w:val="28"/>
        </w:rPr>
        <w:t>1</w:t>
      </w:r>
      <w:r>
        <w:rPr>
          <w:rFonts w:ascii="仿宋" w:hAnsi="仿宋" w:eastAsia="仿宋"/>
          <w:sz w:val="28"/>
          <w:szCs w:val="28"/>
        </w:rPr>
        <w:t>9</w:t>
      </w:r>
      <w:r>
        <w:rPr>
          <w:rFonts w:hint="eastAsia" w:ascii="仿宋" w:hAnsi="仿宋" w:eastAsia="仿宋"/>
          <w:sz w:val="28"/>
          <w:szCs w:val="28"/>
        </w:rPr>
        <w:t>个</w:t>
      </w:r>
      <w:r>
        <w:rPr>
          <w:rFonts w:ascii="仿宋" w:hAnsi="仿宋" w:eastAsia="仿宋"/>
          <w:sz w:val="28"/>
          <w:szCs w:val="28"/>
        </w:rPr>
        <w:t>班次</w:t>
      </w:r>
      <w:r>
        <w:rPr>
          <w:rFonts w:hint="eastAsia" w:ascii="仿宋" w:hAnsi="仿宋" w:eastAsia="仿宋"/>
          <w:sz w:val="28"/>
          <w:szCs w:val="28"/>
        </w:rPr>
        <w:t>的</w:t>
      </w:r>
      <w:r>
        <w:rPr>
          <w:rFonts w:ascii="仿宋" w:hAnsi="仿宋" w:eastAsia="仿宋"/>
          <w:sz w:val="28"/>
          <w:szCs w:val="28"/>
        </w:rPr>
        <w:t>班级管理工作，培养</w:t>
      </w:r>
      <w:r>
        <w:rPr>
          <w:rFonts w:hint="eastAsia" w:ascii="仿宋" w:hAnsi="仿宋" w:eastAsia="仿宋"/>
          <w:sz w:val="28"/>
          <w:szCs w:val="28"/>
        </w:rPr>
        <w:t>领军人才</w:t>
      </w:r>
      <w:r>
        <w:rPr>
          <w:rFonts w:ascii="仿宋" w:hAnsi="仿宋" w:eastAsia="仿宋"/>
          <w:sz w:val="28"/>
          <w:szCs w:val="28"/>
        </w:rPr>
        <w:t>学员1000</w:t>
      </w:r>
      <w:r>
        <w:rPr>
          <w:rFonts w:hint="eastAsia" w:ascii="仿宋" w:hAnsi="仿宋" w:eastAsia="仿宋"/>
          <w:sz w:val="28"/>
          <w:szCs w:val="28"/>
        </w:rPr>
        <w:t>多名</w:t>
      </w:r>
      <w:r>
        <w:rPr>
          <w:rFonts w:ascii="仿宋" w:hAnsi="仿宋" w:eastAsia="仿宋"/>
          <w:sz w:val="28"/>
          <w:szCs w:val="28"/>
        </w:rPr>
        <w:t>，详细信息如下表所示：</w:t>
      </w:r>
    </w:p>
    <w:tbl>
      <w:tblPr>
        <w:tblStyle w:val="15"/>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572"/>
        <w:gridCol w:w="2410"/>
        <w:gridCol w:w="1312"/>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18" w:space="0"/>
              <w:right w:val="single" w:color="FFFFFF" w:sz="8" w:space="0"/>
            </w:tcBorders>
            <w:shd w:val="clear" w:color="auto" w:fill="C0504D"/>
            <w:vAlign w:val="center"/>
          </w:tcPr>
          <w:p>
            <w:pPr>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序号</w:t>
            </w:r>
          </w:p>
        </w:tc>
        <w:tc>
          <w:tcPr>
            <w:tcW w:w="2572" w:type="dxa"/>
            <w:tcBorders>
              <w:top w:val="single" w:color="FFFFFF" w:sz="8" w:space="0"/>
              <w:left w:val="single" w:color="FFFFFF" w:sz="8" w:space="0"/>
              <w:bottom w:val="single" w:color="FFFFFF" w:sz="18" w:space="0"/>
              <w:right w:val="single" w:color="FFFFFF" w:sz="8" w:space="0"/>
            </w:tcBorders>
            <w:shd w:val="clear" w:color="auto" w:fill="C0504D"/>
            <w:vAlign w:val="center"/>
          </w:tcPr>
          <w:p>
            <w:pPr>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班级简称</w:t>
            </w:r>
          </w:p>
        </w:tc>
        <w:tc>
          <w:tcPr>
            <w:tcW w:w="2410" w:type="dxa"/>
            <w:tcBorders>
              <w:top w:val="single" w:color="FFFFFF" w:sz="8" w:space="0"/>
              <w:left w:val="single" w:color="FFFFFF" w:sz="8" w:space="0"/>
              <w:bottom w:val="single" w:color="FFFFFF" w:sz="18" w:space="0"/>
              <w:right w:val="single" w:color="FFFFFF" w:sz="8" w:space="0"/>
            </w:tcBorders>
            <w:shd w:val="clear" w:color="auto" w:fill="C0504D"/>
            <w:vAlign w:val="center"/>
          </w:tcPr>
          <w:p>
            <w:pPr>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开班时间</w:t>
            </w:r>
          </w:p>
        </w:tc>
        <w:tc>
          <w:tcPr>
            <w:tcW w:w="1312" w:type="dxa"/>
            <w:tcBorders>
              <w:top w:val="single" w:color="FFFFFF" w:sz="8" w:space="0"/>
              <w:left w:val="single" w:color="FFFFFF" w:sz="8" w:space="0"/>
              <w:bottom w:val="single" w:color="FFFFFF" w:sz="18" w:space="0"/>
              <w:right w:val="single" w:color="FFFFFF" w:sz="8" w:space="0"/>
            </w:tcBorders>
            <w:shd w:val="clear" w:color="auto" w:fill="C0504D"/>
            <w:vAlign w:val="center"/>
          </w:tcPr>
          <w:p>
            <w:pPr>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学员人数</w:t>
            </w:r>
          </w:p>
        </w:tc>
        <w:tc>
          <w:tcPr>
            <w:tcW w:w="1461" w:type="dxa"/>
            <w:tcBorders>
              <w:top w:val="single" w:color="FFFFFF" w:sz="8" w:space="0"/>
              <w:left w:val="single" w:color="FFFFFF" w:sz="8" w:space="0"/>
              <w:bottom w:val="single" w:color="FFFFFF" w:sz="18" w:space="0"/>
              <w:right w:val="single" w:color="FFFFFF" w:sz="8" w:space="0"/>
            </w:tcBorders>
            <w:shd w:val="clear" w:color="auto" w:fill="C0504D"/>
            <w:vAlign w:val="center"/>
          </w:tcPr>
          <w:p>
            <w:pPr>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开班地点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1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w:t>
            </w:r>
          </w:p>
        </w:tc>
        <w:tc>
          <w:tcPr>
            <w:tcW w:w="2572" w:type="dxa"/>
            <w:tcBorders>
              <w:top w:val="single" w:color="FFFFFF" w:sz="1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2012-2013年度浙江班（领军1期）</w:t>
            </w:r>
          </w:p>
        </w:tc>
        <w:tc>
          <w:tcPr>
            <w:tcW w:w="2410" w:type="dxa"/>
            <w:tcBorders>
              <w:top w:val="single" w:color="FFFFFF" w:sz="1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2012年12月21日</w:t>
            </w:r>
          </w:p>
        </w:tc>
        <w:tc>
          <w:tcPr>
            <w:tcW w:w="1312" w:type="dxa"/>
            <w:tcBorders>
              <w:top w:val="single" w:color="FFFFFF" w:sz="1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101</w:t>
            </w:r>
          </w:p>
        </w:tc>
        <w:tc>
          <w:tcPr>
            <w:tcW w:w="1461" w:type="dxa"/>
            <w:tcBorders>
              <w:top w:val="single" w:color="FFFFFF" w:sz="1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2013-2014年度浙江班（领军2期）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2013年11月16日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126</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3</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2014-2015年度浙江班（领军3期）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2014年9月13日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78</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2014-2015年度安徽班（安徽1期）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2014年11月15日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60</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2014-2015年度山东班（山东1期）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2015年1月24日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67</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山东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2014-2015年度江西班</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2015年5月16日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90</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江西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7</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2015-2016年度浙江班（领军4期）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2015年10月31日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44</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8</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2015-2016年度山东班（山东2期）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2015年10月31日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53</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9</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2015-2016年度安徽班（安徽2期）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2015年12月19日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50</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10</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2015-2016年度浙江班（领军5期）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2016 年12月24日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38</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11</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2016-2017年度浙江班（领军6期） </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2017 年 8月5 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47</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12</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2017-2018年度浙江班（领军7期）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2018年 3月24 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43</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13</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2017-2018年度云南班 </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2018 年 4月19日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41</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14</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2018-2019年度浙江班（领军8期）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2018年9月8日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68</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15</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2019-2020年度浙江班（领军9期）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2019年6月22日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43</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16</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2019-2020年度数字经济主题班</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2019年12月7日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28</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17</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2020-2021年度浙江班（领军10期）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2020年9月12日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51</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18</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2020-2021年度浙江班（领军11期）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2021年4月10日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32</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19</w:t>
            </w:r>
          </w:p>
        </w:tc>
        <w:tc>
          <w:tcPr>
            <w:tcW w:w="257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2021-2022年度浙江班（领军12期）</w:t>
            </w:r>
          </w:p>
        </w:tc>
        <w:tc>
          <w:tcPr>
            <w:tcW w:w="2410"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2022年5月21日</w:t>
            </w:r>
          </w:p>
        </w:tc>
        <w:tc>
          <w:tcPr>
            <w:tcW w:w="1312"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35</w:t>
            </w:r>
          </w:p>
        </w:tc>
        <w:tc>
          <w:tcPr>
            <w:tcW w:w="1461" w:type="dxa"/>
            <w:tcBorders>
              <w:top w:val="single" w:color="FFFFFF" w:sz="8" w:space="0"/>
              <w:left w:val="single" w:color="FFFFFF" w:sz="8" w:space="0"/>
              <w:bottom w:val="single" w:color="FFFFFF" w:sz="8" w:space="0"/>
              <w:right w:val="single" w:color="FFFFFF" w:sz="8" w:space="0"/>
            </w:tcBorders>
            <w:shd w:val="clear" w:color="auto" w:fill="E8D0D0"/>
            <w:vAlign w:val="center"/>
          </w:tcPr>
          <w:p>
            <w:pPr>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5"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20</w:t>
            </w:r>
          </w:p>
        </w:tc>
        <w:tc>
          <w:tcPr>
            <w:tcW w:w="257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w:t>
            </w:r>
            <w:r>
              <w:rPr>
                <w:rFonts w:hint="eastAsia" w:ascii="微软雅黑" w:hAnsi="微软雅黑" w:eastAsia="微软雅黑" w:cs="微软雅黑"/>
                <w:color w:val="000000" w:themeColor="text1"/>
                <w:sz w:val="24"/>
                <w:lang w:val="en-US" w:eastAsia="zh-CN"/>
                <w14:textFill>
                  <w14:solidFill>
                    <w14:schemeClr w14:val="tx1"/>
                  </w14:solidFill>
                </w14:textFill>
              </w:rPr>
              <w:t>2</w:t>
            </w:r>
            <w:r>
              <w:rPr>
                <w:rFonts w:hint="eastAsia" w:ascii="微软雅黑" w:hAnsi="微软雅黑" w:eastAsia="微软雅黑" w:cs="微软雅黑"/>
                <w:color w:val="000000" w:themeColor="text1"/>
                <w:sz w:val="24"/>
                <w14:textFill>
                  <w14:solidFill>
                    <w14:schemeClr w14:val="tx1"/>
                  </w14:solidFill>
                </w14:textFill>
              </w:rPr>
              <w:t>-202</w:t>
            </w:r>
            <w:r>
              <w:rPr>
                <w:rFonts w:hint="eastAsia" w:ascii="微软雅黑" w:hAnsi="微软雅黑" w:eastAsia="微软雅黑" w:cs="微软雅黑"/>
                <w:color w:val="000000" w:themeColor="text1"/>
                <w:sz w:val="24"/>
                <w:lang w:val="en-US" w:eastAsia="zh-CN"/>
                <w14:textFill>
                  <w14:solidFill>
                    <w14:schemeClr w14:val="tx1"/>
                  </w14:solidFill>
                </w14:textFill>
              </w:rPr>
              <w:t>3</w:t>
            </w:r>
            <w:r>
              <w:rPr>
                <w:rFonts w:hint="eastAsia" w:ascii="微软雅黑" w:hAnsi="微软雅黑" w:eastAsia="微软雅黑" w:cs="微软雅黑"/>
                <w:color w:val="000000" w:themeColor="text1"/>
                <w:sz w:val="24"/>
                <w14:textFill>
                  <w14:solidFill>
                    <w14:schemeClr w14:val="tx1"/>
                  </w14:solidFill>
                </w14:textFill>
              </w:rPr>
              <w:t>年度浙江班（领军</w:t>
            </w:r>
            <w:r>
              <w:rPr>
                <w:rFonts w:hint="eastAsia" w:ascii="微软雅黑" w:hAnsi="微软雅黑" w:eastAsia="微软雅黑" w:cs="微软雅黑"/>
                <w:color w:val="000000" w:themeColor="text1"/>
                <w:sz w:val="24"/>
                <w:lang w:val="en-US" w:eastAsia="zh-CN"/>
                <w14:textFill>
                  <w14:solidFill>
                    <w14:schemeClr w14:val="tx1"/>
                  </w14:solidFill>
                </w14:textFill>
              </w:rPr>
              <w:t>13</w:t>
            </w:r>
            <w:r>
              <w:rPr>
                <w:rFonts w:hint="eastAsia" w:ascii="微软雅黑" w:hAnsi="微软雅黑" w:eastAsia="微软雅黑" w:cs="微软雅黑"/>
                <w:color w:val="000000" w:themeColor="text1"/>
                <w:sz w:val="24"/>
                <w14:textFill>
                  <w14:solidFill>
                    <w14:schemeClr w14:val="tx1"/>
                  </w14:solidFill>
                </w14:textFill>
              </w:rPr>
              <w:t>期）</w:t>
            </w:r>
          </w:p>
        </w:tc>
        <w:tc>
          <w:tcPr>
            <w:tcW w:w="2410"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2022年</w:t>
            </w:r>
            <w:r>
              <w:rPr>
                <w:rFonts w:hint="eastAsia" w:ascii="微软雅黑" w:hAnsi="微软雅黑" w:eastAsia="微软雅黑" w:cs="微软雅黑"/>
                <w:color w:val="000000" w:themeColor="text1"/>
                <w:sz w:val="24"/>
                <w:lang w:val="en-US" w:eastAsia="zh-CN"/>
                <w14:textFill>
                  <w14:solidFill>
                    <w14:schemeClr w14:val="tx1"/>
                  </w14:solidFill>
                </w14:textFill>
              </w:rPr>
              <w:t>11</w:t>
            </w:r>
            <w:r>
              <w:rPr>
                <w:rFonts w:hint="eastAsia" w:ascii="微软雅黑" w:hAnsi="微软雅黑" w:eastAsia="微软雅黑" w:cs="微软雅黑"/>
                <w:color w:val="000000" w:themeColor="text1"/>
                <w:sz w:val="24"/>
                <w14:textFill>
                  <w14:solidFill>
                    <w14:schemeClr w14:val="tx1"/>
                  </w14:solidFill>
                </w14:textFill>
              </w:rPr>
              <w:t>月</w:t>
            </w:r>
            <w:r>
              <w:rPr>
                <w:rFonts w:hint="eastAsia" w:ascii="微软雅黑" w:hAnsi="微软雅黑" w:eastAsia="微软雅黑" w:cs="微软雅黑"/>
                <w:color w:val="000000" w:themeColor="text1"/>
                <w:sz w:val="24"/>
                <w:lang w:val="en-US" w:eastAsia="zh-CN"/>
                <w14:textFill>
                  <w14:solidFill>
                    <w14:schemeClr w14:val="tx1"/>
                  </w14:solidFill>
                </w14:textFill>
              </w:rPr>
              <w:t>26</w:t>
            </w:r>
            <w:r>
              <w:rPr>
                <w:rFonts w:hint="eastAsia" w:ascii="微软雅黑" w:hAnsi="微软雅黑" w:eastAsia="微软雅黑" w:cs="微软雅黑"/>
                <w:color w:val="000000" w:themeColor="text1"/>
                <w:sz w:val="24"/>
                <w14:textFill>
                  <w14:solidFill>
                    <w14:schemeClr w14:val="tx1"/>
                  </w14:solidFill>
                </w14:textFill>
              </w:rPr>
              <w:t>日</w:t>
            </w:r>
          </w:p>
        </w:tc>
        <w:tc>
          <w:tcPr>
            <w:tcW w:w="1312"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color w:val="000000"/>
                <w:sz w:val="24"/>
                <w:lang w:val="en-US" w:eastAsia="zh-CN"/>
              </w:rPr>
              <w:t>35</w:t>
            </w:r>
          </w:p>
        </w:tc>
        <w:tc>
          <w:tcPr>
            <w:tcW w:w="1461" w:type="dxa"/>
            <w:tcBorders>
              <w:top w:val="single" w:color="FFFFFF" w:sz="8" w:space="0"/>
              <w:left w:val="single" w:color="FFFFFF" w:sz="8" w:space="0"/>
              <w:bottom w:val="single" w:color="FFFFFF" w:sz="8" w:space="0"/>
              <w:right w:val="single" w:color="FFFFFF" w:sz="8" w:space="0"/>
            </w:tcBorders>
            <w:shd w:val="clear" w:color="auto" w:fill="F4E9E9"/>
            <w:vAlign w:val="center"/>
          </w:tcPr>
          <w:p>
            <w:pPr>
              <w:jc w:val="center"/>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color w:val="000000"/>
                <w:sz w:val="24"/>
              </w:rPr>
              <w:t>杭州</w:t>
            </w:r>
          </w:p>
        </w:tc>
      </w:tr>
    </w:tbl>
    <w:p>
      <w:pPr>
        <w:spacing w:line="560" w:lineRule="exact"/>
        <w:ind w:firstLine="560" w:firstLineChars="200"/>
        <w:rPr>
          <w:rFonts w:ascii="仿宋" w:hAnsi="仿宋" w:eastAsia="仿宋" w:cs="微软雅黑"/>
          <w:sz w:val="28"/>
          <w:szCs w:val="28"/>
        </w:rPr>
      </w:pPr>
      <w:r>
        <w:rPr>
          <w:rFonts w:hint="eastAsia" w:ascii="仿宋" w:hAnsi="仿宋" w:eastAsia="仿宋" w:cs="微软雅黑"/>
          <w:sz w:val="28"/>
          <w:szCs w:val="28"/>
        </w:rPr>
        <w:t>先导</w:t>
      </w:r>
      <w:r>
        <w:rPr>
          <w:rFonts w:ascii="仿宋" w:hAnsi="仿宋" w:eastAsia="仿宋" w:cs="微软雅黑"/>
          <w:sz w:val="28"/>
          <w:szCs w:val="28"/>
        </w:rPr>
        <w:t>为</w:t>
      </w:r>
      <w:r>
        <w:rPr>
          <w:rFonts w:hint="eastAsia" w:ascii="仿宋" w:hAnsi="仿宋" w:eastAsia="仿宋" w:cs="微软雅黑"/>
          <w:sz w:val="28"/>
          <w:szCs w:val="28"/>
        </w:rPr>
        <w:t>领</w:t>
      </w:r>
      <w:r>
        <w:rPr>
          <w:rFonts w:ascii="仿宋" w:hAnsi="仿宋" w:eastAsia="仿宋" w:cs="微软雅黑"/>
          <w:sz w:val="28"/>
          <w:szCs w:val="28"/>
        </w:rPr>
        <w:t>，</w:t>
      </w:r>
      <w:r>
        <w:rPr>
          <w:rFonts w:hint="eastAsia" w:ascii="仿宋" w:hAnsi="仿宋" w:eastAsia="仿宋" w:cs="微软雅黑"/>
          <w:sz w:val="28"/>
          <w:szCs w:val="28"/>
        </w:rPr>
        <w:t>众合</w:t>
      </w:r>
      <w:r>
        <w:rPr>
          <w:rFonts w:ascii="仿宋" w:hAnsi="仿宋" w:eastAsia="仿宋" w:cs="微软雅黑"/>
          <w:sz w:val="28"/>
          <w:szCs w:val="28"/>
        </w:rPr>
        <w:t>成军，</w:t>
      </w:r>
      <w:r>
        <w:rPr>
          <w:rFonts w:hint="eastAsia" w:ascii="仿宋" w:hAnsi="仿宋" w:eastAsia="仿宋" w:cs="微软雅黑"/>
          <w:sz w:val="28"/>
          <w:szCs w:val="28"/>
        </w:rPr>
        <w:t>聚是一团火</w:t>
      </w:r>
      <w:r>
        <w:rPr>
          <w:rFonts w:ascii="仿宋" w:hAnsi="仿宋" w:eastAsia="仿宋" w:cs="微软雅黑"/>
          <w:sz w:val="28"/>
          <w:szCs w:val="28"/>
        </w:rPr>
        <w:t>，散是满天星</w:t>
      </w:r>
      <w:r>
        <w:rPr>
          <w:rFonts w:hint="eastAsia" w:ascii="仿宋" w:hAnsi="仿宋" w:eastAsia="仿宋" w:cs="微软雅黑"/>
          <w:sz w:val="28"/>
          <w:szCs w:val="28"/>
        </w:rPr>
        <w:t>，</w:t>
      </w:r>
      <w:r>
        <w:rPr>
          <w:rFonts w:ascii="仿宋" w:hAnsi="仿宋" w:eastAsia="仿宋" w:cs="微软雅黑"/>
          <w:sz w:val="28"/>
          <w:szCs w:val="28"/>
        </w:rPr>
        <w:t>领军路上，一路前行！</w:t>
      </w:r>
    </w:p>
    <w:p>
      <w:pPr>
        <w:pStyle w:val="2"/>
      </w:pPr>
    </w:p>
    <w:p>
      <w:pPr>
        <w:rPr>
          <w:rFonts w:ascii="微软雅黑" w:hAnsi="微软雅黑" w:eastAsia="微软雅黑" w:cs="微软雅黑"/>
          <w:b/>
          <w:bCs/>
          <w:color w:val="1F497D"/>
          <w:sz w:val="32"/>
          <w:szCs w:val="32"/>
        </w:rPr>
      </w:pPr>
      <w:r>
        <w:rPr>
          <w:rFonts w:ascii="微软雅黑" w:hAnsi="微软雅黑" w:eastAsia="微软雅黑" w:cs="微软雅黑"/>
          <w:b/>
          <w:bCs/>
          <w:color w:val="1F497D"/>
          <w:sz w:val="32"/>
          <w:szCs w:val="32"/>
        </w:rPr>
        <w:br w:type="page"/>
      </w:r>
    </w:p>
    <w:p>
      <w:pPr>
        <w:pStyle w:val="2"/>
        <w:keepNext/>
        <w:keepLines/>
        <w:pageBreakBefore w:val="0"/>
        <w:widowControl w:val="0"/>
        <w:kinsoku/>
        <w:wordWrap/>
        <w:overflowPunct/>
        <w:topLinePunct w:val="0"/>
        <w:autoSpaceDE/>
        <w:autoSpaceDN/>
        <w:bidi w:val="0"/>
        <w:adjustRightInd/>
        <w:snapToGrid/>
        <w:spacing w:before="0" w:after="0"/>
        <w:textAlignment w:val="auto"/>
        <w:rPr>
          <w:rFonts w:ascii="微软雅黑" w:hAnsi="微软雅黑" w:eastAsia="微软雅黑" w:cs="微软雅黑"/>
          <w:b/>
          <w:bCs/>
          <w:color w:val="1F497D"/>
          <w:sz w:val="32"/>
          <w:szCs w:val="32"/>
        </w:rPr>
      </w:pPr>
      <w:r>
        <mc:AlternateContent>
          <mc:Choice Requires="wps">
            <w:drawing>
              <wp:inline distT="0" distB="0" distL="114300" distR="114300">
                <wp:extent cx="1238250" cy="510540"/>
                <wp:effectExtent l="0" t="0" r="0" b="3810"/>
                <wp:docPr id="40" name="矩形 40"/>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报名缴费</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Fzb313tAQAA1QMAAA4AAABkcnMvZTJvRG9jLnhtbK1TS27bMBDd&#10;F+gdCO5ryU6TuoLloIiRboo2QNoDjClKIsAfOLQln6ZAdz1Ej1P0Gh1SruMkmyyqBTXkDN+b90iu&#10;rkej2V4GVM7WfD4rOZNWuEbZrubfvt6+WXKGEWwD2llZ84NEfr1+/Wo1+EouXO90IwMjEIvV4Gve&#10;x+irokDRSwM4c15aSrYuGIg0DV3RBBgI3ehiUZZXxeBC44MTEpFWN1OSHxHDSwBd2yohN07sjLRx&#10;Qg1SQyRJ2CuPfJ27bVsp4pe2RRmZrjkpjXkkEoq3aSzWK6i6AL5X4tgCvKSFJ5oMKEukJ6gNRGC7&#10;oJ5BGSWCQ9fGmXCmmIRkR0jFvHzizX0PXmYtZDX6k+n4/2DF5/1dYKqp+VuyxIKhE//z/efvXz8Y&#10;LZA7g8eKiu79XTjOkMIkdWyDSX8Swcbs6OHkqBwjE7Q4X1wsF5eELCh3OS+vLt4n0OJhtw8YP0pn&#10;WApqHujEspGw/4RxKv1XksjQadXcKq3zJHTbGx3YHuh0b8r0HdEflWnLhtTKO0ozAXRnW7orFBpP&#10;utF2nIHu6DGIGDK3dYmByKFK3BvAfuLIsIkCKqMiPQOtTM2X58zakrxk2mRTiuK4HWlPCreuOUzu&#10;WfdhF12rssbzVN5Mp51dOt7MdJ3O55ni4TWu/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XNvfXe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报名缴费</w:t>
                      </w:r>
                    </w:p>
                  </w:txbxContent>
                </v:textbox>
                <w10:wrap type="none"/>
                <w10:anchorlock/>
              </v:rect>
            </w:pict>
          </mc:Fallback>
        </mc:AlternateContent>
      </w:r>
    </w:p>
    <w:bookmarkEnd w:id="12"/>
    <w:bookmarkEnd w:id="13"/>
    <w:p>
      <w:pPr>
        <w:spacing w:line="560" w:lineRule="exact"/>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提交入学申请表，接受资格预审。</w:t>
      </w:r>
    </w:p>
    <w:p>
      <w:pPr>
        <w:spacing w:line="560" w:lineRule="exact"/>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企业经营管理人才素质提升工程协调小组办公室审核。</w:t>
      </w:r>
    </w:p>
    <w:p>
      <w:pPr>
        <w:spacing w:line="560" w:lineRule="exact"/>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经审核后，请将学费、资料费汇至：</w:t>
      </w:r>
    </w:p>
    <w:p>
      <w:pPr>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户  名：浙江大学</w:t>
      </w:r>
    </w:p>
    <w:p>
      <w:pPr>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开户行：工商银行杭州浙大支行</w:t>
      </w:r>
    </w:p>
    <w:p>
      <w:pPr>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账  号：1202 0246 1991 4481 052</w:t>
      </w:r>
    </w:p>
    <w:p>
      <w:pPr>
        <w:spacing w:line="560" w:lineRule="exact"/>
        <w:rPr>
          <w:rFonts w:ascii="仿宋" w:hAnsi="仿宋" w:eastAsia="仿宋" w:cs="仿宋"/>
          <w:sz w:val="28"/>
          <w:szCs w:val="28"/>
        </w:rPr>
      </w:pPr>
      <w:r>
        <w:rPr>
          <w:rFonts w:hint="eastAsia" w:ascii="仿宋" w:hAnsi="仿宋" w:eastAsia="仿宋" w:cs="仿宋"/>
          <w:sz w:val="28"/>
          <w:szCs w:val="28"/>
        </w:rPr>
        <w:t>（汇款用途务必填上：工信部中小企业领军人才浙江大学班学费）</w:t>
      </w:r>
    </w:p>
    <w:p>
      <w:pPr>
        <w:spacing w:line="560" w:lineRule="exact"/>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学员携带相关材料报到，报名地点：浙江大学</w:t>
      </w:r>
    </w:p>
    <w:p>
      <w:pPr>
        <w:spacing w:line="560" w:lineRule="exact"/>
        <w:rPr>
          <w:rFonts w:ascii="仿宋" w:hAnsi="仿宋" w:eastAsia="仿宋" w:cs="仿宋"/>
          <w:sz w:val="28"/>
          <w:szCs w:val="28"/>
        </w:rPr>
      </w:pPr>
      <w:r>
        <w:rPr>
          <w:rFonts w:ascii="微软雅黑" w:hAnsi="微软雅黑" w:eastAsia="微软雅黑" w:cs="微软雅黑"/>
          <w:b/>
          <w:bCs/>
          <w:color w:val="1F497D"/>
          <w:sz w:val="28"/>
          <w:szCs w:val="28"/>
        </w:rPr>
        <w:sym w:font="Wingdings" w:char="F0D8"/>
      </w:r>
      <w:r>
        <w:rPr>
          <w:rFonts w:ascii="微软雅黑" w:hAnsi="微软雅黑" w:eastAsia="微软雅黑" w:cs="微软雅黑"/>
          <w:b/>
          <w:bCs/>
          <w:color w:val="1F497D"/>
          <w:sz w:val="28"/>
          <w:szCs w:val="28"/>
        </w:rPr>
        <w:t xml:space="preserve"> </w:t>
      </w:r>
      <w:r>
        <w:rPr>
          <w:rFonts w:hint="eastAsia" w:ascii="仿宋" w:hAnsi="仿宋" w:eastAsia="仿宋" w:cs="仿宋"/>
          <w:sz w:val="28"/>
          <w:szCs w:val="28"/>
        </w:rPr>
        <w:t>参加开学仪式，正式入学。</w:t>
      </w:r>
    </w:p>
    <w:p>
      <w:pPr>
        <w:pStyle w:val="2"/>
        <w:keepNext/>
        <w:keepLines/>
        <w:pageBreakBefore w:val="0"/>
        <w:widowControl w:val="0"/>
        <w:kinsoku/>
        <w:wordWrap/>
        <w:overflowPunct/>
        <w:topLinePunct w:val="0"/>
        <w:autoSpaceDE/>
        <w:autoSpaceDN/>
        <w:bidi w:val="0"/>
        <w:adjustRightInd/>
        <w:snapToGrid/>
        <w:spacing w:before="0" w:after="0"/>
        <w:textAlignment w:val="auto"/>
        <w:rPr>
          <w:rFonts w:ascii="微软雅黑" w:hAnsi="微软雅黑" w:eastAsia="微软雅黑" w:cs="微软雅黑"/>
          <w:b/>
          <w:bCs/>
          <w:color w:val="1F497D"/>
          <w:sz w:val="32"/>
          <w:szCs w:val="32"/>
        </w:rPr>
      </w:pPr>
      <w:r>
        <mc:AlternateContent>
          <mc:Choice Requires="wps">
            <w:drawing>
              <wp:inline distT="0" distB="0" distL="114300" distR="114300">
                <wp:extent cx="1238250" cy="510540"/>
                <wp:effectExtent l="0" t="0" r="0" b="3810"/>
                <wp:docPr id="41" name="矩形 41"/>
                <wp:cNvGraphicFramePr/>
                <a:graphic xmlns:a="http://schemas.openxmlformats.org/drawingml/2006/main">
                  <a:graphicData uri="http://schemas.microsoft.com/office/word/2010/wordprocessingShape">
                    <wps:wsp>
                      <wps:cNvSpPr/>
                      <wps:spPr>
                        <a:xfrm>
                          <a:off x="0" y="0"/>
                          <a:ext cx="1238250" cy="51063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咨询联系</w:t>
                            </w:r>
                          </w:p>
                        </w:txbxContent>
                      </wps:txbx>
                      <wps:bodyPr>
                        <a:noAutofit/>
                      </wps:bodyPr>
                    </wps:wsp>
                  </a:graphicData>
                </a:graphic>
              </wp:inline>
            </w:drawing>
          </mc:Choice>
          <mc:Fallback>
            <w:pict>
              <v:rect id="_x0000_s1026" o:spid="_x0000_s1026" o:spt="1" style="height:40.2pt;width:97.5pt;" fillcolor="#C00000" filled="t" stroked="f" coordsize="21600,21600" o:gfxdata="UEsDBAoAAAAAAIdO4kAAAAAAAAAAAAAAAAAEAAAAZHJzL1BLAwQUAAAACACHTuJABZtprdMAAAAE&#10;AQAADwAAAGRycy9kb3ducmV2LnhtbE2PwU7DMBBE70j8g7VIXBC1gygqIU4PSEUg0QOlH7CNt0mE&#10;vQ6206Z/j8sFLiONZjXztlpOzooDhdh71lDMFAjixpueWw3bz9XtAkRMyAatZ9JwogjL+vKiwtL4&#10;I3/QYZNakUs4lqihS2kopYxNRw7jzA/EOdv74DBlG1ppAh5zubPyTqkH6bDnvNDhQM8dNV+b0WmY&#10;7Pzm7WUdtnH1uv5+p2I80Z60vr4q1BOIRFP6O4YzfkaHOjPt/MgmCqshP5J+9Zw9zrPdaVioe5B1&#10;Jf/D1z9QSwMEFAAAAAgAh07iQASAx8ftAQAA1QMAAA4AAABkcnMvZTJvRG9jLnhtbK1TS27bMBDd&#10;F+gdCO5rSU6TuoLloIiRboo2QNoDjClSIsAfSNqST1Ogux6ixyl6jQ4p1XGSTRbVghpyhu/NeyTX&#10;16NW5MB9kNY0tFqUlHDDbCtN19BvX2/frCgJEUwLyhre0CMP9Hrz+tV6cDVf2t6qlnuCICbUg2to&#10;H6OriyKwnmsIC+u4waSwXkPEqe+K1sOA6FoVy7K8KgbrW+ct4yHg6nZK0hnRvwTQCiEZ31q219zE&#10;CdVzBRElhV66QDe5WyE4i1+ECDwS1VBUGvOIJBjv0lhs1lB3Hlwv2dwCvKSFJ5o0SIOkJ6gtRCB7&#10;L59Bacm8DVbEBbO6mIRkR1BFVT7x5r4Hx7MWtDq4k+nh/8Gyz4c7T2Tb0LcVJQY0nvif7z9///pB&#10;cAHdGVyoseje3fl5FjBMUkfhdfqjCDJmR48nR/kYCcPFanmxWl6i2Qxzl1V5dfE+gRYPu50P8SO3&#10;mqSgoR5PLBsJh08hTqX/ShJZsEq2t1KpPPHd7kZ5cgA83ZsyfTP6ozJlyJBaeYdpwgDvrMC7gqF2&#10;qDuYjhJQHT4GFn3mNjYxIDnUiXsLoZ84MmyigFrLiM9ASd3Q1TmzMigvmTbZlKI47kbck8KdbY+T&#10;e8Z+2EcrZNZ4nsqb8bSzS/PNTNfpfJ4pHl7j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m2mt&#10;0wAAAAQBAAAPAAAAAAAAAAEAIAAAACIAAABkcnMvZG93bnJldi54bWxQSwECFAAUAAAACACHTuJA&#10;BIDHx+0BAADVAwAADgAAAAAAAAABACAAAAAiAQAAZHJzL2Uyb0RvYy54bWxQSwUGAAAAAAYABgBZ&#10;AQAAgQU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咨询联系</w:t>
                      </w:r>
                    </w:p>
                  </w:txbxContent>
                </v:textbox>
                <w10:wrap type="none"/>
                <w10:anchorlock/>
              </v:rect>
            </w:pict>
          </mc:Fallback>
        </mc:AlternateContent>
      </w:r>
    </w:p>
    <w:p>
      <w:pPr>
        <w:spacing w:line="560" w:lineRule="exact"/>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spacing w:line="400" w:lineRule="exact"/>
        <w:ind w:right="-258" w:rightChars="-123"/>
        <w:jc w:val="left"/>
        <w:rPr>
          <w:rFonts w:hint="default" w:ascii="仿宋" w:hAnsi="仿宋" w:eastAsia="仿宋" w:cs="微软雅黑"/>
          <w:sz w:val="24"/>
          <w:lang w:val="en-US" w:eastAsia="zh-CN"/>
        </w:rPr>
      </w:pPr>
      <w:r>
        <w:rPr>
          <w:rFonts w:hint="eastAsia" w:ascii="仿宋" w:hAnsi="仿宋" w:eastAsia="仿宋" w:cs="仿宋"/>
          <w:b/>
          <w:sz w:val="28"/>
          <w:szCs w:val="28"/>
          <w:lang w:val="en-US" w:eastAsia="zh-CN"/>
        </w:rPr>
        <w:t xml:space="preserve"> 400-061-6586</w:t>
      </w:r>
    </w:p>
    <w:p>
      <w:pPr>
        <w:spacing w:line="400" w:lineRule="exact"/>
        <w:ind w:right="-258" w:rightChars="-123"/>
        <w:rPr>
          <w:rFonts w:ascii="仿宋" w:hAnsi="仿宋" w:eastAsia="仿宋" w:cs="微软雅黑"/>
          <w:sz w:val="24"/>
        </w:rPr>
      </w:pPr>
    </w:p>
    <w:p>
      <w:pPr>
        <w:spacing w:line="400" w:lineRule="exact"/>
        <w:ind w:right="-258" w:rightChars="-123"/>
        <w:rPr>
          <w:rFonts w:ascii="仿宋" w:hAnsi="仿宋" w:eastAsia="仿宋" w:cs="微软雅黑"/>
          <w:sz w:val="24"/>
        </w:rPr>
      </w:pPr>
    </w:p>
    <w:p>
      <w:pPr>
        <w:rPr>
          <w:rFonts w:hint="eastAsia" w:ascii="黑体" w:hAnsi="黑体" w:eastAsia="黑体"/>
          <w:sz w:val="32"/>
          <w:szCs w:val="32"/>
        </w:rPr>
      </w:pPr>
      <w:r>
        <w:rPr>
          <w:rFonts w:hint="eastAsia" w:ascii="黑体" w:hAnsi="黑体" w:eastAsia="黑体"/>
          <w:sz w:val="32"/>
          <w:szCs w:val="32"/>
        </w:rPr>
        <w:br w:type="page"/>
      </w:r>
    </w:p>
    <w:p>
      <w:pPr>
        <w:jc w:val="center"/>
        <w:rPr>
          <w:rFonts w:ascii="仿宋" w:hAnsi="仿宋" w:eastAsia="仿宋" w:cs="微软雅黑"/>
          <w:sz w:val="24"/>
        </w:rPr>
      </w:pPr>
      <w:r>
        <w:rPr>
          <w:rFonts w:hint="eastAsia" w:ascii="黑体" w:hAnsi="黑体" w:eastAsia="黑体"/>
          <w:sz w:val="32"/>
          <w:szCs w:val="32"/>
        </w:rPr>
        <w:t>领 军 人 才 学 员 选 拔 表</w:t>
      </w:r>
    </w:p>
    <w:tbl>
      <w:tblPr>
        <w:tblStyle w:val="14"/>
        <w:tblpPr w:leftFromText="180" w:rightFromText="180" w:vertAnchor="text" w:horzAnchor="margin" w:tblpXSpec="center" w:tblpY="112"/>
        <w:tblW w:w="9857" w:type="dxa"/>
        <w:tblInd w:w="0" w:type="dxa"/>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740"/>
        <w:gridCol w:w="289"/>
        <w:gridCol w:w="1450"/>
        <w:gridCol w:w="545"/>
        <w:gridCol w:w="670"/>
        <w:gridCol w:w="234"/>
        <w:gridCol w:w="545"/>
        <w:gridCol w:w="470"/>
        <w:gridCol w:w="109"/>
        <w:gridCol w:w="760"/>
        <w:gridCol w:w="255"/>
        <w:gridCol w:w="616"/>
        <w:gridCol w:w="255"/>
        <w:gridCol w:w="1919"/>
      </w:tblGrid>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姓    名</w:t>
            </w:r>
          </w:p>
        </w:tc>
        <w:tc>
          <w:tcPr>
            <w:tcW w:w="1739" w:type="dxa"/>
            <w:gridSpan w:val="2"/>
            <w:vAlign w:val="center"/>
          </w:tcPr>
          <w:p>
            <w:pPr>
              <w:jc w:val="left"/>
              <w:rPr>
                <w:rFonts w:ascii="宋体" w:hAnsi="宋体"/>
                <w:sz w:val="18"/>
                <w:szCs w:val="18"/>
              </w:rPr>
            </w:pPr>
          </w:p>
        </w:tc>
        <w:tc>
          <w:tcPr>
            <w:tcW w:w="1449" w:type="dxa"/>
            <w:gridSpan w:val="3"/>
            <w:vAlign w:val="center"/>
          </w:tcPr>
          <w:p>
            <w:pPr>
              <w:jc w:val="center"/>
              <w:rPr>
                <w:rFonts w:ascii="宋体" w:hAnsi="宋体"/>
                <w:sz w:val="18"/>
                <w:szCs w:val="18"/>
              </w:rPr>
            </w:pPr>
            <w:r>
              <w:rPr>
                <w:rFonts w:hint="eastAsia" w:ascii="宋体" w:hAnsi="宋体"/>
                <w:sz w:val="18"/>
                <w:szCs w:val="18"/>
              </w:rPr>
              <w:t>性    别</w:t>
            </w:r>
          </w:p>
        </w:tc>
        <w:tc>
          <w:tcPr>
            <w:tcW w:w="1015" w:type="dxa"/>
            <w:gridSpan w:val="2"/>
            <w:vAlign w:val="center"/>
          </w:tcPr>
          <w:p>
            <w:pPr>
              <w:jc w:val="left"/>
              <w:rPr>
                <w:rFonts w:ascii="宋体" w:hAnsi="宋体"/>
                <w:sz w:val="18"/>
                <w:szCs w:val="18"/>
              </w:rPr>
            </w:pPr>
          </w:p>
        </w:tc>
        <w:tc>
          <w:tcPr>
            <w:tcW w:w="869" w:type="dxa"/>
            <w:gridSpan w:val="2"/>
            <w:vAlign w:val="center"/>
          </w:tcPr>
          <w:p>
            <w:pPr>
              <w:jc w:val="center"/>
              <w:rPr>
                <w:rFonts w:ascii="宋体" w:hAnsi="宋体"/>
                <w:sz w:val="18"/>
                <w:szCs w:val="18"/>
              </w:rPr>
            </w:pPr>
            <w:r>
              <w:rPr>
                <w:rFonts w:hint="eastAsia" w:ascii="宋体" w:hAnsi="宋体"/>
                <w:sz w:val="18"/>
                <w:szCs w:val="18"/>
              </w:rPr>
              <w:t>民 族</w:t>
            </w:r>
          </w:p>
        </w:tc>
        <w:tc>
          <w:tcPr>
            <w:tcW w:w="871" w:type="dxa"/>
            <w:gridSpan w:val="2"/>
            <w:vAlign w:val="center"/>
          </w:tcPr>
          <w:p>
            <w:pPr>
              <w:jc w:val="left"/>
              <w:rPr>
                <w:rFonts w:ascii="宋体" w:hAnsi="宋体"/>
                <w:sz w:val="18"/>
                <w:szCs w:val="18"/>
              </w:rPr>
            </w:pPr>
          </w:p>
        </w:tc>
        <w:tc>
          <w:tcPr>
            <w:tcW w:w="2174" w:type="dxa"/>
            <w:gridSpan w:val="2"/>
            <w:vMerge w:val="restart"/>
            <w:vAlign w:val="center"/>
          </w:tcPr>
          <w:p>
            <w:pPr>
              <w:jc w:val="center"/>
              <w:rPr>
                <w:rFonts w:ascii="宋体" w:hAnsi="宋体"/>
                <w:sz w:val="18"/>
                <w:szCs w:val="18"/>
              </w:rPr>
            </w:pPr>
            <w:r>
              <w:rPr>
                <w:rFonts w:hint="eastAsia" w:ascii="宋体" w:hAnsi="宋体"/>
                <w:sz w:val="18"/>
                <w:szCs w:val="18"/>
              </w:rPr>
              <w:t>照片</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出生日期</w:t>
            </w:r>
          </w:p>
        </w:tc>
        <w:tc>
          <w:tcPr>
            <w:tcW w:w="1739" w:type="dxa"/>
            <w:gridSpan w:val="2"/>
            <w:vAlign w:val="center"/>
          </w:tcPr>
          <w:p>
            <w:pPr>
              <w:jc w:val="left"/>
              <w:rPr>
                <w:rFonts w:ascii="宋体" w:hAnsi="宋体"/>
                <w:sz w:val="18"/>
                <w:szCs w:val="18"/>
              </w:rPr>
            </w:pPr>
          </w:p>
        </w:tc>
        <w:tc>
          <w:tcPr>
            <w:tcW w:w="1449" w:type="dxa"/>
            <w:gridSpan w:val="3"/>
            <w:vAlign w:val="center"/>
          </w:tcPr>
          <w:p>
            <w:pPr>
              <w:jc w:val="center"/>
              <w:rPr>
                <w:rFonts w:ascii="宋体" w:hAnsi="宋体"/>
                <w:sz w:val="18"/>
                <w:szCs w:val="18"/>
              </w:rPr>
            </w:pPr>
            <w:r>
              <w:rPr>
                <w:rFonts w:hint="eastAsia" w:ascii="宋体" w:hAnsi="宋体"/>
                <w:sz w:val="18"/>
                <w:szCs w:val="18"/>
              </w:rPr>
              <w:t>手    机</w:t>
            </w:r>
          </w:p>
        </w:tc>
        <w:tc>
          <w:tcPr>
            <w:tcW w:w="2755" w:type="dxa"/>
            <w:gridSpan w:val="6"/>
            <w:vAlign w:val="center"/>
          </w:tcPr>
          <w:p>
            <w:pPr>
              <w:jc w:val="left"/>
              <w:rPr>
                <w:rFonts w:ascii="宋体" w:hAnsi="宋体"/>
                <w:sz w:val="18"/>
                <w:szCs w:val="18"/>
              </w:rPr>
            </w:pPr>
          </w:p>
        </w:tc>
        <w:tc>
          <w:tcPr>
            <w:tcW w:w="2174" w:type="dxa"/>
            <w:gridSpan w:val="2"/>
            <w:vMerge w:val="continue"/>
            <w:vAlign w:val="center"/>
          </w:tcPr>
          <w:p>
            <w:pPr>
              <w:ind w:firstLine="360"/>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政治面貌</w:t>
            </w:r>
          </w:p>
        </w:tc>
        <w:tc>
          <w:tcPr>
            <w:tcW w:w="1739" w:type="dxa"/>
            <w:gridSpan w:val="2"/>
            <w:vAlign w:val="center"/>
          </w:tcPr>
          <w:p>
            <w:pPr>
              <w:jc w:val="left"/>
              <w:rPr>
                <w:rFonts w:ascii="宋体" w:hAnsi="宋体"/>
                <w:sz w:val="18"/>
                <w:szCs w:val="18"/>
              </w:rPr>
            </w:pPr>
          </w:p>
        </w:tc>
        <w:tc>
          <w:tcPr>
            <w:tcW w:w="1449" w:type="dxa"/>
            <w:gridSpan w:val="3"/>
            <w:vAlign w:val="center"/>
          </w:tcPr>
          <w:p>
            <w:pPr>
              <w:jc w:val="center"/>
              <w:rPr>
                <w:rFonts w:ascii="宋体" w:hAnsi="宋体"/>
                <w:sz w:val="18"/>
                <w:szCs w:val="18"/>
              </w:rPr>
            </w:pPr>
            <w:r>
              <w:rPr>
                <w:rFonts w:hint="eastAsia" w:ascii="宋体" w:hAnsi="宋体"/>
                <w:sz w:val="18"/>
                <w:szCs w:val="18"/>
              </w:rPr>
              <w:t>电子邮件</w:t>
            </w:r>
          </w:p>
        </w:tc>
        <w:tc>
          <w:tcPr>
            <w:tcW w:w="2755" w:type="dxa"/>
            <w:gridSpan w:val="6"/>
            <w:vAlign w:val="center"/>
          </w:tcPr>
          <w:p>
            <w:pPr>
              <w:jc w:val="left"/>
              <w:rPr>
                <w:rFonts w:ascii="宋体" w:hAnsi="宋体"/>
                <w:sz w:val="18"/>
                <w:szCs w:val="18"/>
              </w:rPr>
            </w:pPr>
          </w:p>
        </w:tc>
        <w:tc>
          <w:tcPr>
            <w:tcW w:w="2174" w:type="dxa"/>
            <w:gridSpan w:val="2"/>
            <w:vMerge w:val="continue"/>
          </w:tcPr>
          <w:p>
            <w:pPr>
              <w:ind w:firstLine="360"/>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现任职务</w:t>
            </w:r>
          </w:p>
        </w:tc>
        <w:tc>
          <w:tcPr>
            <w:tcW w:w="1739" w:type="dxa"/>
            <w:gridSpan w:val="2"/>
            <w:vAlign w:val="center"/>
          </w:tcPr>
          <w:p>
            <w:pPr>
              <w:jc w:val="left"/>
              <w:rPr>
                <w:rFonts w:ascii="宋体" w:hAnsi="宋体"/>
                <w:sz w:val="18"/>
                <w:szCs w:val="18"/>
              </w:rPr>
            </w:pPr>
          </w:p>
        </w:tc>
        <w:tc>
          <w:tcPr>
            <w:tcW w:w="1449" w:type="dxa"/>
            <w:gridSpan w:val="3"/>
            <w:vAlign w:val="center"/>
          </w:tcPr>
          <w:p>
            <w:pPr>
              <w:jc w:val="center"/>
              <w:rPr>
                <w:rFonts w:ascii="宋体" w:hAnsi="宋体"/>
                <w:sz w:val="18"/>
                <w:szCs w:val="18"/>
              </w:rPr>
            </w:pPr>
            <w:r>
              <w:rPr>
                <w:rFonts w:hint="eastAsia" w:ascii="宋体" w:hAnsi="宋体"/>
                <w:sz w:val="18"/>
                <w:szCs w:val="18"/>
              </w:rPr>
              <w:t>身份证号码</w:t>
            </w:r>
          </w:p>
        </w:tc>
        <w:tc>
          <w:tcPr>
            <w:tcW w:w="2755" w:type="dxa"/>
            <w:gridSpan w:val="6"/>
            <w:vAlign w:val="center"/>
          </w:tcPr>
          <w:p>
            <w:pPr>
              <w:jc w:val="left"/>
              <w:rPr>
                <w:rFonts w:ascii="宋体" w:hAnsi="宋体"/>
                <w:sz w:val="18"/>
                <w:szCs w:val="18"/>
              </w:rPr>
            </w:pPr>
          </w:p>
        </w:tc>
        <w:tc>
          <w:tcPr>
            <w:tcW w:w="2174" w:type="dxa"/>
            <w:gridSpan w:val="2"/>
            <w:vMerge w:val="continue"/>
          </w:tcPr>
          <w:p>
            <w:pPr>
              <w:ind w:firstLine="360"/>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通讯地址</w:t>
            </w:r>
          </w:p>
        </w:tc>
        <w:tc>
          <w:tcPr>
            <w:tcW w:w="5943" w:type="dxa"/>
            <w:gridSpan w:val="11"/>
            <w:vAlign w:val="center"/>
          </w:tcPr>
          <w:p>
            <w:pPr>
              <w:jc w:val="left"/>
              <w:rPr>
                <w:rFonts w:ascii="宋体" w:hAnsi="宋体"/>
                <w:sz w:val="18"/>
                <w:szCs w:val="18"/>
              </w:rPr>
            </w:pPr>
          </w:p>
        </w:tc>
        <w:tc>
          <w:tcPr>
            <w:tcW w:w="2174" w:type="dxa"/>
            <w:gridSpan w:val="2"/>
            <w:vMerge w:val="continue"/>
          </w:tcPr>
          <w:p>
            <w:pPr>
              <w:ind w:firstLine="360"/>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740" w:type="dxa"/>
            <w:vAlign w:val="center"/>
          </w:tcPr>
          <w:p>
            <w:pPr>
              <w:jc w:val="center"/>
              <w:rPr>
                <w:rFonts w:ascii="宋体" w:hAnsi="宋体"/>
                <w:sz w:val="18"/>
                <w:szCs w:val="18"/>
              </w:rPr>
            </w:pPr>
            <w:r>
              <w:rPr>
                <w:rFonts w:hint="eastAsia" w:ascii="宋体" w:hAnsi="宋体"/>
                <w:sz w:val="18"/>
                <w:szCs w:val="18"/>
              </w:rPr>
              <w:t>管理经验年限</w:t>
            </w:r>
          </w:p>
        </w:tc>
        <w:tc>
          <w:tcPr>
            <w:tcW w:w="1739" w:type="dxa"/>
            <w:gridSpan w:val="2"/>
            <w:vAlign w:val="center"/>
          </w:tcPr>
          <w:p>
            <w:pPr>
              <w:jc w:val="left"/>
              <w:rPr>
                <w:rFonts w:ascii="宋体" w:hAnsi="宋体"/>
                <w:sz w:val="18"/>
                <w:szCs w:val="18"/>
              </w:rPr>
            </w:pPr>
          </w:p>
        </w:tc>
        <w:tc>
          <w:tcPr>
            <w:tcW w:w="1449" w:type="dxa"/>
            <w:gridSpan w:val="3"/>
            <w:vAlign w:val="center"/>
          </w:tcPr>
          <w:p>
            <w:pPr>
              <w:jc w:val="center"/>
              <w:rPr>
                <w:rFonts w:ascii="宋体" w:hAnsi="宋体"/>
                <w:sz w:val="18"/>
                <w:szCs w:val="18"/>
              </w:rPr>
            </w:pPr>
            <w:r>
              <w:rPr>
                <w:rFonts w:hint="eastAsia" w:ascii="宋体" w:hAnsi="宋体"/>
                <w:sz w:val="18"/>
                <w:szCs w:val="18"/>
              </w:rPr>
              <w:t>办公电话</w:t>
            </w:r>
          </w:p>
        </w:tc>
        <w:tc>
          <w:tcPr>
            <w:tcW w:w="2755" w:type="dxa"/>
            <w:gridSpan w:val="6"/>
            <w:vAlign w:val="center"/>
          </w:tcPr>
          <w:p>
            <w:pPr>
              <w:ind w:firstLine="360"/>
              <w:jc w:val="left"/>
              <w:rPr>
                <w:rFonts w:ascii="宋体" w:hAnsi="宋体"/>
                <w:sz w:val="18"/>
                <w:szCs w:val="18"/>
              </w:rPr>
            </w:pPr>
          </w:p>
        </w:tc>
        <w:tc>
          <w:tcPr>
            <w:tcW w:w="2174" w:type="dxa"/>
            <w:gridSpan w:val="2"/>
            <w:vMerge w:val="continue"/>
          </w:tcPr>
          <w:p>
            <w:pPr>
              <w:ind w:firstLine="360"/>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57" w:type="dxa"/>
            <w:gridSpan w:val="14"/>
            <w:shd w:val="clear" w:color="auto" w:fill="D9D9D9"/>
            <w:vAlign w:val="center"/>
          </w:tcPr>
          <w:p>
            <w:pPr>
              <w:rPr>
                <w:rFonts w:ascii="宋体" w:hAnsi="宋体"/>
                <w:b/>
                <w:sz w:val="18"/>
                <w:szCs w:val="18"/>
              </w:rPr>
            </w:pPr>
            <w:r>
              <w:rPr>
                <w:rFonts w:hint="eastAsia" w:ascii="宋体" w:hAnsi="宋体"/>
                <w:b/>
                <w:sz w:val="18"/>
                <w:szCs w:val="18"/>
              </w:rPr>
              <w:t>教育背景</w:t>
            </w:r>
            <w:r>
              <w:rPr>
                <w:rFonts w:hint="eastAsia" w:ascii="宋体" w:hAnsi="宋体"/>
                <w:sz w:val="18"/>
                <w:szCs w:val="18"/>
              </w:rPr>
              <w:t>（最高学历）</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4" w:type="dxa"/>
            <w:gridSpan w:val="4"/>
            <w:vAlign w:val="center"/>
          </w:tcPr>
          <w:p>
            <w:pPr>
              <w:jc w:val="center"/>
              <w:rPr>
                <w:rFonts w:ascii="宋体" w:hAnsi="宋体"/>
                <w:sz w:val="18"/>
                <w:szCs w:val="18"/>
              </w:rPr>
            </w:pPr>
            <w:r>
              <w:rPr>
                <w:rFonts w:hint="eastAsia" w:ascii="宋体" w:hAnsi="宋体"/>
                <w:sz w:val="18"/>
                <w:szCs w:val="18"/>
              </w:rPr>
              <w:t>毕业院校</w:t>
            </w:r>
          </w:p>
        </w:tc>
        <w:tc>
          <w:tcPr>
            <w:tcW w:w="2028" w:type="dxa"/>
            <w:gridSpan w:val="5"/>
            <w:vAlign w:val="center"/>
          </w:tcPr>
          <w:p>
            <w:pPr>
              <w:jc w:val="center"/>
              <w:rPr>
                <w:rFonts w:ascii="宋体" w:hAnsi="宋体"/>
                <w:sz w:val="18"/>
                <w:szCs w:val="18"/>
              </w:rPr>
            </w:pPr>
            <w:r>
              <w:rPr>
                <w:rFonts w:hint="eastAsia" w:ascii="宋体" w:hAnsi="宋体"/>
                <w:sz w:val="18"/>
                <w:szCs w:val="18"/>
              </w:rPr>
              <w:t>起止时间</w:t>
            </w:r>
          </w:p>
        </w:tc>
        <w:tc>
          <w:tcPr>
            <w:tcW w:w="1886" w:type="dxa"/>
            <w:gridSpan w:val="4"/>
            <w:vAlign w:val="center"/>
          </w:tcPr>
          <w:p>
            <w:pPr>
              <w:jc w:val="center"/>
              <w:rPr>
                <w:rFonts w:ascii="宋体" w:hAnsi="宋体"/>
                <w:sz w:val="18"/>
                <w:szCs w:val="18"/>
              </w:rPr>
            </w:pPr>
            <w:r>
              <w:rPr>
                <w:rFonts w:hint="eastAsia" w:ascii="宋体" w:hAnsi="宋体"/>
                <w:sz w:val="18"/>
                <w:szCs w:val="18"/>
              </w:rPr>
              <w:t>专    业</w:t>
            </w:r>
          </w:p>
        </w:tc>
        <w:tc>
          <w:tcPr>
            <w:tcW w:w="1919" w:type="dxa"/>
            <w:vAlign w:val="center"/>
          </w:tcPr>
          <w:p>
            <w:pPr>
              <w:jc w:val="center"/>
              <w:rPr>
                <w:rFonts w:ascii="宋体" w:hAnsi="宋体"/>
                <w:sz w:val="18"/>
                <w:szCs w:val="18"/>
              </w:rPr>
            </w:pPr>
            <w:r>
              <w:rPr>
                <w:rFonts w:hint="eastAsia" w:ascii="宋体" w:hAnsi="宋体"/>
                <w:sz w:val="18"/>
                <w:szCs w:val="18"/>
              </w:rPr>
              <w:t>学历/学位</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4" w:type="dxa"/>
            <w:gridSpan w:val="4"/>
            <w:vAlign w:val="center"/>
          </w:tcPr>
          <w:p>
            <w:pPr>
              <w:rPr>
                <w:rFonts w:ascii="宋体" w:hAnsi="宋体"/>
                <w:sz w:val="18"/>
                <w:szCs w:val="18"/>
              </w:rPr>
            </w:pPr>
          </w:p>
        </w:tc>
        <w:tc>
          <w:tcPr>
            <w:tcW w:w="2028" w:type="dxa"/>
            <w:gridSpan w:val="5"/>
            <w:vAlign w:val="center"/>
          </w:tcPr>
          <w:p>
            <w:pPr>
              <w:rPr>
                <w:rFonts w:ascii="宋体" w:hAnsi="宋体"/>
                <w:sz w:val="18"/>
                <w:szCs w:val="18"/>
              </w:rPr>
            </w:pPr>
          </w:p>
        </w:tc>
        <w:tc>
          <w:tcPr>
            <w:tcW w:w="1886" w:type="dxa"/>
            <w:gridSpan w:val="4"/>
            <w:vAlign w:val="center"/>
          </w:tcPr>
          <w:p>
            <w:pPr>
              <w:rPr>
                <w:rFonts w:ascii="宋体" w:hAnsi="宋体"/>
                <w:sz w:val="18"/>
                <w:szCs w:val="18"/>
              </w:rPr>
            </w:pPr>
          </w:p>
        </w:tc>
        <w:tc>
          <w:tcPr>
            <w:tcW w:w="1919" w:type="dxa"/>
            <w:vAlign w:val="center"/>
          </w:tcPr>
          <w:p>
            <w:pPr>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57" w:type="dxa"/>
            <w:gridSpan w:val="14"/>
            <w:shd w:val="clear" w:color="auto" w:fill="D9D9D9"/>
            <w:vAlign w:val="center"/>
          </w:tcPr>
          <w:p>
            <w:pPr>
              <w:rPr>
                <w:rFonts w:ascii="宋体" w:hAnsi="宋体"/>
                <w:b/>
                <w:sz w:val="18"/>
                <w:szCs w:val="18"/>
              </w:rPr>
            </w:pPr>
            <w:r>
              <w:rPr>
                <w:rFonts w:hint="eastAsia" w:ascii="宋体" w:hAnsi="宋体"/>
                <w:b/>
                <w:sz w:val="18"/>
                <w:szCs w:val="18"/>
              </w:rPr>
              <w:t>企业情况</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2029" w:type="dxa"/>
            <w:gridSpan w:val="2"/>
            <w:vAlign w:val="center"/>
          </w:tcPr>
          <w:p>
            <w:pPr>
              <w:jc w:val="center"/>
              <w:rPr>
                <w:rFonts w:ascii="宋体" w:hAnsi="宋体"/>
                <w:sz w:val="18"/>
                <w:szCs w:val="18"/>
              </w:rPr>
            </w:pPr>
            <w:r>
              <w:rPr>
                <w:rFonts w:hint="eastAsia" w:ascii="宋体" w:hAnsi="宋体"/>
                <w:sz w:val="18"/>
                <w:szCs w:val="18"/>
              </w:rPr>
              <w:t>企业名称</w:t>
            </w:r>
          </w:p>
        </w:tc>
        <w:tc>
          <w:tcPr>
            <w:tcW w:w="3444" w:type="dxa"/>
            <w:gridSpan w:val="5"/>
            <w:vAlign w:val="center"/>
          </w:tcPr>
          <w:p>
            <w:pPr>
              <w:jc w:val="center"/>
              <w:rPr>
                <w:rFonts w:ascii="宋体" w:hAnsi="宋体"/>
                <w:color w:val="FF0000"/>
                <w:sz w:val="18"/>
                <w:szCs w:val="18"/>
              </w:rPr>
            </w:pPr>
          </w:p>
        </w:tc>
        <w:tc>
          <w:tcPr>
            <w:tcW w:w="1594" w:type="dxa"/>
            <w:gridSpan w:val="4"/>
            <w:vAlign w:val="center"/>
          </w:tcPr>
          <w:p>
            <w:pPr>
              <w:jc w:val="center"/>
              <w:rPr>
                <w:rFonts w:ascii="宋体" w:hAnsi="宋体"/>
                <w:sz w:val="18"/>
                <w:szCs w:val="18"/>
              </w:rPr>
            </w:pPr>
            <w:r>
              <w:rPr>
                <w:rFonts w:hint="eastAsia" w:ascii="宋体" w:hAnsi="宋体"/>
                <w:sz w:val="18"/>
                <w:szCs w:val="18"/>
              </w:rPr>
              <w:t>是否上市</w:t>
            </w:r>
          </w:p>
        </w:tc>
        <w:tc>
          <w:tcPr>
            <w:tcW w:w="2790" w:type="dxa"/>
            <w:gridSpan w:val="3"/>
            <w:vAlign w:val="center"/>
          </w:tcPr>
          <w:p>
            <w:pPr>
              <w:pStyle w:val="27"/>
              <w:numPr>
                <w:ilvl w:val="0"/>
                <w:numId w:val="1"/>
              </w:numPr>
              <w:ind w:firstLineChars="0"/>
              <w:rPr>
                <w:rFonts w:ascii="宋体" w:hAnsi="宋体"/>
                <w:sz w:val="18"/>
                <w:szCs w:val="18"/>
              </w:rPr>
            </w:pPr>
            <w:r>
              <w:rPr>
                <w:rFonts w:hint="eastAsia" w:ascii="宋体" w:hAnsi="宋体"/>
                <w:sz w:val="18"/>
                <w:szCs w:val="18"/>
              </w:rPr>
              <w:t>是        □ 否</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273" w:hRule="atLeast"/>
        </w:trPr>
        <w:tc>
          <w:tcPr>
            <w:tcW w:w="2029" w:type="dxa"/>
            <w:gridSpan w:val="2"/>
            <w:vAlign w:val="center"/>
          </w:tcPr>
          <w:p>
            <w:pPr>
              <w:jc w:val="center"/>
              <w:rPr>
                <w:rFonts w:ascii="宋体" w:hAnsi="宋体"/>
                <w:sz w:val="18"/>
                <w:szCs w:val="18"/>
              </w:rPr>
            </w:pPr>
            <w:r>
              <w:rPr>
                <w:rFonts w:hint="eastAsia" w:ascii="宋体" w:hAnsi="宋体"/>
                <w:sz w:val="18"/>
                <w:szCs w:val="18"/>
              </w:rPr>
              <w:t>公司网址</w:t>
            </w:r>
          </w:p>
        </w:tc>
        <w:tc>
          <w:tcPr>
            <w:tcW w:w="7828" w:type="dxa"/>
            <w:gridSpan w:val="12"/>
            <w:vAlign w:val="center"/>
          </w:tcPr>
          <w:p>
            <w:pPr>
              <w:ind w:firstLine="540" w:firstLineChars="300"/>
              <w:rPr>
                <w:rFonts w:ascii="宋体" w:hAnsi="宋体"/>
                <w:color w:val="FF0000"/>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2029" w:type="dxa"/>
            <w:gridSpan w:val="2"/>
            <w:vAlign w:val="center"/>
          </w:tcPr>
          <w:p>
            <w:pPr>
              <w:jc w:val="center"/>
              <w:rPr>
                <w:rFonts w:ascii="宋体" w:hAnsi="宋体"/>
                <w:b/>
                <w:sz w:val="18"/>
                <w:szCs w:val="18"/>
              </w:rPr>
            </w:pPr>
            <w:r>
              <w:rPr>
                <w:rFonts w:hint="eastAsia" w:ascii="宋体" w:hAnsi="宋体"/>
                <w:b/>
                <w:sz w:val="18"/>
                <w:szCs w:val="18"/>
              </w:rPr>
              <w:t>领军理由</w:t>
            </w:r>
          </w:p>
          <w:p>
            <w:pPr>
              <w:jc w:val="center"/>
              <w:rPr>
                <w:rFonts w:ascii="宋体" w:hAnsi="宋体"/>
                <w:sz w:val="18"/>
                <w:szCs w:val="18"/>
              </w:rPr>
            </w:pPr>
            <w:r>
              <w:rPr>
                <w:rFonts w:hint="eastAsia" w:ascii="宋体" w:hAnsi="宋体"/>
                <w:sz w:val="18"/>
                <w:szCs w:val="18"/>
              </w:rPr>
              <w:t>(可多选)</w:t>
            </w:r>
          </w:p>
        </w:tc>
        <w:tc>
          <w:tcPr>
            <w:tcW w:w="7828" w:type="dxa"/>
            <w:gridSpan w:val="12"/>
            <w:vAlign w:val="center"/>
          </w:tcPr>
          <w:p>
            <w:pPr>
              <w:rPr>
                <w:rFonts w:ascii="宋体" w:hAnsi="宋体"/>
                <w:sz w:val="18"/>
                <w:szCs w:val="18"/>
              </w:rPr>
            </w:pPr>
            <w:r>
              <w:rPr>
                <w:rFonts w:hint="eastAsia" w:ascii="宋体" w:hAnsi="宋体"/>
                <w:sz w:val="18"/>
                <w:szCs w:val="18"/>
              </w:rPr>
              <w:t>□ 行业排名、区域排名靠前； □  产品、服务、经营管理特色领先； □ 市场占有率高；</w:t>
            </w:r>
          </w:p>
          <w:p>
            <w:pPr>
              <w:rPr>
                <w:rFonts w:ascii="宋体" w:hAnsi="宋体"/>
                <w:sz w:val="18"/>
                <w:szCs w:val="18"/>
              </w:rPr>
            </w:pPr>
            <w:r>
              <w:rPr>
                <w:rFonts w:hint="eastAsia" w:ascii="宋体" w:hAnsi="宋体"/>
                <w:sz w:val="18"/>
                <w:szCs w:val="18"/>
              </w:rPr>
              <w:t>□ 未来市场前景好；  □ 高成长性；  □ 战略新兴产业；  □ 其他方面。</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2029" w:type="dxa"/>
            <w:gridSpan w:val="2"/>
            <w:tcBorders>
              <w:bottom w:val="single" w:color="000000" w:sz="4" w:space="0"/>
            </w:tcBorders>
            <w:vAlign w:val="center"/>
          </w:tcPr>
          <w:p>
            <w:pPr>
              <w:jc w:val="center"/>
              <w:rPr>
                <w:rFonts w:ascii="宋体" w:hAnsi="宋体"/>
                <w:sz w:val="18"/>
                <w:szCs w:val="18"/>
              </w:rPr>
            </w:pPr>
            <w:r>
              <w:rPr>
                <w:rFonts w:hint="eastAsia" w:ascii="宋体" w:hAnsi="宋体"/>
                <w:sz w:val="18"/>
                <w:szCs w:val="18"/>
              </w:rPr>
              <w:t>所在区域</w:t>
            </w:r>
          </w:p>
        </w:tc>
        <w:tc>
          <w:tcPr>
            <w:tcW w:w="1995" w:type="dxa"/>
            <w:gridSpan w:val="2"/>
            <w:tcBorders>
              <w:bottom w:val="single" w:color="000000" w:sz="4" w:space="0"/>
            </w:tcBorders>
            <w:vAlign w:val="center"/>
          </w:tcPr>
          <w:p>
            <w:pPr>
              <w:ind w:firstLine="32" w:firstLineChars="18"/>
              <w:jc w:val="left"/>
              <w:rPr>
                <w:rFonts w:ascii="宋体" w:hAnsi="宋体"/>
                <w:sz w:val="18"/>
                <w:szCs w:val="18"/>
              </w:rPr>
            </w:pPr>
            <w:r>
              <w:rPr>
                <w:rFonts w:hint="eastAsia" w:ascii="宋体" w:hAnsi="宋体"/>
                <w:sz w:val="18"/>
                <w:szCs w:val="18"/>
              </w:rPr>
              <w:t xml:space="preserve">       省       市</w:t>
            </w:r>
          </w:p>
        </w:tc>
        <w:tc>
          <w:tcPr>
            <w:tcW w:w="2028" w:type="dxa"/>
            <w:gridSpan w:val="5"/>
            <w:tcBorders>
              <w:bottom w:val="single" w:color="000000" w:sz="4" w:space="0"/>
            </w:tcBorders>
            <w:vAlign w:val="center"/>
          </w:tcPr>
          <w:p>
            <w:pPr>
              <w:jc w:val="center"/>
              <w:rPr>
                <w:rFonts w:ascii="宋体" w:hAnsi="宋体"/>
                <w:sz w:val="18"/>
                <w:szCs w:val="18"/>
              </w:rPr>
            </w:pPr>
            <w:r>
              <w:rPr>
                <w:rFonts w:hint="eastAsia" w:ascii="宋体" w:hAnsi="宋体"/>
                <w:sz w:val="18"/>
                <w:szCs w:val="18"/>
              </w:rPr>
              <w:t>是否设立党组织</w:t>
            </w:r>
          </w:p>
        </w:tc>
        <w:tc>
          <w:tcPr>
            <w:tcW w:w="3805" w:type="dxa"/>
            <w:gridSpan w:val="5"/>
            <w:tcBorders>
              <w:bottom w:val="single" w:color="000000" w:sz="4" w:space="0"/>
            </w:tcBorders>
            <w:vAlign w:val="center"/>
          </w:tcPr>
          <w:p>
            <w:pPr>
              <w:pStyle w:val="27"/>
              <w:numPr>
                <w:ilvl w:val="0"/>
                <w:numId w:val="1"/>
              </w:numPr>
              <w:ind w:firstLineChars="0"/>
              <w:rPr>
                <w:rFonts w:ascii="宋体" w:hAnsi="宋体"/>
                <w:sz w:val="18"/>
                <w:szCs w:val="18"/>
              </w:rPr>
            </w:pPr>
            <w:r>
              <w:rPr>
                <w:rFonts w:hint="eastAsia" w:ascii="宋体" w:hAnsi="宋体"/>
                <w:sz w:val="18"/>
                <w:szCs w:val="18"/>
              </w:rPr>
              <w:t>是        □ 否</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029" w:type="dxa"/>
            <w:gridSpan w:val="2"/>
            <w:tcBorders>
              <w:top w:val="single" w:color="000000" w:sz="4" w:space="0"/>
              <w:bottom w:val="single" w:color="000000" w:sz="4" w:space="0"/>
              <w:tl2br w:val="single" w:color="000000" w:sz="4" w:space="0"/>
            </w:tcBorders>
            <w:vAlign w:val="center"/>
          </w:tcPr>
          <w:p>
            <w:pPr>
              <w:jc w:val="center"/>
              <w:rPr>
                <w:rFonts w:ascii="宋体" w:hAnsi="宋体"/>
                <w:sz w:val="18"/>
                <w:szCs w:val="18"/>
              </w:rPr>
            </w:pPr>
          </w:p>
        </w:tc>
        <w:tc>
          <w:tcPr>
            <w:tcW w:w="1995" w:type="dxa"/>
            <w:gridSpan w:val="2"/>
            <w:tcBorders>
              <w:top w:val="single" w:color="000000" w:sz="4" w:space="0"/>
              <w:bottom w:val="single" w:color="000000" w:sz="4" w:space="0"/>
            </w:tcBorders>
            <w:vAlign w:val="center"/>
          </w:tcPr>
          <w:p>
            <w:pPr>
              <w:ind w:firstLine="32" w:firstLineChars="18"/>
              <w:jc w:val="center"/>
              <w:rPr>
                <w:rFonts w:ascii="宋体" w:hAnsi="宋体"/>
                <w:sz w:val="18"/>
                <w:szCs w:val="18"/>
              </w:rPr>
            </w:pPr>
            <w:r>
              <w:rPr>
                <w:rFonts w:hint="eastAsia" w:ascii="宋体" w:hAnsi="宋体"/>
                <w:sz w:val="18"/>
                <w:szCs w:val="18"/>
              </w:rPr>
              <w:t>资产总额（万元）</w:t>
            </w:r>
          </w:p>
        </w:tc>
        <w:tc>
          <w:tcPr>
            <w:tcW w:w="2028" w:type="dxa"/>
            <w:gridSpan w:val="5"/>
            <w:tcBorders>
              <w:top w:val="single" w:color="000000" w:sz="4" w:space="0"/>
              <w:bottom w:val="single" w:color="000000" w:sz="4" w:space="0"/>
            </w:tcBorders>
            <w:vAlign w:val="center"/>
          </w:tcPr>
          <w:p>
            <w:pPr>
              <w:jc w:val="center"/>
              <w:rPr>
                <w:rFonts w:ascii="宋体" w:hAnsi="宋体"/>
                <w:sz w:val="18"/>
                <w:szCs w:val="18"/>
              </w:rPr>
            </w:pPr>
            <w:r>
              <w:rPr>
                <w:rFonts w:hint="eastAsia" w:ascii="宋体" w:hAnsi="宋体"/>
                <w:sz w:val="18"/>
                <w:szCs w:val="18"/>
              </w:rPr>
              <w:t>年销售额（万元）</w:t>
            </w:r>
          </w:p>
        </w:tc>
        <w:tc>
          <w:tcPr>
            <w:tcW w:w="1886" w:type="dxa"/>
            <w:gridSpan w:val="4"/>
            <w:tcBorders>
              <w:top w:val="single" w:color="000000" w:sz="4" w:space="0"/>
              <w:bottom w:val="single" w:color="000000" w:sz="4" w:space="0"/>
            </w:tcBorders>
            <w:vAlign w:val="center"/>
          </w:tcPr>
          <w:p>
            <w:pPr>
              <w:jc w:val="center"/>
              <w:rPr>
                <w:rFonts w:ascii="宋体" w:hAnsi="宋体"/>
                <w:sz w:val="18"/>
                <w:szCs w:val="18"/>
              </w:rPr>
            </w:pPr>
            <w:r>
              <w:rPr>
                <w:rFonts w:hint="eastAsia" w:ascii="宋体" w:hAnsi="宋体"/>
                <w:sz w:val="18"/>
                <w:szCs w:val="18"/>
              </w:rPr>
              <w:t>员工人数（人）</w:t>
            </w:r>
          </w:p>
        </w:tc>
        <w:tc>
          <w:tcPr>
            <w:tcW w:w="1919" w:type="dxa"/>
            <w:tcBorders>
              <w:top w:val="single" w:color="000000" w:sz="4" w:space="0"/>
              <w:bottom w:val="single" w:color="000000" w:sz="4" w:space="0"/>
            </w:tcBorders>
            <w:vAlign w:val="center"/>
          </w:tcPr>
          <w:p>
            <w:pPr>
              <w:jc w:val="center"/>
              <w:rPr>
                <w:rFonts w:ascii="宋体" w:hAnsi="宋体"/>
                <w:sz w:val="18"/>
                <w:szCs w:val="18"/>
              </w:rPr>
            </w:pPr>
            <w:r>
              <w:rPr>
                <w:rFonts w:hint="eastAsia" w:ascii="宋体" w:hAnsi="宋体"/>
                <w:sz w:val="18"/>
                <w:szCs w:val="18"/>
              </w:rPr>
              <w:t>年利润增长率</w:t>
            </w:r>
          </w:p>
          <w:p>
            <w:pPr>
              <w:jc w:val="center"/>
              <w:rPr>
                <w:rFonts w:ascii="宋体" w:hAnsi="宋体"/>
                <w:sz w:val="18"/>
                <w:szCs w:val="18"/>
              </w:rPr>
            </w:pPr>
            <w:r>
              <w:rPr>
                <w:rFonts w:hint="eastAsia" w:ascii="宋体" w:hAnsi="宋体"/>
                <w:sz w:val="18"/>
                <w:szCs w:val="18"/>
              </w:rPr>
              <w:t>（与上一年比较）</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29" w:type="dxa"/>
            <w:gridSpan w:val="2"/>
            <w:tcBorders>
              <w:top w:val="single" w:color="000000" w:sz="4" w:space="0"/>
            </w:tcBorders>
            <w:vAlign w:val="center"/>
          </w:tcPr>
          <w:p>
            <w:pPr>
              <w:jc w:val="center"/>
              <w:rPr>
                <w:rFonts w:ascii="宋体" w:hAnsi="宋体"/>
                <w:sz w:val="18"/>
                <w:szCs w:val="18"/>
              </w:rPr>
            </w:pPr>
            <w:r>
              <w:rPr>
                <w:rFonts w:hint="eastAsia" w:ascii="宋体" w:hAnsi="宋体"/>
                <w:sz w:val="18"/>
                <w:szCs w:val="18"/>
              </w:rPr>
              <w:t>202</w:t>
            </w:r>
            <w:r>
              <w:rPr>
                <w:rFonts w:ascii="宋体" w:hAnsi="宋体"/>
                <w:sz w:val="18"/>
                <w:szCs w:val="18"/>
              </w:rPr>
              <w:t>1</w:t>
            </w:r>
            <w:r>
              <w:rPr>
                <w:rFonts w:hint="eastAsia" w:ascii="宋体" w:hAnsi="宋体"/>
                <w:sz w:val="18"/>
                <w:szCs w:val="18"/>
              </w:rPr>
              <w:t>年</w:t>
            </w:r>
          </w:p>
        </w:tc>
        <w:tc>
          <w:tcPr>
            <w:tcW w:w="1995" w:type="dxa"/>
            <w:gridSpan w:val="2"/>
            <w:tcBorders>
              <w:top w:val="single" w:color="000000" w:sz="4" w:space="0"/>
            </w:tcBorders>
            <w:vAlign w:val="center"/>
          </w:tcPr>
          <w:p>
            <w:pPr>
              <w:ind w:firstLine="32" w:firstLineChars="18"/>
              <w:jc w:val="left"/>
              <w:rPr>
                <w:rFonts w:ascii="宋体" w:hAnsi="宋体"/>
                <w:sz w:val="18"/>
                <w:szCs w:val="18"/>
              </w:rPr>
            </w:pPr>
          </w:p>
        </w:tc>
        <w:tc>
          <w:tcPr>
            <w:tcW w:w="2028" w:type="dxa"/>
            <w:gridSpan w:val="5"/>
            <w:tcBorders>
              <w:top w:val="single" w:color="000000" w:sz="4" w:space="0"/>
            </w:tcBorders>
            <w:vAlign w:val="center"/>
          </w:tcPr>
          <w:p>
            <w:pPr>
              <w:jc w:val="center"/>
              <w:rPr>
                <w:rFonts w:ascii="宋体" w:hAnsi="宋体"/>
                <w:sz w:val="18"/>
                <w:szCs w:val="18"/>
              </w:rPr>
            </w:pPr>
          </w:p>
        </w:tc>
        <w:tc>
          <w:tcPr>
            <w:tcW w:w="1886" w:type="dxa"/>
            <w:gridSpan w:val="4"/>
            <w:tcBorders>
              <w:top w:val="single" w:color="000000" w:sz="4" w:space="0"/>
            </w:tcBorders>
            <w:vAlign w:val="center"/>
          </w:tcPr>
          <w:p>
            <w:pPr>
              <w:rPr>
                <w:rFonts w:ascii="宋体" w:hAnsi="宋体"/>
                <w:sz w:val="18"/>
                <w:szCs w:val="18"/>
              </w:rPr>
            </w:pPr>
          </w:p>
        </w:tc>
        <w:tc>
          <w:tcPr>
            <w:tcW w:w="1919" w:type="dxa"/>
            <w:tcBorders>
              <w:top w:val="single" w:color="000000" w:sz="4" w:space="0"/>
            </w:tcBorders>
            <w:vAlign w:val="center"/>
          </w:tcPr>
          <w:p>
            <w:pPr>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029" w:type="dxa"/>
            <w:gridSpan w:val="2"/>
            <w:vAlign w:val="center"/>
          </w:tcPr>
          <w:p>
            <w:pPr>
              <w:jc w:val="center"/>
              <w:rPr>
                <w:rFonts w:ascii="宋体" w:hAnsi="宋体"/>
                <w:sz w:val="18"/>
                <w:szCs w:val="18"/>
              </w:rPr>
            </w:pPr>
            <w:r>
              <w:rPr>
                <w:rFonts w:hint="eastAsia" w:ascii="宋体" w:hAnsi="宋体"/>
                <w:sz w:val="18"/>
                <w:szCs w:val="18"/>
              </w:rPr>
              <w:t>20</w:t>
            </w:r>
            <w:r>
              <w:rPr>
                <w:rFonts w:ascii="宋体" w:hAnsi="宋体"/>
                <w:sz w:val="18"/>
                <w:szCs w:val="18"/>
              </w:rPr>
              <w:t>20</w:t>
            </w:r>
            <w:r>
              <w:rPr>
                <w:rFonts w:hint="eastAsia" w:ascii="宋体" w:hAnsi="宋体"/>
                <w:sz w:val="18"/>
                <w:szCs w:val="18"/>
              </w:rPr>
              <w:t>年</w:t>
            </w:r>
          </w:p>
        </w:tc>
        <w:tc>
          <w:tcPr>
            <w:tcW w:w="1995" w:type="dxa"/>
            <w:gridSpan w:val="2"/>
            <w:vAlign w:val="center"/>
          </w:tcPr>
          <w:p>
            <w:pPr>
              <w:ind w:firstLine="32" w:firstLineChars="18"/>
              <w:jc w:val="left"/>
              <w:rPr>
                <w:rFonts w:ascii="宋体" w:hAnsi="宋体"/>
                <w:sz w:val="18"/>
                <w:szCs w:val="18"/>
              </w:rPr>
            </w:pPr>
          </w:p>
        </w:tc>
        <w:tc>
          <w:tcPr>
            <w:tcW w:w="2028" w:type="dxa"/>
            <w:gridSpan w:val="5"/>
            <w:vAlign w:val="center"/>
          </w:tcPr>
          <w:p>
            <w:pPr>
              <w:jc w:val="center"/>
              <w:rPr>
                <w:rFonts w:ascii="宋体" w:hAnsi="宋体"/>
                <w:sz w:val="18"/>
                <w:szCs w:val="18"/>
              </w:rPr>
            </w:pPr>
          </w:p>
        </w:tc>
        <w:tc>
          <w:tcPr>
            <w:tcW w:w="1886" w:type="dxa"/>
            <w:gridSpan w:val="4"/>
            <w:vAlign w:val="center"/>
          </w:tcPr>
          <w:p>
            <w:pPr>
              <w:rPr>
                <w:rFonts w:ascii="宋体" w:hAnsi="宋体"/>
                <w:sz w:val="18"/>
                <w:szCs w:val="18"/>
              </w:rPr>
            </w:pPr>
          </w:p>
        </w:tc>
        <w:tc>
          <w:tcPr>
            <w:tcW w:w="1919" w:type="dxa"/>
            <w:vAlign w:val="center"/>
          </w:tcPr>
          <w:p>
            <w:pPr>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2029" w:type="dxa"/>
            <w:gridSpan w:val="2"/>
            <w:vAlign w:val="center"/>
          </w:tcPr>
          <w:p>
            <w:pPr>
              <w:jc w:val="center"/>
              <w:rPr>
                <w:rFonts w:ascii="宋体" w:hAnsi="宋体"/>
                <w:sz w:val="18"/>
                <w:szCs w:val="18"/>
              </w:rPr>
            </w:pPr>
            <w:r>
              <w:rPr>
                <w:rFonts w:hint="eastAsia" w:ascii="宋体" w:hAnsi="宋体"/>
                <w:sz w:val="18"/>
                <w:szCs w:val="18"/>
              </w:rPr>
              <w:t>企业简介</w:t>
            </w:r>
          </w:p>
          <w:p>
            <w:pPr>
              <w:jc w:val="center"/>
              <w:rPr>
                <w:rFonts w:ascii="宋体" w:hAnsi="宋体"/>
                <w:sz w:val="18"/>
                <w:szCs w:val="18"/>
              </w:rPr>
            </w:pPr>
            <w:r>
              <w:rPr>
                <w:rFonts w:hint="eastAsia" w:ascii="宋体" w:hAnsi="宋体"/>
                <w:sz w:val="18"/>
                <w:szCs w:val="18"/>
              </w:rPr>
              <w:t>（请说明主营业务）</w:t>
            </w:r>
          </w:p>
        </w:tc>
        <w:tc>
          <w:tcPr>
            <w:tcW w:w="7828" w:type="dxa"/>
            <w:gridSpan w:val="12"/>
            <w:vAlign w:val="center"/>
          </w:tcPr>
          <w:p>
            <w:pPr>
              <w:rPr>
                <w:rFonts w:ascii="宋体" w:hAnsi="宋体"/>
                <w:color w:val="FF0000"/>
                <w:sz w:val="18"/>
                <w:szCs w:val="18"/>
              </w:rPr>
            </w:pPr>
            <w:r>
              <w:rPr>
                <w:rFonts w:hint="eastAsia" w:ascii="宋体" w:hAnsi="宋体"/>
                <w:color w:val="FF0000"/>
                <w:sz w:val="18"/>
                <w:szCs w:val="18"/>
              </w:rPr>
              <w:t>说明：限150字。可另附详细文件。</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9857" w:type="dxa"/>
            <w:gridSpan w:val="14"/>
            <w:tcBorders>
              <w:top w:val="single" w:color="000000" w:sz="4" w:space="0"/>
              <w:bottom w:val="single" w:color="000000" w:sz="4" w:space="0"/>
            </w:tcBorders>
            <w:shd w:val="clear" w:color="auto" w:fill="D9D9D9"/>
          </w:tcPr>
          <w:p>
            <w:pPr>
              <w:jc w:val="left"/>
              <w:rPr>
                <w:rFonts w:ascii="宋体" w:hAnsi="宋体"/>
                <w:b/>
                <w:sz w:val="18"/>
                <w:szCs w:val="18"/>
              </w:rPr>
            </w:pPr>
            <w:r>
              <w:rPr>
                <w:rFonts w:hint="eastAsia" w:ascii="宋体" w:hAnsi="宋体"/>
                <w:b/>
                <w:sz w:val="18"/>
                <w:szCs w:val="18"/>
              </w:rPr>
              <w:t>社会职务</w:t>
            </w:r>
            <w:r>
              <w:rPr>
                <w:rFonts w:hint="eastAsia" w:ascii="宋体" w:hAnsi="宋体"/>
                <w:sz w:val="18"/>
                <w:szCs w:val="18"/>
              </w:rPr>
              <w:t>（请列出你所担任的社会职务或其他兼职，如人大代表、政协委员，或在协会团体中担任的职务）</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29" w:type="dxa"/>
            <w:gridSpan w:val="2"/>
            <w:tcBorders>
              <w:top w:val="single" w:color="000000" w:sz="4" w:space="0"/>
              <w:bottom w:val="single" w:color="000000" w:sz="4" w:space="0"/>
            </w:tcBorders>
            <w:vAlign w:val="center"/>
          </w:tcPr>
          <w:p>
            <w:pPr>
              <w:jc w:val="center"/>
              <w:rPr>
                <w:rFonts w:ascii="宋体" w:hAnsi="宋体"/>
                <w:sz w:val="18"/>
                <w:szCs w:val="18"/>
              </w:rPr>
            </w:pPr>
            <w:r>
              <w:rPr>
                <w:rFonts w:hint="eastAsia" w:ascii="宋体" w:hAnsi="宋体"/>
                <w:sz w:val="18"/>
                <w:szCs w:val="18"/>
              </w:rPr>
              <w:t>团体</w:t>
            </w:r>
          </w:p>
        </w:tc>
        <w:tc>
          <w:tcPr>
            <w:tcW w:w="4023" w:type="dxa"/>
            <w:gridSpan w:val="7"/>
            <w:tcBorders>
              <w:top w:val="single" w:color="000000" w:sz="4" w:space="0"/>
              <w:bottom w:val="single" w:color="000000" w:sz="4" w:space="0"/>
            </w:tcBorders>
            <w:vAlign w:val="center"/>
          </w:tcPr>
          <w:p>
            <w:pPr>
              <w:jc w:val="center"/>
              <w:rPr>
                <w:rFonts w:ascii="宋体" w:hAnsi="宋体"/>
                <w:sz w:val="18"/>
                <w:szCs w:val="18"/>
              </w:rPr>
            </w:pPr>
            <w:r>
              <w:rPr>
                <w:rFonts w:hint="eastAsia" w:ascii="宋体" w:hAnsi="宋体"/>
                <w:sz w:val="18"/>
                <w:szCs w:val="18"/>
              </w:rPr>
              <w:t>参加时间</w:t>
            </w:r>
          </w:p>
        </w:tc>
        <w:tc>
          <w:tcPr>
            <w:tcW w:w="3805" w:type="dxa"/>
            <w:gridSpan w:val="5"/>
            <w:tcBorders>
              <w:top w:val="single" w:color="000000" w:sz="4" w:space="0"/>
              <w:bottom w:val="single" w:color="000000" w:sz="4" w:space="0"/>
            </w:tcBorders>
            <w:vAlign w:val="center"/>
          </w:tcPr>
          <w:p>
            <w:pPr>
              <w:tabs>
                <w:tab w:val="left" w:pos="589"/>
              </w:tabs>
              <w:ind w:firstLine="37"/>
              <w:jc w:val="center"/>
              <w:rPr>
                <w:rFonts w:ascii="宋体" w:hAnsi="宋体"/>
                <w:sz w:val="18"/>
                <w:szCs w:val="18"/>
              </w:rPr>
            </w:pPr>
            <w:r>
              <w:rPr>
                <w:rFonts w:hint="eastAsia" w:ascii="宋体" w:hAnsi="宋体"/>
                <w:sz w:val="18"/>
                <w:szCs w:val="18"/>
              </w:rPr>
              <w:t>职务</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29" w:type="dxa"/>
            <w:gridSpan w:val="2"/>
            <w:tcBorders>
              <w:top w:val="single" w:color="000000" w:sz="4" w:space="0"/>
              <w:bottom w:val="single" w:color="000000" w:sz="4" w:space="0"/>
            </w:tcBorders>
            <w:vAlign w:val="center"/>
          </w:tcPr>
          <w:p>
            <w:pPr>
              <w:rPr>
                <w:rFonts w:ascii="宋体" w:hAnsi="宋体"/>
                <w:sz w:val="18"/>
                <w:szCs w:val="18"/>
              </w:rPr>
            </w:pPr>
          </w:p>
        </w:tc>
        <w:tc>
          <w:tcPr>
            <w:tcW w:w="4023" w:type="dxa"/>
            <w:gridSpan w:val="7"/>
            <w:tcBorders>
              <w:top w:val="single" w:color="000000" w:sz="4" w:space="0"/>
              <w:bottom w:val="single" w:color="000000" w:sz="4" w:space="0"/>
            </w:tcBorders>
            <w:vAlign w:val="center"/>
          </w:tcPr>
          <w:p>
            <w:pPr>
              <w:rPr>
                <w:rFonts w:ascii="宋体" w:hAnsi="宋体"/>
                <w:sz w:val="18"/>
                <w:szCs w:val="18"/>
              </w:rPr>
            </w:pPr>
          </w:p>
        </w:tc>
        <w:tc>
          <w:tcPr>
            <w:tcW w:w="3805" w:type="dxa"/>
            <w:gridSpan w:val="5"/>
            <w:tcBorders>
              <w:top w:val="single" w:color="000000" w:sz="4" w:space="0"/>
              <w:bottom w:val="single" w:color="000000" w:sz="4" w:space="0"/>
            </w:tcBorders>
            <w:vAlign w:val="center"/>
          </w:tcPr>
          <w:p>
            <w:pPr>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857" w:type="dxa"/>
            <w:gridSpan w:val="14"/>
            <w:tcBorders>
              <w:top w:val="single" w:color="000000" w:sz="4" w:space="0"/>
              <w:bottom w:val="single" w:color="000000" w:sz="4" w:space="0"/>
            </w:tcBorders>
            <w:shd w:val="clear" w:color="auto" w:fill="D9D9D9"/>
            <w:vAlign w:val="center"/>
          </w:tcPr>
          <w:p>
            <w:pPr>
              <w:rPr>
                <w:rFonts w:ascii="宋体" w:hAnsi="宋体"/>
                <w:b/>
                <w:sz w:val="18"/>
                <w:szCs w:val="18"/>
              </w:rPr>
            </w:pPr>
            <w:r>
              <w:rPr>
                <w:rFonts w:hint="eastAsia" w:ascii="宋体" w:hAnsi="宋体"/>
                <w:b/>
                <w:sz w:val="18"/>
                <w:szCs w:val="18"/>
              </w:rPr>
              <w:t>荣誉和奖励</w:t>
            </w:r>
            <w:r>
              <w:rPr>
                <w:rFonts w:hint="eastAsia" w:ascii="宋体" w:hAnsi="宋体"/>
                <w:sz w:val="18"/>
                <w:szCs w:val="18"/>
              </w:rPr>
              <w:t>（企业和个人均可）</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9857" w:type="dxa"/>
            <w:gridSpan w:val="14"/>
            <w:tcBorders>
              <w:top w:val="single" w:color="000000" w:sz="4" w:space="0"/>
              <w:bottom w:val="single" w:color="000000" w:sz="4" w:space="0"/>
            </w:tcBorders>
          </w:tcPr>
          <w:p>
            <w:pPr>
              <w:jc w:val="left"/>
              <w:rPr>
                <w:rFonts w:ascii="宋体" w:hAnsi="宋体"/>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4694" w:type="dxa"/>
            <w:gridSpan w:val="5"/>
            <w:tcBorders>
              <w:top w:val="single" w:color="000000" w:sz="4" w:space="0"/>
            </w:tcBorders>
            <w:vAlign w:val="center"/>
          </w:tcPr>
          <w:p>
            <w:pPr>
              <w:widowControl/>
              <w:spacing w:after="75" w:line="315" w:lineRule="atLeast"/>
              <w:rPr>
                <w:b/>
              </w:rPr>
            </w:pPr>
          </w:p>
          <w:p>
            <w:pPr>
              <w:widowControl/>
              <w:spacing w:after="75" w:line="520" w:lineRule="exact"/>
              <w:rPr>
                <w:b/>
                <w:u w:val="single"/>
              </w:rPr>
            </w:pPr>
            <w:r>
              <w:rPr>
                <w:rFonts w:hint="eastAsia"/>
                <w:b/>
              </w:rPr>
              <w:t>企业（盖章）：</w:t>
            </w:r>
            <w:r>
              <w:rPr>
                <w:rFonts w:hint="eastAsia"/>
                <w:b/>
                <w:u w:val="single"/>
              </w:rPr>
              <w:t xml:space="preserve">                          </w:t>
            </w:r>
          </w:p>
          <w:p>
            <w:pPr>
              <w:widowControl/>
              <w:spacing w:after="75" w:line="520" w:lineRule="exact"/>
              <w:rPr>
                <w:b/>
                <w:u w:val="single"/>
              </w:rPr>
            </w:pPr>
            <w:r>
              <w:rPr>
                <w:rFonts w:hint="eastAsia"/>
                <w:b/>
              </w:rPr>
              <w:t>日期：</w:t>
            </w:r>
            <w:r>
              <w:rPr>
                <w:rFonts w:hint="eastAsia"/>
                <w:b/>
                <w:u w:val="single"/>
              </w:rPr>
              <w:t xml:space="preserve">      </w:t>
            </w:r>
            <w:r>
              <w:rPr>
                <w:rFonts w:hint="eastAsia"/>
                <w:b/>
              </w:rPr>
              <w:t xml:space="preserve"> 年</w:t>
            </w:r>
            <w:r>
              <w:rPr>
                <w:rFonts w:hint="eastAsia"/>
                <w:b/>
                <w:u w:val="single"/>
              </w:rPr>
              <w:t xml:space="preserve">     </w:t>
            </w:r>
            <w:r>
              <w:rPr>
                <w:rFonts w:hint="eastAsia"/>
                <w:b/>
              </w:rPr>
              <w:t xml:space="preserve"> 月</w:t>
            </w:r>
            <w:r>
              <w:rPr>
                <w:rFonts w:hint="eastAsia"/>
                <w:b/>
                <w:u w:val="single"/>
              </w:rPr>
              <w:t xml:space="preserve">     </w:t>
            </w:r>
            <w:r>
              <w:rPr>
                <w:rFonts w:hint="eastAsia"/>
                <w:b/>
              </w:rPr>
              <w:t>日</w:t>
            </w:r>
          </w:p>
        </w:tc>
        <w:tc>
          <w:tcPr>
            <w:tcW w:w="5163" w:type="dxa"/>
            <w:gridSpan w:val="9"/>
            <w:tcBorders>
              <w:top w:val="single" w:color="000000" w:sz="4" w:space="0"/>
            </w:tcBorders>
            <w:vAlign w:val="center"/>
          </w:tcPr>
          <w:p>
            <w:pPr>
              <w:widowControl/>
              <w:spacing w:after="75" w:line="315" w:lineRule="atLeast"/>
              <w:rPr>
                <w:b/>
              </w:rPr>
            </w:pPr>
            <w:r>
              <w:rPr>
                <w:rFonts w:hint="eastAsia"/>
                <w:b/>
              </w:rPr>
              <w:t>推荐理由：</w:t>
            </w:r>
          </w:p>
          <w:p>
            <w:pPr>
              <w:widowControl/>
              <w:spacing w:after="75" w:line="520" w:lineRule="exact"/>
              <w:rPr>
                <w:b/>
                <w:u w:val="single"/>
              </w:rPr>
            </w:pPr>
            <w:r>
              <w:rPr>
                <w:rFonts w:hint="eastAsia"/>
                <w:b/>
              </w:rPr>
              <w:t>推荐单位：</w:t>
            </w:r>
            <w:r>
              <w:rPr>
                <w:rFonts w:hint="eastAsia"/>
                <w:b/>
                <w:u w:val="single"/>
              </w:rPr>
              <w:t xml:space="preserve">                               </w:t>
            </w:r>
          </w:p>
          <w:p>
            <w:pPr>
              <w:widowControl/>
              <w:spacing w:after="75" w:line="520" w:lineRule="exact"/>
              <w:rPr>
                <w:b/>
                <w:u w:val="single"/>
              </w:rPr>
            </w:pPr>
            <w:r>
              <w:rPr>
                <w:rFonts w:hint="eastAsia"/>
                <w:b/>
              </w:rPr>
              <w:t>日期：</w:t>
            </w:r>
            <w:r>
              <w:rPr>
                <w:rFonts w:hint="eastAsia"/>
                <w:b/>
                <w:u w:val="single"/>
              </w:rPr>
              <w:t xml:space="preserve">      </w:t>
            </w:r>
            <w:r>
              <w:rPr>
                <w:rFonts w:hint="eastAsia"/>
                <w:b/>
              </w:rPr>
              <w:t xml:space="preserve"> 年</w:t>
            </w:r>
            <w:r>
              <w:rPr>
                <w:rFonts w:hint="eastAsia"/>
                <w:b/>
                <w:u w:val="single"/>
              </w:rPr>
              <w:t xml:space="preserve">     </w:t>
            </w:r>
            <w:r>
              <w:rPr>
                <w:rFonts w:hint="eastAsia"/>
                <w:b/>
              </w:rPr>
              <w:t xml:space="preserve"> 月</w:t>
            </w:r>
            <w:r>
              <w:rPr>
                <w:rFonts w:hint="eastAsia"/>
                <w:b/>
                <w:u w:val="single"/>
              </w:rPr>
              <w:t xml:space="preserve">     </w:t>
            </w:r>
            <w:r>
              <w:rPr>
                <w:rFonts w:hint="eastAsia"/>
                <w:b/>
              </w:rPr>
              <w:t>日</w:t>
            </w:r>
          </w:p>
        </w:tc>
      </w:tr>
    </w:tbl>
    <w:p>
      <w:pPr>
        <w:widowControl/>
        <w:spacing w:before="156" w:beforeLines="50"/>
        <w:jc w:val="left"/>
      </w:pPr>
      <w:r>
        <w:rPr>
          <w:rFonts w:hint="eastAsia" w:ascii="宋体" w:hAnsi="宋体" w:cs="宋体"/>
          <w:color w:val="000000"/>
          <w:kern w:val="0"/>
          <w:szCs w:val="21"/>
        </w:rPr>
        <w:t>注：</w:t>
      </w:r>
      <w:r>
        <w:rPr>
          <w:rFonts w:hint="eastAsia"/>
        </w:rPr>
        <w:t>申请人保证本表所填信息真实完整，并接受统一资格审核；</w:t>
      </w:r>
    </w:p>
    <w:p>
      <w:pPr>
        <w:widowControl/>
        <w:spacing w:before="156" w:beforeLines="50"/>
        <w:ind w:firstLine="420" w:firstLineChars="200"/>
        <w:jc w:val="left"/>
        <w:rPr>
          <w:rFonts w:ascii="宋体" w:hAnsi="宋体" w:cs="宋体"/>
          <w:color w:val="000000"/>
          <w:kern w:val="0"/>
          <w:szCs w:val="21"/>
        </w:rPr>
      </w:pPr>
      <w:r>
        <w:rPr>
          <w:rFonts w:hint="eastAsia"/>
        </w:rPr>
        <w:t>获准入学，请申请人按通知要求在规定时间内完成报名交费程序，服从教学管理，坚持学习。</w:t>
      </w:r>
    </w:p>
    <w:p>
      <w:pPr>
        <w:ind w:firstLine="1370" w:firstLineChars="650"/>
        <w:rPr>
          <w:b/>
        </w:rPr>
      </w:pPr>
    </w:p>
    <w:p>
      <w:pPr>
        <w:jc w:val="center"/>
      </w:pPr>
      <w:r>
        <w:rPr>
          <w:rFonts w:hint="eastAsia"/>
          <w:b/>
        </w:rPr>
        <w:t>申请人签名：</w:t>
      </w:r>
      <w:r>
        <w:rPr>
          <w:rFonts w:hint="eastAsia"/>
          <w:b/>
          <w:u w:val="single"/>
        </w:rPr>
        <w:t xml:space="preserve">                           </w:t>
      </w:r>
      <w:r>
        <w:rPr>
          <w:rFonts w:hint="eastAsia"/>
          <w:b/>
        </w:rPr>
        <w:t xml:space="preserve">   日期：</w:t>
      </w:r>
      <w:r>
        <w:rPr>
          <w:rFonts w:hint="eastAsia"/>
          <w:b/>
          <w:u w:val="single"/>
        </w:rPr>
        <w:t xml:space="preserve">      </w:t>
      </w:r>
      <w:r>
        <w:rPr>
          <w:rFonts w:hint="eastAsia"/>
          <w:b/>
        </w:rPr>
        <w:t xml:space="preserve"> 年</w:t>
      </w:r>
      <w:r>
        <w:rPr>
          <w:rFonts w:hint="eastAsia"/>
          <w:b/>
          <w:u w:val="single"/>
        </w:rPr>
        <w:t xml:space="preserve">     </w:t>
      </w:r>
      <w:r>
        <w:rPr>
          <w:rFonts w:hint="eastAsia"/>
          <w:b/>
        </w:rPr>
        <w:t xml:space="preserve"> 月 </w:t>
      </w:r>
      <w:r>
        <w:rPr>
          <w:rFonts w:hint="eastAsia"/>
          <w:b/>
          <w:u w:val="single"/>
        </w:rPr>
        <w:t xml:space="preserve">     </w:t>
      </w:r>
      <w:r>
        <w:rPr>
          <w:rFonts w:hint="eastAsia"/>
          <w:b/>
        </w:rPr>
        <w:t>日</w:t>
      </w:r>
    </w:p>
    <w:sectPr>
      <w:footerReference r:id="rId6" w:type="first"/>
      <w:headerReference r:id="rId4" w:type="default"/>
      <w:footerReference r:id="rId5" w:type="default"/>
      <w:pgSz w:w="11906" w:h="16838"/>
      <w:pgMar w:top="1440" w:right="1803" w:bottom="1440" w:left="1803" w:header="1134"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rPr>
      <w:drawing>
        <wp:anchor distT="0" distB="0" distL="114300" distR="114300" simplePos="0" relativeHeight="251661312" behindDoc="0" locked="0" layoutInCell="1" allowOverlap="1">
          <wp:simplePos x="0" y="0"/>
          <wp:positionH relativeFrom="column">
            <wp:posOffset>465455</wp:posOffset>
          </wp:positionH>
          <wp:positionV relativeFrom="paragraph">
            <wp:posOffset>-250825</wp:posOffset>
          </wp:positionV>
          <wp:extent cx="423545" cy="424815"/>
          <wp:effectExtent l="0" t="0" r="8255" b="6985"/>
          <wp:wrapSquare wrapText="bothSides"/>
          <wp:docPr id="2" name="图片 2" descr="浙江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浙江大学"/>
                  <pic:cNvPicPr>
                    <a:picLocks noChangeAspect="1"/>
                  </pic:cNvPicPr>
                </pic:nvPicPr>
                <pic:blipFill>
                  <a:blip r:embed="rId1"/>
                  <a:stretch>
                    <a:fillRect/>
                  </a:stretch>
                </pic:blipFill>
                <pic:spPr>
                  <a:xfrm>
                    <a:off x="0" y="0"/>
                    <a:ext cx="423545" cy="424815"/>
                  </a:xfrm>
                  <a:prstGeom prst="rect">
                    <a:avLst/>
                  </a:prstGeom>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25400</wp:posOffset>
          </wp:positionH>
          <wp:positionV relativeFrom="paragraph">
            <wp:posOffset>-320040</wp:posOffset>
          </wp:positionV>
          <wp:extent cx="393700" cy="494665"/>
          <wp:effectExtent l="0" t="0" r="12700" b="13335"/>
          <wp:wrapSquare wrapText="bothSides"/>
          <wp:docPr id="3" name="图片 3" descr="E:\简佳 0914\20181106桌面\LOGO、二维码\领军.png领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简佳 0914\20181106桌面\LOGO、二维码\领军.png领军"/>
                  <pic:cNvPicPr>
                    <a:picLocks noChangeAspect="1"/>
                  </pic:cNvPicPr>
                </pic:nvPicPr>
                <pic:blipFill>
                  <a:blip r:embed="rId2">
                    <a:clrChange>
                      <a:clrFrom>
                        <a:srgbClr val="F8F8F8">
                          <a:alpha val="100000"/>
                        </a:srgbClr>
                      </a:clrFrom>
                      <a:clrTo>
                        <a:srgbClr val="F8F8F8">
                          <a:alpha val="100000"/>
                          <a:alpha val="0"/>
                        </a:srgbClr>
                      </a:clrTo>
                    </a:clrChange>
                  </a:blip>
                  <a:srcRect/>
                  <a:stretch>
                    <a:fillRect/>
                  </a:stretch>
                </pic:blipFill>
                <pic:spPr>
                  <a:xfrm>
                    <a:off x="0" y="0"/>
                    <a:ext cx="393700" cy="494665"/>
                  </a:xfrm>
                  <a:prstGeom prst="rect">
                    <a:avLst/>
                  </a:prstGeom>
                </pic:spPr>
              </pic:pic>
            </a:graphicData>
          </a:graphic>
        </wp:anchor>
      </w:drawing>
    </w:r>
    <w:r>
      <w:rPr>
        <w:rFonts w:hint="eastAsia"/>
      </w:rPr>
      <w:t xml:space="preserve">                               </w:t>
    </w:r>
    <w:r>
      <w:rPr>
        <w:rFonts w:hint="eastAsia" w:ascii="黑体" w:hAnsi="黑体" w:eastAsia="黑体"/>
        <w:b/>
        <w:spacing w:val="40"/>
        <w:sz w:val="24"/>
      </w:rPr>
      <w:t>国家企业经营管理人才素质提升工程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281FC3"/>
    <w:multiLevelType w:val="multilevel"/>
    <w:tmpl w:val="25281FC3"/>
    <w:lvl w:ilvl="0" w:tentative="0">
      <w:start w:val="4"/>
      <w:numFmt w:val="bullet"/>
      <w:lvlText w:val="□"/>
      <w:lvlJc w:val="left"/>
      <w:pPr>
        <w:ind w:left="900" w:hanging="360"/>
      </w:pPr>
      <w:rPr>
        <w:rFonts w:hint="eastAsia" w:ascii="宋体" w:hAnsi="宋体" w:eastAsia="宋体" w:cs="Times New Roman"/>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yYWU3OWJmMjVhYWExMDJhYTQwZDkyZTU5MDY5NGIifQ=="/>
  </w:docVars>
  <w:rsids>
    <w:rsidRoot w:val="66845743"/>
    <w:rsid w:val="00000CB3"/>
    <w:rsid w:val="00003B59"/>
    <w:rsid w:val="00010D1F"/>
    <w:rsid w:val="00036927"/>
    <w:rsid w:val="000D03B6"/>
    <w:rsid w:val="000D6C8E"/>
    <w:rsid w:val="000E4A1E"/>
    <w:rsid w:val="001000DA"/>
    <w:rsid w:val="001669D4"/>
    <w:rsid w:val="001E7E1E"/>
    <w:rsid w:val="00244725"/>
    <w:rsid w:val="00253DA4"/>
    <w:rsid w:val="00282D57"/>
    <w:rsid w:val="002A2DD3"/>
    <w:rsid w:val="002B0538"/>
    <w:rsid w:val="002B4DE7"/>
    <w:rsid w:val="002D5EBD"/>
    <w:rsid w:val="002E1B66"/>
    <w:rsid w:val="002E38A8"/>
    <w:rsid w:val="002F5FBC"/>
    <w:rsid w:val="00305507"/>
    <w:rsid w:val="00377710"/>
    <w:rsid w:val="003842B6"/>
    <w:rsid w:val="00394B12"/>
    <w:rsid w:val="003B3B6F"/>
    <w:rsid w:val="003D1E07"/>
    <w:rsid w:val="003E3C45"/>
    <w:rsid w:val="00421D54"/>
    <w:rsid w:val="00426FC8"/>
    <w:rsid w:val="00445BAB"/>
    <w:rsid w:val="00462CB5"/>
    <w:rsid w:val="00490B5B"/>
    <w:rsid w:val="004C31C1"/>
    <w:rsid w:val="004C5FF6"/>
    <w:rsid w:val="004D6EBE"/>
    <w:rsid w:val="004E3AEA"/>
    <w:rsid w:val="005C2866"/>
    <w:rsid w:val="005D47B6"/>
    <w:rsid w:val="00600FB1"/>
    <w:rsid w:val="00602B7F"/>
    <w:rsid w:val="006133E2"/>
    <w:rsid w:val="006436BF"/>
    <w:rsid w:val="00650A7C"/>
    <w:rsid w:val="00693D04"/>
    <w:rsid w:val="006A64BA"/>
    <w:rsid w:val="006E2EF0"/>
    <w:rsid w:val="00700036"/>
    <w:rsid w:val="007104F2"/>
    <w:rsid w:val="007260F9"/>
    <w:rsid w:val="00742984"/>
    <w:rsid w:val="00772269"/>
    <w:rsid w:val="00776207"/>
    <w:rsid w:val="007C04C9"/>
    <w:rsid w:val="007E3ACB"/>
    <w:rsid w:val="00817445"/>
    <w:rsid w:val="008264BF"/>
    <w:rsid w:val="008348EE"/>
    <w:rsid w:val="00870B6A"/>
    <w:rsid w:val="00880981"/>
    <w:rsid w:val="00895186"/>
    <w:rsid w:val="008C2265"/>
    <w:rsid w:val="008E1ED2"/>
    <w:rsid w:val="00900817"/>
    <w:rsid w:val="00953E4A"/>
    <w:rsid w:val="00992F3A"/>
    <w:rsid w:val="009C1841"/>
    <w:rsid w:val="009D3A60"/>
    <w:rsid w:val="009D64FE"/>
    <w:rsid w:val="00A7656D"/>
    <w:rsid w:val="00AD77BD"/>
    <w:rsid w:val="00AF7CF4"/>
    <w:rsid w:val="00B45D86"/>
    <w:rsid w:val="00B56703"/>
    <w:rsid w:val="00B80C36"/>
    <w:rsid w:val="00BB1E60"/>
    <w:rsid w:val="00C348E7"/>
    <w:rsid w:val="00C470EC"/>
    <w:rsid w:val="00C84068"/>
    <w:rsid w:val="00D11868"/>
    <w:rsid w:val="00DD1669"/>
    <w:rsid w:val="00DE0195"/>
    <w:rsid w:val="00E0176E"/>
    <w:rsid w:val="00E206D7"/>
    <w:rsid w:val="00E262F1"/>
    <w:rsid w:val="00E81FF0"/>
    <w:rsid w:val="00EB0907"/>
    <w:rsid w:val="00EE7D54"/>
    <w:rsid w:val="00F07B01"/>
    <w:rsid w:val="00F44DDE"/>
    <w:rsid w:val="00F80D22"/>
    <w:rsid w:val="02111B48"/>
    <w:rsid w:val="0431258E"/>
    <w:rsid w:val="04C64E6C"/>
    <w:rsid w:val="05816FE5"/>
    <w:rsid w:val="06163BC2"/>
    <w:rsid w:val="065A2001"/>
    <w:rsid w:val="066C37F1"/>
    <w:rsid w:val="06D91A8C"/>
    <w:rsid w:val="06DE46EF"/>
    <w:rsid w:val="07C733D5"/>
    <w:rsid w:val="08766BA9"/>
    <w:rsid w:val="08CE609D"/>
    <w:rsid w:val="08D91605"/>
    <w:rsid w:val="09B32A61"/>
    <w:rsid w:val="09BB62BF"/>
    <w:rsid w:val="0A7809B7"/>
    <w:rsid w:val="0A8B14F9"/>
    <w:rsid w:val="0ABC5174"/>
    <w:rsid w:val="0BB368A9"/>
    <w:rsid w:val="0D0C3638"/>
    <w:rsid w:val="0D4A5F0F"/>
    <w:rsid w:val="0D7B04EA"/>
    <w:rsid w:val="0E0A65CC"/>
    <w:rsid w:val="0E154EC0"/>
    <w:rsid w:val="0E2874F1"/>
    <w:rsid w:val="0E567261"/>
    <w:rsid w:val="0E871AFA"/>
    <w:rsid w:val="0EF425D6"/>
    <w:rsid w:val="0F962644"/>
    <w:rsid w:val="0FF6215A"/>
    <w:rsid w:val="103842DB"/>
    <w:rsid w:val="10681152"/>
    <w:rsid w:val="10B44D00"/>
    <w:rsid w:val="111E492B"/>
    <w:rsid w:val="119A51A9"/>
    <w:rsid w:val="11A76672"/>
    <w:rsid w:val="126D781E"/>
    <w:rsid w:val="12F57CE3"/>
    <w:rsid w:val="140F031E"/>
    <w:rsid w:val="14813C2C"/>
    <w:rsid w:val="14BC13DD"/>
    <w:rsid w:val="14D92EF1"/>
    <w:rsid w:val="155351C3"/>
    <w:rsid w:val="159B7C4F"/>
    <w:rsid w:val="15B4689F"/>
    <w:rsid w:val="15F92380"/>
    <w:rsid w:val="168300B9"/>
    <w:rsid w:val="16844A3F"/>
    <w:rsid w:val="16915F1E"/>
    <w:rsid w:val="174D31CB"/>
    <w:rsid w:val="175C0592"/>
    <w:rsid w:val="17BC0E60"/>
    <w:rsid w:val="182D5E13"/>
    <w:rsid w:val="19AB02AE"/>
    <w:rsid w:val="19C0523E"/>
    <w:rsid w:val="19C46C07"/>
    <w:rsid w:val="19EF40C6"/>
    <w:rsid w:val="1A2B20F4"/>
    <w:rsid w:val="1A960AA4"/>
    <w:rsid w:val="1AEF49A1"/>
    <w:rsid w:val="1BB91216"/>
    <w:rsid w:val="1BC45DF2"/>
    <w:rsid w:val="1C06347E"/>
    <w:rsid w:val="1C0748E4"/>
    <w:rsid w:val="1D72473D"/>
    <w:rsid w:val="1D7B7F1A"/>
    <w:rsid w:val="1DAC1FA1"/>
    <w:rsid w:val="1DED76EE"/>
    <w:rsid w:val="1DF71CEE"/>
    <w:rsid w:val="1E1708A9"/>
    <w:rsid w:val="1E28404A"/>
    <w:rsid w:val="1E4F5844"/>
    <w:rsid w:val="1E623BE5"/>
    <w:rsid w:val="1EAC38BE"/>
    <w:rsid w:val="1FE9665C"/>
    <w:rsid w:val="203E154A"/>
    <w:rsid w:val="22A644C2"/>
    <w:rsid w:val="238E2259"/>
    <w:rsid w:val="23B12099"/>
    <w:rsid w:val="23F24EDE"/>
    <w:rsid w:val="24114F9A"/>
    <w:rsid w:val="24661428"/>
    <w:rsid w:val="247955FF"/>
    <w:rsid w:val="248A67A8"/>
    <w:rsid w:val="24C03570"/>
    <w:rsid w:val="250F6192"/>
    <w:rsid w:val="253B64C6"/>
    <w:rsid w:val="25853B30"/>
    <w:rsid w:val="258F4E8A"/>
    <w:rsid w:val="25971398"/>
    <w:rsid w:val="259D0E7A"/>
    <w:rsid w:val="261700ED"/>
    <w:rsid w:val="27347246"/>
    <w:rsid w:val="277D3CD3"/>
    <w:rsid w:val="27CE234F"/>
    <w:rsid w:val="27D36DD5"/>
    <w:rsid w:val="282B4E63"/>
    <w:rsid w:val="2895052E"/>
    <w:rsid w:val="2B0B4C95"/>
    <w:rsid w:val="2B522706"/>
    <w:rsid w:val="2B8761E0"/>
    <w:rsid w:val="2BA96C96"/>
    <w:rsid w:val="2BBE6265"/>
    <w:rsid w:val="2CF806D3"/>
    <w:rsid w:val="2D4028C0"/>
    <w:rsid w:val="2D994305"/>
    <w:rsid w:val="2DFF16C8"/>
    <w:rsid w:val="2E3D2EE1"/>
    <w:rsid w:val="2E6F7C8C"/>
    <w:rsid w:val="2E7A61FC"/>
    <w:rsid w:val="2F3E3FB3"/>
    <w:rsid w:val="301306B6"/>
    <w:rsid w:val="30593855"/>
    <w:rsid w:val="306F60DF"/>
    <w:rsid w:val="307B2FF1"/>
    <w:rsid w:val="311355E7"/>
    <w:rsid w:val="311A00CC"/>
    <w:rsid w:val="342C2170"/>
    <w:rsid w:val="3507377E"/>
    <w:rsid w:val="354C2F37"/>
    <w:rsid w:val="35527407"/>
    <w:rsid w:val="35BFF820"/>
    <w:rsid w:val="365C07A6"/>
    <w:rsid w:val="36A31AC1"/>
    <w:rsid w:val="36C44326"/>
    <w:rsid w:val="370C1079"/>
    <w:rsid w:val="378E0F6A"/>
    <w:rsid w:val="37F92BFC"/>
    <w:rsid w:val="38082ACA"/>
    <w:rsid w:val="387D0B45"/>
    <w:rsid w:val="38B2011B"/>
    <w:rsid w:val="3A381334"/>
    <w:rsid w:val="3AC1276A"/>
    <w:rsid w:val="3AF80EEB"/>
    <w:rsid w:val="3C0435A9"/>
    <w:rsid w:val="3C177C97"/>
    <w:rsid w:val="3CB54AE3"/>
    <w:rsid w:val="3D6D517E"/>
    <w:rsid w:val="3DC35BD1"/>
    <w:rsid w:val="3DDF607B"/>
    <w:rsid w:val="3DE70BA3"/>
    <w:rsid w:val="3E5B7DBE"/>
    <w:rsid w:val="3E6F6B11"/>
    <w:rsid w:val="3E742C68"/>
    <w:rsid w:val="3F5B4C63"/>
    <w:rsid w:val="3F620D12"/>
    <w:rsid w:val="3FFF3316"/>
    <w:rsid w:val="40265C71"/>
    <w:rsid w:val="407D1E6E"/>
    <w:rsid w:val="40BA6D9E"/>
    <w:rsid w:val="419D24D5"/>
    <w:rsid w:val="41F15FEA"/>
    <w:rsid w:val="423737E6"/>
    <w:rsid w:val="42937435"/>
    <w:rsid w:val="42AC6281"/>
    <w:rsid w:val="4577128F"/>
    <w:rsid w:val="45886FF9"/>
    <w:rsid w:val="46A9788F"/>
    <w:rsid w:val="478E70D3"/>
    <w:rsid w:val="479546BB"/>
    <w:rsid w:val="483F59A9"/>
    <w:rsid w:val="48592E36"/>
    <w:rsid w:val="49841749"/>
    <w:rsid w:val="49C9600A"/>
    <w:rsid w:val="4B744226"/>
    <w:rsid w:val="4BA83F51"/>
    <w:rsid w:val="4BE772EC"/>
    <w:rsid w:val="4CE510E2"/>
    <w:rsid w:val="4D603797"/>
    <w:rsid w:val="4DAB1516"/>
    <w:rsid w:val="4DF94F37"/>
    <w:rsid w:val="4E473331"/>
    <w:rsid w:val="4E4F2DA9"/>
    <w:rsid w:val="4EA824BA"/>
    <w:rsid w:val="4EE85A39"/>
    <w:rsid w:val="4F16325A"/>
    <w:rsid w:val="4F5426DB"/>
    <w:rsid w:val="4F5F42EA"/>
    <w:rsid w:val="4F7D5AAB"/>
    <w:rsid w:val="4FF0236A"/>
    <w:rsid w:val="501D7308"/>
    <w:rsid w:val="513F2FD7"/>
    <w:rsid w:val="517E435E"/>
    <w:rsid w:val="520D44B3"/>
    <w:rsid w:val="52500E4B"/>
    <w:rsid w:val="52742C12"/>
    <w:rsid w:val="52BC0DA5"/>
    <w:rsid w:val="53320F48"/>
    <w:rsid w:val="534F55FA"/>
    <w:rsid w:val="535C6B61"/>
    <w:rsid w:val="537137C2"/>
    <w:rsid w:val="537234AA"/>
    <w:rsid w:val="53C83443"/>
    <w:rsid w:val="54E104D3"/>
    <w:rsid w:val="55067F3A"/>
    <w:rsid w:val="55576ABE"/>
    <w:rsid w:val="56496330"/>
    <w:rsid w:val="565151E5"/>
    <w:rsid w:val="56B440F1"/>
    <w:rsid w:val="56C96E4D"/>
    <w:rsid w:val="56D227CA"/>
    <w:rsid w:val="57680A38"/>
    <w:rsid w:val="57BA1620"/>
    <w:rsid w:val="58C47EF0"/>
    <w:rsid w:val="593A13C9"/>
    <w:rsid w:val="599E35FF"/>
    <w:rsid w:val="59A4677B"/>
    <w:rsid w:val="59C35678"/>
    <w:rsid w:val="59DD570D"/>
    <w:rsid w:val="5ACA76FD"/>
    <w:rsid w:val="5B7E0A53"/>
    <w:rsid w:val="5BAF6543"/>
    <w:rsid w:val="5BF84352"/>
    <w:rsid w:val="5C03197B"/>
    <w:rsid w:val="5C1949F7"/>
    <w:rsid w:val="5C1B0067"/>
    <w:rsid w:val="5F525526"/>
    <w:rsid w:val="5FAD5B82"/>
    <w:rsid w:val="5FF606E8"/>
    <w:rsid w:val="6029666D"/>
    <w:rsid w:val="60687CF4"/>
    <w:rsid w:val="608678D2"/>
    <w:rsid w:val="61FA43D4"/>
    <w:rsid w:val="64506BF9"/>
    <w:rsid w:val="65411C4A"/>
    <w:rsid w:val="65E63ADE"/>
    <w:rsid w:val="661F43AA"/>
    <w:rsid w:val="66455708"/>
    <w:rsid w:val="66845743"/>
    <w:rsid w:val="669435F8"/>
    <w:rsid w:val="66A91D0F"/>
    <w:rsid w:val="66C279AE"/>
    <w:rsid w:val="66F57882"/>
    <w:rsid w:val="67126047"/>
    <w:rsid w:val="674309DD"/>
    <w:rsid w:val="675312AA"/>
    <w:rsid w:val="67A7543B"/>
    <w:rsid w:val="6820783B"/>
    <w:rsid w:val="6884144A"/>
    <w:rsid w:val="689C4A34"/>
    <w:rsid w:val="699152AA"/>
    <w:rsid w:val="699F5C15"/>
    <w:rsid w:val="6B952EE6"/>
    <w:rsid w:val="6BF80DB3"/>
    <w:rsid w:val="6C3B7D8A"/>
    <w:rsid w:val="6C686931"/>
    <w:rsid w:val="6CBE3156"/>
    <w:rsid w:val="6CC97453"/>
    <w:rsid w:val="6D686182"/>
    <w:rsid w:val="6DA63922"/>
    <w:rsid w:val="6DFCB318"/>
    <w:rsid w:val="6E6A3F94"/>
    <w:rsid w:val="6E9A3E32"/>
    <w:rsid w:val="6EE96A55"/>
    <w:rsid w:val="6F1A48B6"/>
    <w:rsid w:val="71145A61"/>
    <w:rsid w:val="728D1130"/>
    <w:rsid w:val="72B25913"/>
    <w:rsid w:val="73353A9B"/>
    <w:rsid w:val="73862881"/>
    <w:rsid w:val="738B73BA"/>
    <w:rsid w:val="742F2BB2"/>
    <w:rsid w:val="7479013A"/>
    <w:rsid w:val="74840F23"/>
    <w:rsid w:val="74FE7AB8"/>
    <w:rsid w:val="7590142E"/>
    <w:rsid w:val="75DE5C5D"/>
    <w:rsid w:val="76037E52"/>
    <w:rsid w:val="764F291D"/>
    <w:rsid w:val="77013E73"/>
    <w:rsid w:val="77482EA5"/>
    <w:rsid w:val="77BE3101"/>
    <w:rsid w:val="795D1977"/>
    <w:rsid w:val="79E00D91"/>
    <w:rsid w:val="7A2136BC"/>
    <w:rsid w:val="7A3507F6"/>
    <w:rsid w:val="7AF57183"/>
    <w:rsid w:val="7B9D5DB8"/>
    <w:rsid w:val="7BDA0DC9"/>
    <w:rsid w:val="7C367E10"/>
    <w:rsid w:val="7CBB32AF"/>
    <w:rsid w:val="7D224E4D"/>
    <w:rsid w:val="7D3C4DB9"/>
    <w:rsid w:val="7EEF3AA0"/>
    <w:rsid w:val="7F0E3B0A"/>
    <w:rsid w:val="7F28670E"/>
    <w:rsid w:val="7F4A5393"/>
    <w:rsid w:val="7F4D0031"/>
    <w:rsid w:val="7F5402A3"/>
    <w:rsid w:val="7FA742D2"/>
    <w:rsid w:val="7FEB48D4"/>
    <w:rsid w:val="7FEE56CF"/>
    <w:rsid w:val="7FEEBFBE"/>
    <w:rsid w:val="B7972F61"/>
    <w:rsid w:val="FBB963E2"/>
    <w:rsid w:val="FFDF2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28"/>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0"/>
    <w:qFormat/>
    <w:uiPriority w:val="0"/>
    <w:pPr>
      <w:jc w:val="left"/>
    </w:pPr>
  </w:style>
  <w:style w:type="paragraph" w:styleId="5">
    <w:name w:val="Body Text"/>
    <w:basedOn w:val="1"/>
    <w:qFormat/>
    <w:uiPriority w:val="0"/>
    <w:pPr>
      <w:spacing w:after="120"/>
    </w:pPr>
    <w:rPr>
      <w:kern w:val="0"/>
    </w:rPr>
  </w:style>
  <w:style w:type="paragraph" w:styleId="6">
    <w:name w:val="Balloon Text"/>
    <w:basedOn w:val="1"/>
    <w:link w:val="32"/>
    <w:qFormat/>
    <w:uiPriority w:val="0"/>
    <w:rPr>
      <w:sz w:val="18"/>
      <w:szCs w:val="18"/>
    </w:rPr>
  </w:style>
  <w:style w:type="paragraph" w:styleId="7">
    <w:name w:val="footer"/>
    <w:basedOn w:val="1"/>
    <w:link w:val="33"/>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Autospacing="1" w:afterAutospacing="1"/>
      <w:jc w:val="left"/>
    </w:pPr>
    <w:rPr>
      <w:kern w:val="0"/>
      <w:sz w:val="24"/>
    </w:rPr>
  </w:style>
  <w:style w:type="paragraph" w:styleId="12">
    <w:name w:val="annotation subject"/>
    <w:basedOn w:val="4"/>
    <w:next w:val="4"/>
    <w:link w:val="31"/>
    <w:qFormat/>
    <w:uiPriority w:val="0"/>
    <w:rPr>
      <w:b/>
      <w:bCs/>
    </w:rPr>
  </w:style>
  <w:style w:type="paragraph" w:styleId="13">
    <w:name w:val="Body Text First Indent"/>
    <w:basedOn w:val="5"/>
    <w:qFormat/>
    <w:uiPriority w:val="0"/>
    <w:pPr>
      <w:ind w:firstLine="420" w:firstLineChars="100"/>
    </w:pPr>
  </w:style>
  <w:style w:type="table" w:styleId="15">
    <w:name w:val="Table Grid"/>
    <w:basedOn w:val="14"/>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bCs/>
    </w:rPr>
  </w:style>
  <w:style w:type="character" w:styleId="18">
    <w:name w:val="page number"/>
    <w:basedOn w:val="16"/>
    <w:qFormat/>
    <w:uiPriority w:val="0"/>
  </w:style>
  <w:style w:type="character" w:styleId="19">
    <w:name w:val="FollowedHyperlink"/>
    <w:basedOn w:val="16"/>
    <w:qFormat/>
    <w:uiPriority w:val="0"/>
    <w:rPr>
      <w:color w:val="0088CC"/>
      <w:u w:val="none"/>
    </w:rPr>
  </w:style>
  <w:style w:type="character" w:styleId="20">
    <w:name w:val="Emphasis"/>
    <w:basedOn w:val="16"/>
    <w:qFormat/>
    <w:uiPriority w:val="0"/>
  </w:style>
  <w:style w:type="character" w:styleId="21">
    <w:name w:val="Hyperlink"/>
    <w:qFormat/>
    <w:uiPriority w:val="99"/>
    <w:rPr>
      <w:color w:val="1F3A87"/>
      <w:u w:val="none"/>
    </w:rPr>
  </w:style>
  <w:style w:type="character" w:styleId="22">
    <w:name w:val="HTML Code"/>
    <w:basedOn w:val="16"/>
    <w:qFormat/>
    <w:uiPriority w:val="0"/>
    <w:rPr>
      <w:rFonts w:ascii="Consolas" w:hAnsi="Consolas" w:eastAsia="Consolas" w:cs="Consolas"/>
      <w:color w:val="DD1144"/>
      <w:sz w:val="18"/>
      <w:szCs w:val="18"/>
      <w:bdr w:val="single" w:color="E1E1E8" w:sz="6" w:space="0"/>
      <w:shd w:val="clear" w:color="auto" w:fill="F7F7F9"/>
    </w:rPr>
  </w:style>
  <w:style w:type="character" w:styleId="23">
    <w:name w:val="annotation reference"/>
    <w:basedOn w:val="16"/>
    <w:qFormat/>
    <w:uiPriority w:val="0"/>
    <w:rPr>
      <w:sz w:val="21"/>
      <w:szCs w:val="21"/>
    </w:rPr>
  </w:style>
  <w:style w:type="character" w:styleId="24">
    <w:name w:val="HTML Cite"/>
    <w:basedOn w:val="16"/>
    <w:qFormat/>
    <w:uiPriority w:val="0"/>
  </w:style>
  <w:style w:type="character" w:customStyle="1" w:styleId="25">
    <w:name w:val="样式1"/>
    <w:basedOn w:val="16"/>
    <w:qFormat/>
    <w:uiPriority w:val="0"/>
    <w:rPr>
      <w:rFonts w:ascii="Calibri" w:hAnsi="Calibri" w:eastAsia="微软雅黑"/>
      <w:b/>
      <w:sz w:val="30"/>
      <w:shd w:val="clear" w:color="auto" w:fill="5B9BD5" w:themeFill="accent1"/>
    </w:rPr>
  </w:style>
  <w:style w:type="paragraph" w:customStyle="1" w:styleId="26">
    <w:name w:val="彩色列表 - 着色 11"/>
    <w:basedOn w:val="1"/>
    <w:qFormat/>
    <w:uiPriority w:val="34"/>
    <w:pPr>
      <w:ind w:firstLine="420" w:firstLineChars="200"/>
    </w:pPr>
  </w:style>
  <w:style w:type="paragraph" w:customStyle="1" w:styleId="27">
    <w:name w:val="_Style 3"/>
    <w:basedOn w:val="1"/>
    <w:qFormat/>
    <w:uiPriority w:val="34"/>
    <w:pPr>
      <w:ind w:firstLine="420" w:firstLineChars="200"/>
    </w:pPr>
  </w:style>
  <w:style w:type="character" w:customStyle="1" w:styleId="28">
    <w:name w:val="标题 2 字符"/>
    <w:link w:val="3"/>
    <w:qFormat/>
    <w:uiPriority w:val="0"/>
    <w:rPr>
      <w:rFonts w:ascii="Arial" w:hAnsi="Arial" w:eastAsia="黑体"/>
      <w:b/>
      <w:sz w:val="32"/>
    </w:rPr>
  </w:style>
  <w:style w:type="paragraph" w:customStyle="1" w:styleId="29">
    <w:name w:val="样式3"/>
    <w:basedOn w:val="3"/>
    <w:qFormat/>
    <w:uiPriority w:val="0"/>
  </w:style>
  <w:style w:type="character" w:customStyle="1" w:styleId="30">
    <w:name w:val="批注文字 字符"/>
    <w:basedOn w:val="16"/>
    <w:link w:val="4"/>
    <w:qFormat/>
    <w:uiPriority w:val="0"/>
    <w:rPr>
      <w:rFonts w:ascii="Times New Roman" w:hAnsi="Times New Roman" w:eastAsia="宋体" w:cs="Times New Roman"/>
      <w:kern w:val="2"/>
      <w:sz w:val="21"/>
      <w:szCs w:val="24"/>
    </w:rPr>
  </w:style>
  <w:style w:type="character" w:customStyle="1" w:styleId="31">
    <w:name w:val="批注主题 字符"/>
    <w:basedOn w:val="30"/>
    <w:link w:val="12"/>
    <w:qFormat/>
    <w:uiPriority w:val="0"/>
    <w:rPr>
      <w:rFonts w:ascii="Times New Roman" w:hAnsi="Times New Roman" w:eastAsia="宋体" w:cs="Times New Roman"/>
      <w:b/>
      <w:bCs/>
      <w:kern w:val="2"/>
      <w:sz w:val="21"/>
      <w:szCs w:val="24"/>
    </w:rPr>
  </w:style>
  <w:style w:type="character" w:customStyle="1" w:styleId="32">
    <w:name w:val="批注框文本 字符"/>
    <w:basedOn w:val="16"/>
    <w:link w:val="6"/>
    <w:qFormat/>
    <w:uiPriority w:val="0"/>
    <w:rPr>
      <w:rFonts w:ascii="Times New Roman" w:hAnsi="Times New Roman" w:eastAsia="宋体" w:cs="Times New Roman"/>
      <w:kern w:val="2"/>
      <w:sz w:val="18"/>
      <w:szCs w:val="18"/>
    </w:rPr>
  </w:style>
  <w:style w:type="character" w:customStyle="1" w:styleId="33">
    <w:name w:val="页脚 字符"/>
    <w:basedOn w:val="16"/>
    <w:link w:val="7"/>
    <w:qFormat/>
    <w:uiPriority w:val="99"/>
    <w:rPr>
      <w:rFonts w:ascii="Times New Roman" w:hAnsi="Times New Roman" w:eastAsia="宋体" w:cs="Times New Roman"/>
      <w:kern w:val="2"/>
      <w:sz w:val="18"/>
      <w:szCs w:val="18"/>
    </w:rPr>
  </w:style>
  <w:style w:type="character" w:customStyle="1" w:styleId="34">
    <w:name w:val="dynatree-icon"/>
    <w:basedOn w:val="16"/>
    <w:qFormat/>
    <w:uiPriority w:val="0"/>
  </w:style>
  <w:style w:type="character" w:customStyle="1" w:styleId="35">
    <w:name w:val="dynatree-icon1"/>
    <w:basedOn w:val="16"/>
    <w:qFormat/>
    <w:uiPriority w:val="0"/>
  </w:style>
  <w:style w:type="character" w:customStyle="1" w:styleId="36">
    <w:name w:val="dynatree-icon2"/>
    <w:basedOn w:val="16"/>
    <w:qFormat/>
    <w:uiPriority w:val="0"/>
  </w:style>
  <w:style w:type="character" w:customStyle="1" w:styleId="37">
    <w:name w:val="dynatree-icon3"/>
    <w:basedOn w:val="16"/>
    <w:qFormat/>
    <w:uiPriority w:val="0"/>
  </w:style>
  <w:style w:type="character" w:customStyle="1" w:styleId="38">
    <w:name w:val="dynatree-icon4"/>
    <w:basedOn w:val="16"/>
    <w:qFormat/>
    <w:uiPriority w:val="0"/>
  </w:style>
  <w:style w:type="character" w:customStyle="1" w:styleId="39">
    <w:name w:val="switch-large"/>
    <w:basedOn w:val="16"/>
    <w:qFormat/>
    <w:uiPriority w:val="0"/>
    <w:rPr>
      <w:sz w:val="24"/>
      <w:szCs w:val="24"/>
    </w:rPr>
  </w:style>
  <w:style w:type="character" w:customStyle="1" w:styleId="40">
    <w:name w:val="switch-info"/>
    <w:basedOn w:val="16"/>
    <w:qFormat/>
    <w:uiPriority w:val="0"/>
    <w:rPr>
      <w:color w:val="FFFFFF"/>
      <w:shd w:val="clear" w:color="auto" w:fill="41A7C5"/>
    </w:rPr>
  </w:style>
  <w:style w:type="character" w:customStyle="1" w:styleId="41">
    <w:name w:val="dynatree-empty"/>
    <w:basedOn w:val="16"/>
    <w:qFormat/>
    <w:uiPriority w:val="0"/>
  </w:style>
  <w:style w:type="character" w:customStyle="1" w:styleId="42">
    <w:name w:val="dynatree-expander"/>
    <w:basedOn w:val="16"/>
    <w:qFormat/>
    <w:uiPriority w:val="0"/>
  </w:style>
  <w:style w:type="character" w:customStyle="1" w:styleId="43">
    <w:name w:val="dynatree-expander1"/>
    <w:basedOn w:val="16"/>
    <w:qFormat/>
    <w:uiPriority w:val="0"/>
  </w:style>
  <w:style w:type="character" w:customStyle="1" w:styleId="44">
    <w:name w:val="dynatree-expander2"/>
    <w:basedOn w:val="16"/>
    <w:qFormat/>
    <w:uiPriority w:val="0"/>
  </w:style>
  <w:style w:type="character" w:customStyle="1" w:styleId="45">
    <w:name w:val="dynatree-expander3"/>
    <w:basedOn w:val="16"/>
    <w:qFormat/>
    <w:uiPriority w:val="0"/>
  </w:style>
  <w:style w:type="character" w:customStyle="1" w:styleId="46">
    <w:name w:val="dynatree-expander4"/>
    <w:basedOn w:val="16"/>
    <w:qFormat/>
    <w:uiPriority w:val="0"/>
  </w:style>
  <w:style w:type="character" w:customStyle="1" w:styleId="47">
    <w:name w:val="switch-danger"/>
    <w:basedOn w:val="16"/>
    <w:qFormat/>
    <w:uiPriority w:val="0"/>
    <w:rPr>
      <w:color w:val="FFFFFF"/>
      <w:shd w:val="clear" w:color="auto" w:fill="D14641"/>
    </w:rPr>
  </w:style>
  <w:style w:type="character" w:customStyle="1" w:styleId="48">
    <w:name w:val="dynatree-drag-source"/>
    <w:basedOn w:val="16"/>
    <w:qFormat/>
    <w:uiPriority w:val="0"/>
    <w:rPr>
      <w:shd w:val="clear" w:color="auto" w:fill="E0E0E0"/>
    </w:rPr>
  </w:style>
  <w:style w:type="character" w:customStyle="1" w:styleId="49">
    <w:name w:val="dynatree-drag-helper-img"/>
    <w:basedOn w:val="16"/>
    <w:qFormat/>
    <w:uiPriority w:val="0"/>
  </w:style>
  <w:style w:type="character" w:customStyle="1" w:styleId="50">
    <w:name w:val="dynatree-drag-helper-img1"/>
    <w:basedOn w:val="16"/>
    <w:qFormat/>
    <w:uiPriority w:val="0"/>
  </w:style>
  <w:style w:type="character" w:customStyle="1" w:styleId="51">
    <w:name w:val="dynatree-drag-helper-img2"/>
    <w:basedOn w:val="16"/>
    <w:qFormat/>
    <w:uiPriority w:val="0"/>
  </w:style>
  <w:style w:type="character" w:customStyle="1" w:styleId="52">
    <w:name w:val="switch-mini"/>
    <w:basedOn w:val="16"/>
    <w:qFormat/>
    <w:uiPriority w:val="0"/>
    <w:rPr>
      <w:sz w:val="15"/>
      <w:szCs w:val="15"/>
    </w:rPr>
  </w:style>
  <w:style w:type="character" w:customStyle="1" w:styleId="53">
    <w:name w:val="switch-small"/>
    <w:basedOn w:val="16"/>
    <w:qFormat/>
    <w:uiPriority w:val="0"/>
    <w:rPr>
      <w:sz w:val="18"/>
      <w:szCs w:val="18"/>
    </w:rPr>
  </w:style>
  <w:style w:type="character" w:customStyle="1" w:styleId="54">
    <w:name w:val="switch-right"/>
    <w:basedOn w:val="16"/>
    <w:qFormat/>
    <w:uiPriority w:val="0"/>
    <w:rPr>
      <w:color w:val="333333"/>
      <w:shd w:val="clear" w:color="auto" w:fill="F0F0F0"/>
    </w:rPr>
  </w:style>
  <w:style w:type="character" w:customStyle="1" w:styleId="55">
    <w:name w:val="switch-primary"/>
    <w:basedOn w:val="16"/>
    <w:qFormat/>
    <w:uiPriority w:val="0"/>
    <w:rPr>
      <w:color w:val="FFFFFF"/>
      <w:shd w:val="clear" w:color="auto" w:fill="005FCC"/>
    </w:rPr>
  </w:style>
  <w:style w:type="character" w:customStyle="1" w:styleId="56">
    <w:name w:val="switch-left"/>
    <w:basedOn w:val="16"/>
    <w:qFormat/>
    <w:uiPriority w:val="0"/>
    <w:rPr>
      <w:color w:val="FFFFFF"/>
      <w:shd w:val="clear" w:color="auto" w:fill="005FCC"/>
    </w:rPr>
  </w:style>
  <w:style w:type="character" w:customStyle="1" w:styleId="57">
    <w:name w:val="switch-success"/>
    <w:basedOn w:val="16"/>
    <w:qFormat/>
    <w:uiPriority w:val="0"/>
    <w:rPr>
      <w:color w:val="FFFFFF"/>
      <w:shd w:val="clear" w:color="auto" w:fill="58B058"/>
    </w:rPr>
  </w:style>
  <w:style w:type="character" w:customStyle="1" w:styleId="58">
    <w:name w:val="switch-warning"/>
    <w:basedOn w:val="16"/>
    <w:qFormat/>
    <w:uiPriority w:val="0"/>
    <w:rPr>
      <w:color w:val="FFFFFF"/>
      <w:shd w:val="clear" w:color="auto" w:fill="F9A123"/>
    </w:rPr>
  </w:style>
  <w:style w:type="character" w:customStyle="1" w:styleId="59">
    <w:name w:val="old"/>
    <w:basedOn w:val="16"/>
    <w:qFormat/>
    <w:uiPriority w:val="0"/>
    <w:rPr>
      <w:color w:val="999999"/>
    </w:rPr>
  </w:style>
  <w:style w:type="character" w:customStyle="1" w:styleId="60">
    <w:name w:val="hover9"/>
    <w:basedOn w:val="16"/>
    <w:qFormat/>
    <w:uiPriority w:val="0"/>
    <w:rPr>
      <w:shd w:val="clear" w:color="auto" w:fill="EEEEEE"/>
    </w:rPr>
  </w:style>
  <w:style w:type="character" w:customStyle="1" w:styleId="61">
    <w:name w:val="dynatree-connector"/>
    <w:basedOn w:val="16"/>
    <w:qFormat/>
    <w:uiPriority w:val="0"/>
  </w:style>
  <w:style w:type="character" w:customStyle="1" w:styleId="62">
    <w:name w:val="dynatree-vline"/>
    <w:basedOn w:val="16"/>
    <w:qFormat/>
    <w:uiPriority w:val="0"/>
  </w:style>
  <w:style w:type="character" w:customStyle="1" w:styleId="63">
    <w:name w:val="dynatree-checkbox"/>
    <w:basedOn w:val="16"/>
    <w:qFormat/>
    <w:uiPriority w:val="0"/>
  </w:style>
  <w:style w:type="character" w:customStyle="1" w:styleId="64">
    <w:name w:val="dynatree-checkbox1"/>
    <w:basedOn w:val="16"/>
    <w:qFormat/>
    <w:uiPriority w:val="0"/>
  </w:style>
  <w:style w:type="character" w:customStyle="1" w:styleId="65">
    <w:name w:val="dynatree-checkbox2"/>
    <w:basedOn w:val="16"/>
    <w:qFormat/>
    <w:uiPriority w:val="0"/>
  </w:style>
  <w:style w:type="character" w:customStyle="1" w:styleId="66">
    <w:name w:val="dynatree-radio"/>
    <w:basedOn w:val="16"/>
    <w:qFormat/>
    <w:uiPriority w:val="0"/>
  </w:style>
  <w:style w:type="character" w:customStyle="1" w:styleId="67">
    <w:name w:val="dynatree-radio1"/>
    <w:basedOn w:val="16"/>
    <w:qFormat/>
    <w:uiPriority w:val="0"/>
  </w:style>
  <w:style w:type="character" w:customStyle="1" w:styleId="68">
    <w:name w:val="dynatree-radio2"/>
    <w:basedOn w:val="16"/>
    <w:qFormat/>
    <w:uiPriority w:val="0"/>
  </w:style>
  <w:style w:type="character" w:customStyle="1" w:styleId="69">
    <w:name w:val="layui-this"/>
    <w:basedOn w:val="16"/>
    <w:qFormat/>
    <w:uiPriority w:val="0"/>
    <w:rPr>
      <w:bdr w:val="single" w:color="EEEEEE" w:sz="6" w:space="0"/>
      <w:shd w:val="clear" w:color="auto" w:fill="FFFFFF"/>
    </w:rPr>
  </w:style>
  <w:style w:type="character" w:customStyle="1" w:styleId="70">
    <w:name w:val="first-child"/>
    <w:basedOn w:val="16"/>
    <w:qFormat/>
    <w:uiPriority w:val="0"/>
  </w:style>
  <w:style w:type="character" w:customStyle="1" w:styleId="71">
    <w:name w:val="dynatree-expander5"/>
    <w:basedOn w:val="16"/>
    <w:qFormat/>
    <w:uiPriority w:val="0"/>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16</Pages>
  <Words>5607</Words>
  <Characters>6026</Characters>
  <Lines>70</Lines>
  <Paragraphs>19</Paragraphs>
  <TotalTime>30</TotalTime>
  <ScaleCrop>false</ScaleCrop>
  <LinksUpToDate>false</LinksUpToDate>
  <CharactersWithSpaces>6345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2021-09-29T08:14:00Z</dcterms:created>
  <dc:creator>331</dc:creator>
  <cp:lastModifiedBy>冰冰⊙▽⊙＊</cp:lastModifiedBy>
  <cp:lastPrinted>2022-09-19T02:59:00Z</cp:lastPrinted>
  <dcterms:modified xsi:type="dcterms:W3CDTF">2023-02-07T07:32:28Z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68E41B053540436C85B999239041AD22</vt:lpwstr>
  </property>
</Properties>
</file>