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3A" w:rsidRDefault="006B413A">
      <w:pPr>
        <w:jc w:val="center"/>
        <w:rPr>
          <w:rFonts w:ascii="黑体" w:eastAsia="黑体" w:hAnsi="黑体" w:cs="宋体"/>
          <w:b/>
          <w:spacing w:val="-8"/>
          <w:sz w:val="10"/>
          <w:szCs w:val="10"/>
        </w:rPr>
      </w:pPr>
    </w:p>
    <w:p w:rsidR="006B413A" w:rsidRDefault="00385057">
      <w:pPr>
        <w:jc w:val="center"/>
        <w:rPr>
          <w:rFonts w:ascii="黑体" w:eastAsia="黑体" w:hAnsi="黑体" w:cs="宋体"/>
          <w:b/>
          <w:spacing w:val="-8"/>
          <w:sz w:val="44"/>
          <w:szCs w:val="44"/>
        </w:rPr>
      </w:pPr>
      <w:r>
        <w:rPr>
          <w:rFonts w:ascii="黑体" w:eastAsia="黑体" w:hAnsi="黑体" w:cs="宋体" w:hint="eastAsia"/>
          <w:b/>
          <w:spacing w:val="-8"/>
          <w:sz w:val="44"/>
          <w:szCs w:val="44"/>
        </w:rPr>
        <w:t>中国人民大学</w:t>
      </w:r>
      <w:r>
        <w:rPr>
          <w:rFonts w:ascii="黑体" w:eastAsia="黑体" w:hAnsi="黑体" w:cs="宋体"/>
          <w:b/>
          <w:spacing w:val="-8"/>
          <w:sz w:val="44"/>
          <w:szCs w:val="44"/>
        </w:rPr>
        <w:t>金融</w:t>
      </w:r>
      <w:r w:rsidR="00953A87">
        <w:rPr>
          <w:rFonts w:ascii="黑体" w:eastAsia="黑体" w:hAnsi="黑体" w:cs="宋体" w:hint="eastAsia"/>
          <w:b/>
          <w:spacing w:val="-8"/>
          <w:sz w:val="44"/>
          <w:szCs w:val="44"/>
        </w:rPr>
        <w:t>与</w:t>
      </w:r>
      <w:r>
        <w:rPr>
          <w:rFonts w:ascii="黑体" w:eastAsia="黑体" w:hAnsi="黑体" w:cs="宋体"/>
          <w:b/>
          <w:spacing w:val="-8"/>
          <w:sz w:val="44"/>
          <w:szCs w:val="44"/>
        </w:rPr>
        <w:t>投资</w:t>
      </w:r>
      <w:r w:rsidR="00953A87">
        <w:rPr>
          <w:rFonts w:ascii="黑体" w:eastAsia="黑体" w:hAnsi="黑体" w:cs="宋体" w:hint="eastAsia"/>
          <w:b/>
          <w:spacing w:val="-8"/>
          <w:sz w:val="44"/>
          <w:szCs w:val="44"/>
        </w:rPr>
        <w:t>高级</w:t>
      </w:r>
      <w:r w:rsidR="00195CF9">
        <w:rPr>
          <w:rFonts w:ascii="黑体" w:eastAsia="黑体" w:hAnsi="黑体" w:cs="宋体" w:hint="eastAsia"/>
          <w:b/>
          <w:spacing w:val="-8"/>
          <w:sz w:val="44"/>
          <w:szCs w:val="44"/>
        </w:rPr>
        <w:t>研修</w:t>
      </w:r>
      <w:r>
        <w:rPr>
          <w:rFonts w:ascii="黑体" w:eastAsia="黑体" w:hAnsi="黑体" w:cs="宋体" w:hint="eastAsia"/>
          <w:b/>
          <w:spacing w:val="-8"/>
          <w:sz w:val="44"/>
          <w:szCs w:val="44"/>
        </w:rPr>
        <w:t>班</w:t>
      </w:r>
    </w:p>
    <w:p w:rsidR="006B413A" w:rsidRDefault="00385057">
      <w:pPr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/>
          <w:b/>
          <w:sz w:val="44"/>
          <w:szCs w:val="44"/>
        </w:rPr>
        <w:t>招</w:t>
      </w:r>
      <w:r>
        <w:rPr>
          <w:rFonts w:ascii="黑体" w:eastAsia="黑体" w:hAnsi="黑体" w:cs="宋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宋体"/>
          <w:b/>
          <w:sz w:val="44"/>
          <w:szCs w:val="44"/>
        </w:rPr>
        <w:t>生</w:t>
      </w:r>
      <w:r>
        <w:rPr>
          <w:rFonts w:ascii="黑体" w:eastAsia="黑体" w:hAnsi="黑体" w:cs="宋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宋体"/>
          <w:b/>
          <w:sz w:val="44"/>
          <w:szCs w:val="44"/>
        </w:rPr>
        <w:t>简</w:t>
      </w:r>
      <w:r>
        <w:rPr>
          <w:rFonts w:ascii="黑体" w:eastAsia="黑体" w:hAnsi="黑体" w:cs="宋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宋体"/>
          <w:b/>
          <w:sz w:val="44"/>
          <w:szCs w:val="44"/>
        </w:rPr>
        <w:t xml:space="preserve">章 </w:t>
      </w:r>
    </w:p>
    <w:p w:rsidR="006B413A" w:rsidRDefault="00385057" w:rsidP="00B826AF">
      <w:pPr>
        <w:widowControl/>
        <w:tabs>
          <w:tab w:val="center" w:pos="4153"/>
        </w:tabs>
        <w:spacing w:afterLines="50" w:after="156" w:line="360" w:lineRule="auto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【研修背景】</w:t>
      </w:r>
    </w:p>
    <w:p w:rsidR="006B413A" w:rsidRDefault="00385057" w:rsidP="00B826AF">
      <w:pPr>
        <w:adjustRightInd w:val="0"/>
        <w:snapToGrid w:val="0"/>
        <w:spacing w:afterLines="50" w:after="156" w:line="420" w:lineRule="atLeas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当前，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中国金融政策及热点问题越来越受到广泛关注，国内、国际金融市场高度关联并互相产生深远影响。无论您处在哪一个行业，无论您的企业是大是小，都面临着如何利用资本市场实现持续发展和快速增值的问题，本课程将以全新的理念，帮您探究突破瓶颈的有效路径。可以让您明确方向，发现投资价值，掌握投资成功之道，确立领先地位，并有效地达到目标，保持持续的赢利能力。</w:t>
      </w:r>
    </w:p>
    <w:p w:rsidR="006B413A" w:rsidRDefault="00385057" w:rsidP="00195CF9">
      <w:pPr>
        <w:pStyle w:val="a7"/>
        <w:widowControl/>
        <w:shd w:val="clear" w:color="auto" w:fill="FFFFFF"/>
        <w:snapToGrid w:val="0"/>
        <w:spacing w:before="75" w:beforeAutospacing="0" w:after="75" w:afterAutospacing="0" w:line="420" w:lineRule="atLeast"/>
        <w:ind w:firstLineChars="240" w:firstLine="576"/>
        <w:rPr>
          <w:rFonts w:ascii="微软雅黑" w:eastAsia="微软雅黑" w:hAnsi="微软雅黑" w:cs="宋体"/>
          <w:szCs w:val="24"/>
        </w:rPr>
      </w:pPr>
      <w:r>
        <w:rPr>
          <w:rFonts w:ascii="微软雅黑" w:eastAsia="微软雅黑" w:hAnsi="微软雅黑" w:cs="宋体" w:hint="eastAsia"/>
          <w:szCs w:val="24"/>
        </w:rPr>
        <w:t>金融投资主要是通过研究价值判断和价值规律，充分分析行业、产业发展趋势，运用投资方法实现资本创收最大化。金融活动充分反映市场变化，体现及时性，西方经济学从资本投资的角度从根本进行经济的分析与应用。金融投资与金融市场分析方向，包含金融投资，金融市场分析，融投资实践方法，公司金融，企业战略等投资与分析类课程，同时接入网络经济的物联网概念课程。在这里，我们将与您共同探索新金融时代投资的全新理念，破除传统的迷思，破解最卓越者的成功基因，把握新制胜的法则，共同开创高回报的实战课程。</w:t>
      </w:r>
    </w:p>
    <w:p w:rsidR="006B413A" w:rsidRDefault="00385057" w:rsidP="00B826AF">
      <w:pPr>
        <w:widowControl/>
        <w:tabs>
          <w:tab w:val="center" w:pos="4153"/>
        </w:tabs>
        <w:spacing w:afterLines="50" w:after="156" w:line="360" w:lineRule="auto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【招生对象】</w:t>
      </w:r>
    </w:p>
    <w:p w:rsidR="006B413A" w:rsidRDefault="00385057">
      <w:pPr>
        <w:snapToGrid w:val="0"/>
        <w:spacing w:line="400" w:lineRule="atLeast"/>
        <w:ind w:firstLine="42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各类民营企业董事长、总经理及高层管理人员等。</w:t>
      </w:r>
    </w:p>
    <w:p w:rsidR="006B413A" w:rsidRDefault="00385057" w:rsidP="00B826AF">
      <w:pPr>
        <w:widowControl/>
        <w:spacing w:afterLines="50" w:after="156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【教学管理</w:t>
      </w:r>
      <w:r>
        <w:rPr>
          <w:rFonts w:ascii="微软雅黑" w:eastAsia="微软雅黑" w:hAnsi="微软雅黑" w:cs="微软雅黑" w:hint="eastAsia"/>
          <w:color w:val="943634"/>
          <w:kern w:val="0"/>
          <w:sz w:val="26"/>
          <w:szCs w:val="26"/>
        </w:rPr>
        <w:t>】</w:t>
      </w: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 xml:space="preserve"> </w:t>
      </w:r>
    </w:p>
    <w:p w:rsidR="006B413A" w:rsidRDefault="00385057" w:rsidP="00B826AF">
      <w:pPr>
        <w:widowControl/>
        <w:adjustRightInd w:val="0"/>
        <w:snapToGrid w:val="0"/>
        <w:spacing w:afterLines="50" w:after="156"/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zCs w:val="24"/>
        </w:rPr>
        <w:t>设立班主任专职管理，确保良好的教学质量及教学环境。班级建立班委会，做好班级自我管理并搭建学员与学校的沟通桥梁。</w:t>
      </w:r>
    </w:p>
    <w:p w:rsidR="006B413A" w:rsidRDefault="00385057" w:rsidP="00B826AF">
      <w:pPr>
        <w:widowControl/>
        <w:spacing w:afterLines="50" w:after="156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【学习时间】</w:t>
      </w:r>
    </w:p>
    <w:p w:rsidR="006B413A" w:rsidRDefault="00385057">
      <w:pPr>
        <w:pStyle w:val="a3"/>
        <w:ind w:firstLineChars="100" w:firstLine="240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2021年4月</w:t>
      </w:r>
      <w:r w:rsidR="000608E5"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10开课，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每月确定一个周末集中授课2-3</w:t>
      </w:r>
      <w:r w:rsidR="00953A87"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天</w:t>
      </w:r>
      <w:r>
        <w:rPr>
          <w:rFonts w:ascii="微软雅黑" w:eastAsia="微软雅黑" w:hAnsi="微软雅黑" w:cs="微软雅黑" w:hint="eastAsia"/>
          <w:kern w:val="0"/>
          <w:sz w:val="24"/>
          <w:szCs w:val="24"/>
          <w:lang w:val="en-US" w:bidi="ar-SA"/>
        </w:rPr>
        <w:t>（由于疫情具体开课时间等学校另行通知）</w:t>
      </w:r>
    </w:p>
    <w:p w:rsidR="006B413A" w:rsidRDefault="00385057">
      <w:pPr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【授课地点】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北京，中国人民大学</w:t>
      </w:r>
    </w:p>
    <w:p w:rsidR="00195CF9" w:rsidRDefault="00195CF9">
      <w:pPr>
        <w:rPr>
          <w:rFonts w:ascii="微软雅黑" w:eastAsia="微软雅黑" w:hAnsi="微软雅黑" w:cs="微软雅黑"/>
          <w:kern w:val="0"/>
          <w:sz w:val="24"/>
          <w:szCs w:val="24"/>
        </w:rPr>
      </w:pPr>
    </w:p>
    <w:p w:rsidR="006B413A" w:rsidRDefault="00385057" w:rsidP="00B826AF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lastRenderedPageBreak/>
        <w:t>【课程安排】</w:t>
      </w:r>
    </w:p>
    <w:tbl>
      <w:tblPr>
        <w:tblpPr w:leftFromText="180" w:rightFromText="180" w:vertAnchor="text" w:horzAnchor="margin" w:tblpXSpec="center" w:tblpY="2"/>
        <w:tblW w:w="90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79"/>
        <w:gridCol w:w="4822"/>
      </w:tblGrid>
      <w:tr w:rsidR="006B413A">
        <w:trPr>
          <w:trHeight w:val="492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金融与投资基础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模块二：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宏观形势与热点问题分析</w:t>
            </w:r>
          </w:p>
        </w:tc>
      </w:tr>
      <w:tr w:rsidR="006B413A">
        <w:trPr>
          <w:trHeight w:val="1277"/>
          <w:tblCellSpacing w:w="0" w:type="dxa"/>
        </w:trPr>
        <w:tc>
          <w:tcPr>
            <w:tcW w:w="4179" w:type="dxa"/>
            <w:tcBorders>
              <w:right w:val="single" w:sz="12" w:space="0" w:color="auto"/>
            </w:tcBorders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汇率决定理论与人民币汇率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历史上的金融与金融家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货币金融学基础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金融衍生产品的发展趋势</w:t>
            </w:r>
          </w:p>
        </w:tc>
        <w:tc>
          <w:tcPr>
            <w:tcW w:w="4822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宏观经济形势分析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全球产业格局变化与新兴产业发展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全球（中国）经济金融变化趋势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宏观经济监测预警</w:t>
            </w:r>
          </w:p>
        </w:tc>
      </w:tr>
      <w:tr w:rsidR="006B413A">
        <w:trPr>
          <w:trHeight w:val="432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模块三：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24"/>
                <w:szCs w:val="24"/>
              </w:rPr>
              <w:t>多层次资本市场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模块四：投资决策与风险管理</w:t>
            </w:r>
          </w:p>
        </w:tc>
      </w:tr>
      <w:tr w:rsidR="006B413A">
        <w:trPr>
          <w:trHeight w:val="1958"/>
          <w:tblCellSpacing w:w="0" w:type="dxa"/>
        </w:trPr>
        <w:tc>
          <w:tcPr>
            <w:tcW w:w="4179" w:type="dxa"/>
          </w:tcPr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数字技术支持下的现代经济体系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创业融资和创业投资基金及资本市场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财富的下一个风口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区块链及其投资分析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主板市场的变革与创新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中国资本市场现状和挑战</w:t>
            </w:r>
          </w:p>
        </w:tc>
        <w:tc>
          <w:tcPr>
            <w:tcW w:w="4822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投资风险管理与防范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投资人和企业家关系处理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投资分析中的最新思想与发展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投资战略与投资回报分析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投资决策流程管理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VC/PE金融经济价值</w:t>
            </w:r>
          </w:p>
        </w:tc>
      </w:tr>
      <w:tr w:rsidR="006B413A">
        <w:trPr>
          <w:trHeight w:val="454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模块五：私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募股权投资</w:t>
            </w:r>
            <w:proofErr w:type="gramEnd"/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基金实务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模块六：证券投资及其他金融衍生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品投资</w:t>
            </w:r>
            <w:proofErr w:type="gramEnd"/>
          </w:p>
        </w:tc>
      </w:tr>
      <w:tr w:rsidR="006B413A">
        <w:trPr>
          <w:trHeight w:val="1168"/>
          <w:tblCellSpacing w:w="0" w:type="dxa"/>
        </w:trPr>
        <w:tc>
          <w:tcPr>
            <w:tcW w:w="4179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资产相对论、PE的文化与实务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私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募股权投资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基金运作实务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被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投项目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企业的治理架构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被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投项目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企业商业模式优化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被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投项目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企业融资后的管理</w:t>
            </w:r>
          </w:p>
          <w:p w:rsidR="006B413A" w:rsidRDefault="00385057">
            <w:pPr>
              <w:widowControl/>
              <w:tabs>
                <w:tab w:val="left" w:pos="360"/>
              </w:tabs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退出的价格和价值最大化 </w:t>
            </w:r>
          </w:p>
          <w:p w:rsidR="006B413A" w:rsidRDefault="00385057">
            <w:pPr>
              <w:widowControl/>
              <w:tabs>
                <w:tab w:val="left" w:pos="360"/>
              </w:tabs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 xml:space="preserve">多种退出渠道对比分析 </w:t>
            </w:r>
          </w:p>
          <w:p w:rsidR="006B413A" w:rsidRDefault="00385057">
            <w:pPr>
              <w:widowControl/>
              <w:tabs>
                <w:tab w:val="left" w:pos="360"/>
              </w:tabs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 xml:space="preserve">借壳上市与并购重组 </w:t>
            </w:r>
          </w:p>
          <w:p w:rsidR="006B413A" w:rsidRDefault="00385057">
            <w:pPr>
              <w:widowControl/>
              <w:tabs>
                <w:tab w:val="left" w:pos="360"/>
              </w:tabs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公司回购及其法律规定</w:t>
            </w:r>
          </w:p>
        </w:tc>
        <w:tc>
          <w:tcPr>
            <w:tcW w:w="4822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股道——碳黑投资哲学及投资策略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逆周期中的投资与决策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期货市场的产生、发展、演变、转型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价格发现、风险管理、资产配置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大宗商品与经济预测</w:t>
            </w:r>
          </w:p>
          <w:p w:rsidR="006B413A" w:rsidRDefault="00385057">
            <w:pPr>
              <w:widowControl/>
              <w:wordWrap w:val="0"/>
              <w:spacing w:line="307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股票期权市场特点及交易策略与技巧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期货在资本市场、金融体系中的地位和作用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>金融衍生品与金融危机的形成、征兆与防范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国际重大风险事件与金融监管体制演变</w:t>
            </w:r>
          </w:p>
        </w:tc>
      </w:tr>
      <w:tr w:rsidR="006B413A">
        <w:trPr>
          <w:trHeight w:val="454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lastRenderedPageBreak/>
              <w:t>模块七：企业融资模式与上市策略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模块八：估值、并购、重组实务</w:t>
            </w:r>
          </w:p>
        </w:tc>
      </w:tr>
      <w:tr w:rsidR="006B413A">
        <w:trPr>
          <w:trHeight w:val="639"/>
          <w:tblCellSpacing w:w="0" w:type="dxa"/>
        </w:trPr>
        <w:tc>
          <w:tcPr>
            <w:tcW w:w="4179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新三板挂牌、融资和做市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境外上市的策略分析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上市流程的关键阶段的相应策略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上市改制中的财务问题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上市改制中的法律问题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确定募资前的股权定价与权益分配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如何控制资本筹措的成本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改制方案设计主要内容</w:t>
            </w:r>
          </w:p>
        </w:tc>
        <w:tc>
          <w:tcPr>
            <w:tcW w:w="4822" w:type="dxa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现代公司估值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公司财务预测与估值模型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不同行业估值方法选择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不同类型股东并购重组的动机和行为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公司并购重组交易结构与支付方式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公司并购融资手段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公司并购重组估值方法和定价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公司并购目标的选择</w:t>
            </w:r>
          </w:p>
        </w:tc>
      </w:tr>
      <w:tr w:rsidR="006B413A">
        <w:trPr>
          <w:trHeight w:val="454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模块九：公司治理与资本运作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模块十：投资行为与心态的修炼</w:t>
            </w:r>
          </w:p>
        </w:tc>
      </w:tr>
      <w:tr w:rsidR="006B413A">
        <w:trPr>
          <w:trHeight w:val="1614"/>
          <w:tblCellSpacing w:w="0" w:type="dxa"/>
        </w:trPr>
        <w:tc>
          <w:tcPr>
            <w:tcW w:w="4179" w:type="dxa"/>
          </w:tcPr>
          <w:p w:rsidR="006B413A" w:rsidRDefault="00385057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企业战略规划与管理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现代公司治理创新与国际比较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大数据时代下企业创新与转型升级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互联网+金融与商业模式重构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股权投资推动企业发展</w:t>
            </w:r>
          </w:p>
        </w:tc>
        <w:tc>
          <w:tcPr>
            <w:tcW w:w="4822" w:type="dxa"/>
          </w:tcPr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国学智慧与金融投资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压力管理与良好心态修炼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金融心理学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国学智慧与投资博弈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人性的弱点与交易心理学</w:t>
            </w:r>
          </w:p>
        </w:tc>
      </w:tr>
      <w:tr w:rsidR="006B413A">
        <w:trPr>
          <w:trHeight w:val="501"/>
          <w:tblCellSpacing w:w="0" w:type="dxa"/>
        </w:trPr>
        <w:tc>
          <w:tcPr>
            <w:tcW w:w="9001" w:type="dxa"/>
            <w:gridSpan w:val="2"/>
            <w:vAlign w:val="center"/>
          </w:tcPr>
          <w:p w:rsidR="006B413A" w:rsidRDefault="00385057">
            <w:pPr>
              <w:widowControl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模块十一：金融投资案例解析</w:t>
            </w:r>
            <w:r w:rsidR="00953A87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（</w:t>
            </w:r>
            <w:proofErr w:type="gramStart"/>
            <w:r w:rsidR="00953A87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随以上</w:t>
            </w:r>
            <w:proofErr w:type="gramEnd"/>
            <w:r w:rsidR="00953A87">
              <w:rPr>
                <w:rFonts w:ascii="微软雅黑" w:eastAsia="微软雅黑" w:hAnsi="微软雅黑" w:cs="Arial" w:hint="eastAsia"/>
                <w:b/>
                <w:kern w:val="0"/>
                <w:sz w:val="24"/>
                <w:szCs w:val="24"/>
              </w:rPr>
              <w:t>课题做相应解析）</w:t>
            </w:r>
          </w:p>
        </w:tc>
      </w:tr>
      <w:tr w:rsidR="006B413A">
        <w:trPr>
          <w:trHeight w:val="1349"/>
          <w:tblCellSpacing w:w="0" w:type="dxa"/>
        </w:trPr>
        <w:tc>
          <w:tcPr>
            <w:tcW w:w="4179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能源企业与投资案例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影视传媒行业投资案例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>现代农业企业投资案例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健康产业投资案例</w:t>
            </w:r>
          </w:p>
        </w:tc>
        <w:tc>
          <w:tcPr>
            <w:tcW w:w="4822" w:type="dxa"/>
            <w:vAlign w:val="center"/>
          </w:tcPr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>高科技企业投资案例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装备制造业投资案例</w:t>
            </w:r>
          </w:p>
          <w:p w:rsidR="006B413A" w:rsidRDefault="00385057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>现代服务业投资案例</w:t>
            </w:r>
          </w:p>
          <w:p w:rsidR="006B413A" w:rsidRDefault="00385057">
            <w:pPr>
              <w:widowControl/>
              <w:rPr>
                <w:rFonts w:ascii="微软雅黑" w:eastAsia="微软雅黑" w:hAnsi="微软雅黑" w:cs="Arial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互联网、大数据投资案例</w:t>
            </w:r>
          </w:p>
        </w:tc>
      </w:tr>
    </w:tbl>
    <w:p w:rsidR="006B413A" w:rsidRDefault="006B413A" w:rsidP="00B826AF">
      <w:pPr>
        <w:widowControl/>
        <w:adjustRightInd w:val="0"/>
        <w:snapToGrid w:val="0"/>
        <w:spacing w:afterLines="50" w:after="156"/>
        <w:jc w:val="left"/>
        <w:rPr>
          <w:rFonts w:ascii="微软雅黑" w:eastAsia="微软雅黑" w:hAnsi="微软雅黑" w:cs="微软雅黑"/>
          <w:kern w:val="0"/>
          <w:sz w:val="26"/>
          <w:szCs w:val="26"/>
        </w:rPr>
      </w:pPr>
    </w:p>
    <w:p w:rsidR="006B413A" w:rsidRDefault="00385057" w:rsidP="00B826AF">
      <w:pPr>
        <w:widowControl/>
        <w:spacing w:afterLines="50" w:after="156" w:line="400" w:lineRule="exact"/>
        <w:jc w:val="left"/>
        <w:rPr>
          <w:rFonts w:ascii="微软雅黑" w:eastAsia="微软雅黑" w:hAnsi="微软雅黑" w:cs="微软雅黑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【拟邀师资】</w:t>
      </w:r>
      <w:r>
        <w:rPr>
          <w:rFonts w:ascii="微软雅黑" w:eastAsia="微软雅黑" w:hAnsi="微软雅黑" w:cs="微软雅黑" w:hint="eastAsia"/>
          <w:kern w:val="0"/>
          <w:sz w:val="26"/>
          <w:szCs w:val="26"/>
        </w:rPr>
        <w:t>中国人民大学等知名高校的专家教授。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王  文：中国人民大学重阳金融研究院执行院长、丝路学院副院长、特聘教授      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庞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 红：中国人民大学财政金融学院教授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胡  波：中国人民大学财政金融学院副教授</w:t>
      </w:r>
    </w:p>
    <w:p w:rsidR="00195CF9" w:rsidRDefault="00195CF9" w:rsidP="00195CF9">
      <w:pPr>
        <w:adjustRightInd w:val="0"/>
        <w:snapToGrid w:val="0"/>
        <w:ind w:leftChars="114" w:left="1199" w:hangingChars="400" w:hanging="96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杨  东：中国人民大学法学院副院长，教授，博导。中国人民大学金融创新与风险治理研究中心负责人。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黄卫平：</w:t>
      </w:r>
      <w:r w:rsidR="00195CF9">
        <w:rPr>
          <w:rFonts w:ascii="微软雅黑" w:eastAsia="微软雅黑" w:hAnsi="微软雅黑" w:cs="微软雅黑" w:hint="eastAsia"/>
          <w:kern w:val="0"/>
          <w:sz w:val="24"/>
          <w:szCs w:val="24"/>
        </w:rPr>
        <w:t>著名经济学家，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中国人民大学教授</w:t>
      </w:r>
      <w:r w:rsidR="00195CF9">
        <w:rPr>
          <w:rFonts w:ascii="微软雅黑" w:eastAsia="微软雅黑" w:hAnsi="微软雅黑" w:cs="微软雅黑" w:hint="eastAsia"/>
          <w:kern w:val="0"/>
          <w:sz w:val="24"/>
          <w:szCs w:val="24"/>
        </w:rPr>
        <w:t>，中央政治局学习主讲人。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涂光晋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：中国人民大学教授</w:t>
      </w:r>
    </w:p>
    <w:p w:rsidR="004A38C1" w:rsidRDefault="004A38C1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涂永红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：中国人民大学教授</w:t>
      </w:r>
    </w:p>
    <w:p w:rsidR="004A38C1" w:rsidRDefault="004A38C1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赵锡军：中国人民大学教授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孙健升：中国人民大学教授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翟东升：中国人民大学国际关系学院副院长，教授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黄  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嵩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：北京大学</w:t>
      </w:r>
      <w:r w:rsidR="00195CF9">
        <w:rPr>
          <w:rFonts w:ascii="微软雅黑" w:eastAsia="微软雅黑" w:hAnsi="微软雅黑" w:cs="微软雅黑" w:hint="eastAsia"/>
          <w:kern w:val="0"/>
          <w:sz w:val="24"/>
          <w:szCs w:val="24"/>
        </w:rPr>
        <w:t>金融与产业发展研究中心秘书长，北京大学金融学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副教授</w:t>
      </w:r>
      <w:r w:rsidR="00195CF9"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阚治东：东方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汇富创投管理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有限公司总裁 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洪  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磊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：中国证券投资基金业协会党委书记、会长</w:t>
      </w:r>
    </w:p>
    <w:p w:rsidR="006B413A" w:rsidRDefault="00385057">
      <w:pPr>
        <w:adjustRightInd w:val="0"/>
        <w:snapToGrid w:val="0"/>
        <w:ind w:firstLineChars="100" w:firstLine="24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温元凯：著名经济学家、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北京南洋林德投资顾问有限公司总裁</w:t>
      </w:r>
    </w:p>
    <w:p w:rsidR="006B413A" w:rsidRDefault="00385057">
      <w:pPr>
        <w:adjustRightInd w:val="0"/>
        <w:snapToGrid w:val="0"/>
        <w:ind w:leftChars="124" w:left="980" w:hangingChars="300" w:hanging="72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金岩石：</w:t>
      </w:r>
      <w:r>
        <w:rPr>
          <w:rFonts w:ascii="微软雅黑" w:eastAsia="微软雅黑" w:hAnsi="微软雅黑" w:cs="微软雅黑"/>
          <w:kern w:val="0"/>
          <w:sz w:val="24"/>
          <w:szCs w:val="24"/>
        </w:rPr>
        <w:t>独立经济学家，并任北京</w:t>
      </w:r>
      <w:proofErr w:type="gramStart"/>
      <w:r>
        <w:rPr>
          <w:rFonts w:ascii="微软雅黑" w:eastAsia="微软雅黑" w:hAnsi="微软雅黑" w:cs="微软雅黑"/>
          <w:kern w:val="0"/>
          <w:sz w:val="24"/>
          <w:szCs w:val="24"/>
        </w:rPr>
        <w:t>鑫</w:t>
      </w:r>
      <w:proofErr w:type="gramEnd"/>
      <w:r>
        <w:rPr>
          <w:rFonts w:ascii="微软雅黑" w:eastAsia="微软雅黑" w:hAnsi="微软雅黑" w:cs="微软雅黑"/>
          <w:kern w:val="0"/>
          <w:sz w:val="24"/>
          <w:szCs w:val="24"/>
        </w:rPr>
        <w:t>星伊顿投资顾问有限公司CEO</w:t>
      </w:r>
    </w:p>
    <w:p w:rsidR="004A38C1" w:rsidRDefault="00385057" w:rsidP="004A38C1">
      <w:pPr>
        <w:adjustRightInd w:val="0"/>
        <w:snapToGrid w:val="0"/>
        <w:ind w:leftChars="124" w:left="1220" w:hangingChars="400" w:hanging="96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徐  </w:t>
      </w:r>
      <w:r w:rsidR="006D3BBC">
        <w:rPr>
          <w:rFonts w:ascii="微软雅黑" w:eastAsia="微软雅黑" w:hAnsi="微软雅黑" w:cs="微软雅黑" w:hint="eastAsia"/>
          <w:kern w:val="0"/>
          <w:sz w:val="24"/>
          <w:szCs w:val="24"/>
        </w:rPr>
        <w:t>旻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：管理学博士，著名天使投资人。中国好项目电视节目评委，中小企业融资上市知名专家</w:t>
      </w:r>
    </w:p>
    <w:p w:rsidR="00AF1D80" w:rsidRDefault="004A38C1" w:rsidP="00AF1D80">
      <w:pPr>
        <w:adjustRightInd w:val="0"/>
        <w:snapToGrid w:val="0"/>
        <w:ind w:leftChars="124" w:left="1220" w:hangingChars="400" w:hanging="960"/>
        <w:jc w:val="left"/>
        <w:textAlignment w:val="baseline"/>
        <w:rPr>
          <w:rFonts w:ascii="微软雅黑" w:eastAsia="微软雅黑" w:hAnsi="微软雅黑" w:cs="微软雅黑" w:hint="eastAsia"/>
          <w:kern w:val="0"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靳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 毅：</w:t>
      </w:r>
      <w:r w:rsidRPr="004A38C1">
        <w:rPr>
          <w:rFonts w:ascii="微软雅黑" w:eastAsia="微软雅黑" w:hAnsi="微软雅黑" w:cs="微软雅黑" w:hint="eastAsia"/>
          <w:kern w:val="0"/>
          <w:sz w:val="24"/>
          <w:szCs w:val="24"/>
        </w:rPr>
        <w:t>创业黑马（创业板）投资副总裁，集团首席产品战略官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。</w:t>
      </w:r>
    </w:p>
    <w:p w:rsidR="006B413A" w:rsidRPr="00AF1D80" w:rsidRDefault="00385057" w:rsidP="00AF1D80">
      <w:pPr>
        <w:adjustRightInd w:val="0"/>
        <w:snapToGrid w:val="0"/>
        <w:jc w:val="left"/>
        <w:textAlignment w:val="baseline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【培训费用】</w:t>
      </w:r>
    </w:p>
    <w:p w:rsidR="006B413A" w:rsidRDefault="00385057">
      <w:pPr>
        <w:pStyle w:val="a7"/>
        <w:widowControl/>
        <w:spacing w:before="0" w:beforeAutospacing="0" w:after="0" w:afterAutospacing="0" w:line="500" w:lineRule="exact"/>
        <w:ind w:firstLineChars="100" w:firstLine="240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培训费：</w:t>
      </w:r>
      <w:r w:rsidR="00953A87">
        <w:rPr>
          <w:rFonts w:ascii="微软雅黑" w:eastAsia="微软雅黑" w:hAnsi="微软雅黑" w:cs="微软雅黑" w:hint="eastAsia"/>
          <w:bCs/>
          <w:szCs w:val="24"/>
        </w:rPr>
        <w:t>3</w:t>
      </w:r>
      <w:r>
        <w:rPr>
          <w:rFonts w:ascii="微软雅黑" w:eastAsia="微软雅黑" w:hAnsi="微软雅黑" w:cs="微软雅黑" w:hint="eastAsia"/>
          <w:bCs/>
          <w:szCs w:val="24"/>
        </w:rPr>
        <w:t>9800元 /人，包括上课、教材资料、教学场地、结业证书等费用。</w:t>
      </w:r>
    </w:p>
    <w:p w:rsidR="006B413A" w:rsidRDefault="00385057" w:rsidP="00B826AF">
      <w:pPr>
        <w:widowControl/>
        <w:spacing w:afterLines="50" w:after="156" w:line="500" w:lineRule="exact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【缴费方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式】</w:t>
      </w:r>
    </w:p>
    <w:p w:rsidR="006B413A" w:rsidRDefault="00385057" w:rsidP="000608E5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学员按招生简章的要求进行缴费汇款。学校收到培训费后，给学员开具培训费票据（中央非税收</w:t>
      </w:r>
      <w:proofErr w:type="gramStart"/>
      <w:r>
        <w:rPr>
          <w:rFonts w:ascii="微软雅黑" w:eastAsia="微软雅黑" w:hAnsi="微软雅黑" w:cs="微软雅黑" w:hint="eastAsia"/>
          <w:bCs/>
          <w:szCs w:val="24"/>
        </w:rPr>
        <w:t>入统一</w:t>
      </w:r>
      <w:proofErr w:type="gramEnd"/>
      <w:r>
        <w:rPr>
          <w:rFonts w:ascii="微软雅黑" w:eastAsia="微软雅黑" w:hAnsi="微软雅黑" w:cs="微软雅黑" w:hint="eastAsia"/>
          <w:bCs/>
          <w:szCs w:val="24"/>
        </w:rPr>
        <w:t>票据）。</w:t>
      </w:r>
    </w:p>
    <w:p w:rsidR="006B413A" w:rsidRDefault="00385057">
      <w:pPr>
        <w:pStyle w:val="a7"/>
        <w:widowControl/>
        <w:numPr>
          <w:ilvl w:val="0"/>
          <w:numId w:val="1"/>
        </w:numPr>
        <w:spacing w:before="0" w:beforeAutospacing="0" w:after="0" w:afterAutospacing="0" w:line="500" w:lineRule="exact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lastRenderedPageBreak/>
        <w:t>个人账户缴费： 请通过人大培训网发布的培训项目缴费链接（中国人民大学校园统一支付平台）进行缴费。</w:t>
      </w:r>
    </w:p>
    <w:p w:rsidR="006B413A" w:rsidRDefault="00385057" w:rsidP="000608E5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2）单位账户缴费：通过银行汇款缴费。</w:t>
      </w:r>
    </w:p>
    <w:p w:rsidR="006B413A" w:rsidRDefault="00385057" w:rsidP="000608E5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收款单位：中国人民大学</w:t>
      </w:r>
    </w:p>
    <w:p w:rsidR="006B413A" w:rsidRDefault="00385057" w:rsidP="000608E5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  <w:lang w:val="zh-CN"/>
        </w:rPr>
        <w:t>开</w:t>
      </w:r>
      <w:r>
        <w:rPr>
          <w:rFonts w:ascii="微软雅黑" w:eastAsia="微软雅黑" w:hAnsi="微软雅黑" w:cs="微软雅黑" w:hint="eastAsia"/>
          <w:bCs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Cs/>
          <w:szCs w:val="24"/>
          <w:lang w:val="zh-CN"/>
        </w:rPr>
        <w:t>户</w:t>
      </w:r>
      <w:r>
        <w:rPr>
          <w:rFonts w:ascii="微软雅黑" w:eastAsia="微软雅黑" w:hAnsi="微软雅黑" w:cs="微软雅黑" w:hint="eastAsia"/>
          <w:bCs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Cs/>
          <w:szCs w:val="24"/>
          <w:lang w:val="zh-CN"/>
        </w:rPr>
        <w:t>行：中国工商银行紫竹院支行</w:t>
      </w:r>
    </w:p>
    <w:p w:rsidR="006B413A" w:rsidRDefault="00385057" w:rsidP="000608E5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收款</w:t>
      </w:r>
      <w:proofErr w:type="gramStart"/>
      <w:r>
        <w:rPr>
          <w:rFonts w:ascii="微软雅黑" w:eastAsia="微软雅黑" w:hAnsi="微软雅黑" w:cs="微软雅黑" w:hint="eastAsia"/>
          <w:bCs/>
          <w:szCs w:val="24"/>
        </w:rPr>
        <w:t>帐号</w:t>
      </w:r>
      <w:proofErr w:type="gramEnd"/>
      <w:r>
        <w:rPr>
          <w:rFonts w:ascii="微软雅黑" w:eastAsia="微软雅黑" w:hAnsi="微软雅黑" w:cs="微软雅黑" w:hint="eastAsia"/>
          <w:bCs/>
          <w:szCs w:val="24"/>
        </w:rPr>
        <w:t>：0200 0076 0902 6400 244  </w:t>
      </w:r>
    </w:p>
    <w:p w:rsidR="006B413A" w:rsidRDefault="00385057" w:rsidP="00B826AF">
      <w:pPr>
        <w:widowControl/>
        <w:adjustRightInd w:val="0"/>
        <w:snapToGrid w:val="0"/>
        <w:spacing w:afterLines="50" w:after="156" w:line="500" w:lineRule="exact"/>
        <w:jc w:val="lef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特别说明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：汇款时“收款人（单位）”一栏均只填“中国人民大学”六字，在“用途/摘要”栏里填上“继续教育学院金融班 (学员姓名)培训费”。汇款后请将银行汇款凭单提交至项目联系人。</w:t>
      </w:r>
    </w:p>
    <w:p w:rsidR="00953A87" w:rsidRPr="00953A87" w:rsidRDefault="00953A87" w:rsidP="00953A87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b/>
          <w:bCs/>
          <w:color w:val="444D56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【报名条件】</w:t>
      </w:r>
    </w:p>
    <w:p w:rsidR="00953A87" w:rsidRPr="00953A87" w:rsidRDefault="00953A87" w:rsidP="00953A87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  <w:lang w:val="zh-CN"/>
        </w:rPr>
      </w:pPr>
      <w:r w:rsidRPr="00953A87">
        <w:rPr>
          <w:rFonts w:ascii="微软雅黑" w:eastAsia="微软雅黑" w:hAnsi="微软雅黑" w:cs="微软雅黑" w:hint="eastAsia"/>
          <w:bCs/>
          <w:szCs w:val="24"/>
          <w:lang w:val="zh-CN"/>
        </w:rPr>
        <w:t>1、拥护《中华人民共和国宪法》，遵守法律、法规，品行端正，思想政治表现好，优秀业务骨干，身体健康，并能坚持学习者。</w:t>
      </w:r>
    </w:p>
    <w:p w:rsidR="00953A87" w:rsidRPr="00953A87" w:rsidRDefault="00953A87" w:rsidP="00953A87">
      <w:pPr>
        <w:pStyle w:val="a7"/>
        <w:widowControl/>
        <w:spacing w:before="0" w:beforeAutospacing="0" w:after="0" w:afterAutospacing="0" w:line="500" w:lineRule="exact"/>
        <w:ind w:firstLineChars="152" w:firstLine="365"/>
        <w:rPr>
          <w:rFonts w:ascii="微软雅黑" w:eastAsia="微软雅黑" w:hAnsi="微软雅黑" w:cs="微软雅黑"/>
          <w:bCs/>
          <w:szCs w:val="24"/>
          <w:lang w:val="zh-CN"/>
        </w:rPr>
      </w:pPr>
      <w:r w:rsidRPr="00953A87">
        <w:rPr>
          <w:rFonts w:ascii="微软雅黑" w:eastAsia="微软雅黑" w:hAnsi="微软雅黑" w:cs="微软雅黑" w:hint="eastAsia"/>
          <w:bCs/>
          <w:szCs w:val="24"/>
          <w:lang w:val="zh-CN"/>
        </w:rPr>
        <w:t>2、具备大专以上学历者，均可报名参加学习。</w:t>
      </w:r>
    </w:p>
    <w:p w:rsidR="006B413A" w:rsidRDefault="00385057" w:rsidP="00B826AF">
      <w:pPr>
        <w:widowControl/>
        <w:spacing w:afterLines="50" w:after="156" w:line="500" w:lineRule="exact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【报名流程】</w:t>
      </w:r>
    </w:p>
    <w:p w:rsidR="006B413A" w:rsidRDefault="00385057">
      <w:pPr>
        <w:pStyle w:val="a7"/>
        <w:widowControl/>
        <w:numPr>
          <w:ilvl w:val="0"/>
          <w:numId w:val="2"/>
        </w:numPr>
        <w:spacing w:before="0" w:beforeAutospacing="0" w:after="0" w:afterAutospacing="0" w:line="500" w:lineRule="exact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填表：学员详细填写《报名申请表》。</w:t>
      </w:r>
    </w:p>
    <w:p w:rsidR="006B413A" w:rsidRDefault="00385057">
      <w:pPr>
        <w:pStyle w:val="a7"/>
        <w:widowControl/>
        <w:numPr>
          <w:ilvl w:val="0"/>
          <w:numId w:val="2"/>
        </w:numPr>
        <w:spacing w:before="0" w:beforeAutospacing="0" w:after="0" w:afterAutospacing="0" w:line="500" w:lineRule="exact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汇款：见缴费方式。</w:t>
      </w:r>
    </w:p>
    <w:p w:rsidR="006B413A" w:rsidRDefault="00385057">
      <w:pPr>
        <w:pStyle w:val="a7"/>
        <w:widowControl/>
        <w:numPr>
          <w:ilvl w:val="0"/>
          <w:numId w:val="2"/>
        </w:numPr>
        <w:spacing w:before="0" w:beforeAutospacing="0" w:after="0" w:afterAutospacing="0" w:line="500" w:lineRule="exact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报到：学员应按《上课通知书》时间准时报到，学员报到时携带下列资料:</w:t>
      </w:r>
    </w:p>
    <w:p w:rsidR="006B413A" w:rsidRDefault="00385057">
      <w:pPr>
        <w:pStyle w:val="a7"/>
        <w:widowControl/>
        <w:spacing w:before="0" w:beforeAutospacing="0" w:after="0" w:afterAutospacing="0" w:line="500" w:lineRule="exact"/>
        <w:ind w:firstLineChars="200" w:firstLine="480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(1)居民身份证复印件1份</w:t>
      </w:r>
    </w:p>
    <w:p w:rsidR="006B413A" w:rsidRDefault="00385057">
      <w:pPr>
        <w:pStyle w:val="a7"/>
        <w:widowControl/>
        <w:spacing w:before="0" w:beforeAutospacing="0" w:after="0" w:afterAutospacing="0" w:line="500" w:lineRule="exact"/>
        <w:ind w:firstLineChars="200" w:firstLine="480"/>
        <w:rPr>
          <w:rFonts w:ascii="微软雅黑" w:eastAsia="微软雅黑" w:hAnsi="微软雅黑" w:cs="微软雅黑"/>
          <w:bCs/>
          <w:color w:val="C00000"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(2)一寸电子版蓝底证件照2张</w:t>
      </w:r>
    </w:p>
    <w:p w:rsidR="006B413A" w:rsidRDefault="00385057">
      <w:pPr>
        <w:pStyle w:val="a7"/>
        <w:widowControl/>
        <w:spacing w:before="0" w:beforeAutospacing="0" w:after="0" w:afterAutospacing="0" w:line="500" w:lineRule="exact"/>
        <w:ind w:firstLineChars="200" w:firstLine="480"/>
        <w:rPr>
          <w:rFonts w:ascii="微软雅黑" w:eastAsia="微软雅黑" w:hAnsi="微软雅黑" w:cs="微软雅黑"/>
          <w:bCs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 xml:space="preserve">(3)名片2张 </w:t>
      </w:r>
    </w:p>
    <w:p w:rsidR="006B413A" w:rsidRDefault="00385057">
      <w:pPr>
        <w:pStyle w:val="a7"/>
        <w:widowControl/>
        <w:numPr>
          <w:ilvl w:val="0"/>
          <w:numId w:val="2"/>
        </w:numPr>
        <w:spacing w:before="0" w:beforeAutospacing="0" w:after="0" w:afterAutospacing="0" w:line="500" w:lineRule="exact"/>
        <w:rPr>
          <w:rFonts w:ascii="微软雅黑" w:eastAsia="微软雅黑" w:hAnsi="微软雅黑" w:cs="微软雅黑"/>
          <w:szCs w:val="24"/>
        </w:rPr>
      </w:pPr>
      <w:r>
        <w:rPr>
          <w:rFonts w:ascii="微软雅黑" w:eastAsia="微软雅黑" w:hAnsi="微软雅黑" w:cs="微软雅黑" w:hint="eastAsia"/>
          <w:bCs/>
          <w:szCs w:val="24"/>
        </w:rPr>
        <w:t>报名时间：</w:t>
      </w:r>
      <w:r>
        <w:rPr>
          <w:rFonts w:ascii="微软雅黑" w:eastAsia="微软雅黑" w:hAnsi="微软雅黑" w:cs="微软雅黑" w:hint="eastAsia"/>
          <w:szCs w:val="24"/>
        </w:rPr>
        <w:t>开课前均可报名。</w:t>
      </w:r>
    </w:p>
    <w:p w:rsidR="006B413A" w:rsidRDefault="00385057">
      <w:pPr>
        <w:pStyle w:val="a3"/>
        <w:spacing w:before="1" w:line="500" w:lineRule="exac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4"/>
          <w:szCs w:val="24"/>
        </w:rPr>
        <w:t>【</w:t>
      </w: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  <w:lang w:val="en-US" w:bidi="ar-SA"/>
        </w:rPr>
        <w:t>证    书】</w:t>
      </w:r>
      <w:r>
        <w:rPr>
          <w:rFonts w:ascii="微软雅黑" w:eastAsia="微软雅黑" w:hAnsi="微软雅黑" w:cs="微软雅黑" w:hint="eastAsia"/>
          <w:sz w:val="24"/>
          <w:szCs w:val="24"/>
        </w:rPr>
        <w:t>学员完成全部课程学习后，可获得中国人民大学颁发的结业证书。</w:t>
      </w:r>
    </w:p>
    <w:p w:rsidR="006B413A" w:rsidRDefault="00385057" w:rsidP="00B826AF">
      <w:pPr>
        <w:widowControl/>
        <w:spacing w:afterLines="50" w:after="156" w:line="500" w:lineRule="exact"/>
        <w:jc w:val="left"/>
        <w:rPr>
          <w:rFonts w:ascii="微软雅黑" w:eastAsia="微软雅黑" w:hAnsi="微软雅黑" w:cs="微软雅黑"/>
          <w:b/>
          <w:color w:val="943634"/>
          <w:kern w:val="0"/>
          <w:sz w:val="26"/>
          <w:szCs w:val="26"/>
        </w:rPr>
      </w:pPr>
      <w:r>
        <w:rPr>
          <w:rFonts w:ascii="微软雅黑" w:eastAsia="微软雅黑" w:hAnsi="微软雅黑" w:cs="微软雅黑" w:hint="eastAsia"/>
          <w:b/>
          <w:color w:val="943634"/>
          <w:kern w:val="0"/>
          <w:sz w:val="26"/>
          <w:szCs w:val="26"/>
        </w:rPr>
        <w:t>【招生咨询】</w:t>
      </w:r>
    </w:p>
    <w:p w:rsidR="006B413A" w:rsidRDefault="006B413A" w:rsidP="00B826AF">
      <w:pPr>
        <w:widowControl/>
        <w:spacing w:afterLines="50" w:after="156" w:line="500" w:lineRule="exact"/>
        <w:ind w:firstLineChars="300" w:firstLine="720"/>
        <w:jc w:val="left"/>
        <w:rPr>
          <w:rFonts w:ascii="微软雅黑" w:eastAsia="微软雅黑" w:hAnsi="微软雅黑" w:cs="微软雅黑"/>
          <w:b/>
          <w:kern w:val="0"/>
          <w:sz w:val="24"/>
          <w:szCs w:val="24"/>
        </w:rPr>
      </w:pPr>
    </w:p>
    <w:p w:rsidR="007912ED" w:rsidRPr="007912ED" w:rsidRDefault="007912ED" w:rsidP="00B826AF">
      <w:pPr>
        <w:widowControl/>
        <w:spacing w:afterLines="50" w:after="156" w:line="500" w:lineRule="exact"/>
        <w:ind w:firstLineChars="300" w:firstLine="720"/>
        <w:jc w:val="left"/>
        <w:rPr>
          <w:rFonts w:ascii="微软雅黑" w:eastAsia="微软雅黑" w:hAnsi="微软雅黑" w:cs="微软雅黑"/>
          <w:b/>
          <w:kern w:val="0"/>
          <w:sz w:val="24"/>
          <w:szCs w:val="24"/>
        </w:rPr>
      </w:pPr>
    </w:p>
    <w:p w:rsidR="006B413A" w:rsidRDefault="006B413A" w:rsidP="00953A87">
      <w:pPr>
        <w:widowControl/>
        <w:adjustRightInd w:val="0"/>
        <w:snapToGrid w:val="0"/>
        <w:spacing w:afterLines="50" w:after="156" w:line="384" w:lineRule="auto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53A87" w:rsidRDefault="00385057">
      <w:pPr>
        <w:widowControl/>
        <w:spacing w:before="120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中国人民大学金融</w:t>
      </w:r>
      <w:r w:rsidR="00953A87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与</w:t>
      </w: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投资</w:t>
      </w:r>
      <w:r w:rsidR="00953A87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高级</w:t>
      </w: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研修班</w:t>
      </w:r>
    </w:p>
    <w:p w:rsidR="006B413A" w:rsidRDefault="00385057">
      <w:pPr>
        <w:widowControl/>
        <w:spacing w:before="120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报名申请表</w:t>
      </w:r>
    </w:p>
    <w:p w:rsidR="006B413A" w:rsidRDefault="00385057">
      <w:pPr>
        <w:widowControl/>
        <w:spacing w:before="120" w:line="400" w:lineRule="exact"/>
        <w:jc w:val="left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hint="eastAsia"/>
          <w:b/>
        </w:rPr>
        <w:t>（此报名表复印有效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 xml:space="preserve">）                           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6"/>
          <w:szCs w:val="26"/>
        </w:rPr>
        <w:t>填表日期：  年 月 日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923"/>
        <w:gridCol w:w="1365"/>
        <w:gridCol w:w="1380"/>
        <w:gridCol w:w="1907"/>
      </w:tblGrid>
      <w:tr w:rsidR="006B413A">
        <w:trPr>
          <w:cantSplit/>
          <w:trHeight w:val="497"/>
        </w:trPr>
        <w:tc>
          <w:tcPr>
            <w:tcW w:w="1674" w:type="dxa"/>
            <w:tcBorders>
              <w:top w:val="outset" w:sz="12" w:space="0" w:color="auto"/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923" w:type="dxa"/>
            <w:tcBorders>
              <w:top w:val="outset" w:sz="12" w:space="0" w:color="auto"/>
            </w:tcBorders>
            <w:vAlign w:val="center"/>
          </w:tcPr>
          <w:p w:rsidR="006B413A" w:rsidRDefault="006B413A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outset" w:sz="12" w:space="0" w:color="auto"/>
              <w:righ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22"/>
                <w:kern w:val="10"/>
                <w:sz w:val="24"/>
                <w:szCs w:val="24"/>
              </w:rPr>
              <w:t>身份证号</w:t>
            </w:r>
            <w:r>
              <w:rPr>
                <w:rFonts w:asciiTheme="minorEastAsia" w:hAnsiTheme="minorEastAsia" w:hint="eastAsia"/>
                <w:b/>
                <w:spacing w:val="2"/>
                <w:kern w:val="10"/>
                <w:sz w:val="24"/>
                <w:szCs w:val="24"/>
              </w:rPr>
              <w:t>码</w:t>
            </w:r>
          </w:p>
        </w:tc>
        <w:tc>
          <w:tcPr>
            <w:tcW w:w="2923" w:type="dxa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籍　 贯</w:t>
            </w:r>
          </w:p>
        </w:tc>
        <w:tc>
          <w:tcPr>
            <w:tcW w:w="1380" w:type="dxa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spacing w:val="22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2923" w:type="dxa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 　业</w:t>
            </w:r>
          </w:p>
        </w:tc>
        <w:tc>
          <w:tcPr>
            <w:tcW w:w="1380" w:type="dxa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288" w:type="dxa"/>
            <w:gridSpan w:val="2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职　 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07" w:type="dxa"/>
            <w:vMerge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288" w:type="dxa"/>
            <w:gridSpan w:val="2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邮　 编</w:t>
            </w:r>
          </w:p>
        </w:tc>
        <w:tc>
          <w:tcPr>
            <w:tcW w:w="1907" w:type="dxa"/>
            <w:vMerge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23" w:type="dxa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手   机</w:t>
            </w:r>
          </w:p>
        </w:tc>
        <w:tc>
          <w:tcPr>
            <w:tcW w:w="3287" w:type="dxa"/>
            <w:gridSpan w:val="2"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cantSplit/>
          <w:trHeight w:val="454"/>
        </w:trPr>
        <w:tc>
          <w:tcPr>
            <w:tcW w:w="1674" w:type="dxa"/>
            <w:tcBorders>
              <w:left w:val="outset" w:sz="12" w:space="0" w:color="auto"/>
            </w:tcBorders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923" w:type="dxa"/>
            <w:vAlign w:val="center"/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B413A" w:rsidRDefault="00385057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传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 真</w:t>
            </w:r>
          </w:p>
        </w:tc>
        <w:tc>
          <w:tcPr>
            <w:tcW w:w="3287" w:type="dxa"/>
            <w:gridSpan w:val="2"/>
            <w:tcBorders>
              <w:right w:val="outset" w:sz="12" w:space="0" w:color="auto"/>
            </w:tcBorders>
          </w:tcPr>
          <w:p w:rsidR="006B413A" w:rsidRDefault="006B413A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trHeight w:val="2615"/>
        </w:trPr>
        <w:tc>
          <w:tcPr>
            <w:tcW w:w="9249" w:type="dxa"/>
            <w:gridSpan w:val="5"/>
            <w:tcBorders>
              <w:left w:val="outset" w:sz="12" w:space="0" w:color="auto"/>
              <w:right w:val="outset" w:sz="12" w:space="0" w:color="auto"/>
            </w:tcBorders>
          </w:tcPr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B413A" w:rsidRDefault="0038505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工作简历</w:t>
            </w:r>
          </w:p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6B413A" w:rsidRDefault="006B413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6B413A">
        <w:trPr>
          <w:trHeight w:val="1368"/>
        </w:trPr>
        <w:tc>
          <w:tcPr>
            <w:tcW w:w="9249" w:type="dxa"/>
            <w:gridSpan w:val="5"/>
            <w:tcBorders>
              <w:left w:val="outset" w:sz="12" w:space="0" w:color="auto"/>
              <w:right w:val="outset" w:sz="12" w:space="0" w:color="auto"/>
            </w:tcBorders>
            <w:vAlign w:val="center"/>
          </w:tcPr>
          <w:p w:rsidR="006B413A" w:rsidRDefault="0038505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申请人签名：                                   （盖章）</w:t>
            </w:r>
          </w:p>
        </w:tc>
      </w:tr>
      <w:tr w:rsidR="006B413A">
        <w:trPr>
          <w:trHeight w:val="522"/>
        </w:trPr>
        <w:tc>
          <w:tcPr>
            <w:tcW w:w="1674" w:type="dxa"/>
            <w:tcBorders>
              <w:left w:val="outset" w:sz="12" w:space="0" w:color="auto"/>
              <w:right w:val="outset" w:sz="12" w:space="0" w:color="auto"/>
            </w:tcBorders>
          </w:tcPr>
          <w:p w:rsidR="006B413A" w:rsidRDefault="0038505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pacing w:val="2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pacing w:val="2"/>
                <w:kern w:val="10"/>
                <w:sz w:val="24"/>
                <w:szCs w:val="24"/>
              </w:rPr>
              <w:t>汇 款 方 式</w:t>
            </w:r>
          </w:p>
        </w:tc>
        <w:tc>
          <w:tcPr>
            <w:tcW w:w="7575" w:type="dxa"/>
            <w:gridSpan w:val="4"/>
            <w:tcBorders>
              <w:left w:val="outset" w:sz="12" w:space="0" w:color="auto"/>
              <w:right w:val="outset" w:sz="12" w:space="0" w:color="auto"/>
            </w:tcBorders>
          </w:tcPr>
          <w:p w:rsidR="006B413A" w:rsidRDefault="00385057">
            <w:pPr>
              <w:spacing w:line="400" w:lineRule="exact"/>
              <w:rPr>
                <w:rFonts w:asciiTheme="minorEastAsia" w:hAnsiTheme="minorEastAsia"/>
                <w:b/>
                <w:bCs/>
                <w:spacing w:val="2"/>
                <w:kern w:val="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pacing w:val="2"/>
                <w:kern w:val="10"/>
                <w:sz w:val="24"/>
                <w:szCs w:val="24"/>
              </w:rPr>
              <w:t>□ 汇款　　　□ 支票　  　□ 现金　　（请在框内用＂√＂标注）</w:t>
            </w:r>
          </w:p>
        </w:tc>
      </w:tr>
      <w:tr w:rsidR="006B413A">
        <w:trPr>
          <w:cantSplit/>
          <w:trHeight w:val="2380"/>
        </w:trPr>
        <w:tc>
          <w:tcPr>
            <w:tcW w:w="9249" w:type="dxa"/>
            <w:gridSpan w:val="5"/>
            <w:tcBorders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6B413A" w:rsidRDefault="0038505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right="17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lang w:val="zh-CN"/>
              </w:rPr>
              <w:t>户  名：中国人民大学</w:t>
            </w:r>
          </w:p>
          <w:p w:rsidR="006B413A" w:rsidRDefault="0038505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right="17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lang w:val="zh-CN"/>
              </w:rPr>
              <w:t>开户行：</w:t>
            </w: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中国工商银行紫竹院支行</w:t>
            </w:r>
          </w:p>
          <w:p w:rsidR="006B413A" w:rsidRDefault="0038505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right="17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lang w:val="zh-CN"/>
              </w:rPr>
              <w:t>帐  号：</w:t>
            </w: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0200 0076 0902 6400 244</w:t>
            </w:r>
          </w:p>
          <w:p w:rsidR="006B413A" w:rsidRDefault="00385057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lang w:val="zh-CN"/>
              </w:rPr>
              <w:t>汇款用途：继续教育学院金融班</w:t>
            </w: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</w:rPr>
              <w:t xml:space="preserve"> + </w:t>
            </w:r>
            <w:r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lang w:val="zh-CN"/>
              </w:rPr>
              <w:t>学员姓名培训费</w:t>
            </w:r>
          </w:p>
        </w:tc>
      </w:tr>
    </w:tbl>
    <w:p w:rsidR="006B413A" w:rsidRDefault="00385057" w:rsidP="00D1612A">
      <w:pPr>
        <w:widowControl/>
        <w:adjustRightInd w:val="0"/>
        <w:snapToGrid w:val="0"/>
        <w:spacing w:afterLines="50" w:after="156" w:line="384" w:lineRule="auto"/>
        <w:jc w:val="left"/>
        <w:rPr>
          <w:rFonts w:ascii="仿宋" w:eastAsia="仿宋" w:hAnsi="仿宋" w:cs="宋体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6"/>
          <w:szCs w:val="26"/>
        </w:rPr>
        <w:t>咨询顾问：</w:t>
      </w:r>
    </w:p>
    <w:sectPr w:rsidR="006B413A" w:rsidSect="006B413A">
      <w:headerReference w:type="default" r:id="rId10"/>
      <w:pgSz w:w="11906" w:h="16838"/>
      <w:pgMar w:top="1134" w:right="1247" w:bottom="102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6A" w:rsidRDefault="0002096A" w:rsidP="006B413A">
      <w:r>
        <w:separator/>
      </w:r>
    </w:p>
  </w:endnote>
  <w:endnote w:type="continuationSeparator" w:id="0">
    <w:p w:rsidR="0002096A" w:rsidRDefault="0002096A" w:rsidP="006B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6A" w:rsidRDefault="0002096A" w:rsidP="006B413A">
      <w:r>
        <w:separator/>
      </w:r>
    </w:p>
  </w:footnote>
  <w:footnote w:type="continuationSeparator" w:id="0">
    <w:p w:rsidR="0002096A" w:rsidRDefault="0002096A" w:rsidP="006B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3A" w:rsidRDefault="00385057">
    <w:pPr>
      <w:pStyle w:val="a6"/>
      <w:jc w:val="left"/>
    </w:pPr>
    <w:r>
      <w:rPr>
        <w:noProof/>
      </w:rPr>
      <w:drawing>
        <wp:inline distT="0" distB="0" distL="114300" distR="114300">
          <wp:extent cx="3582035" cy="556260"/>
          <wp:effectExtent l="0" t="0" r="18415" b="15240"/>
          <wp:docPr id="2" name="图片 2" descr="微信图片_2018112811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11281135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203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1A9F"/>
    <w:multiLevelType w:val="multilevel"/>
    <w:tmpl w:val="D270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642BF"/>
    <w:multiLevelType w:val="multilevel"/>
    <w:tmpl w:val="647642BF"/>
    <w:lvl w:ilvl="0">
      <w:start w:val="1"/>
      <w:numFmt w:val="decimal"/>
      <w:lvlText w:val="%1）"/>
      <w:lvlJc w:val="left"/>
      <w:pPr>
        <w:ind w:left="108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5" w:hanging="420"/>
      </w:pPr>
    </w:lvl>
    <w:lvl w:ilvl="2">
      <w:start w:val="1"/>
      <w:numFmt w:val="lowerRoman"/>
      <w:lvlText w:val="%3."/>
      <w:lvlJc w:val="right"/>
      <w:pPr>
        <w:ind w:left="1625" w:hanging="420"/>
      </w:pPr>
    </w:lvl>
    <w:lvl w:ilvl="3">
      <w:start w:val="1"/>
      <w:numFmt w:val="decimal"/>
      <w:lvlText w:val="%4."/>
      <w:lvlJc w:val="left"/>
      <w:pPr>
        <w:ind w:left="2045" w:hanging="420"/>
      </w:pPr>
    </w:lvl>
    <w:lvl w:ilvl="4">
      <w:start w:val="1"/>
      <w:numFmt w:val="lowerLetter"/>
      <w:lvlText w:val="%5)"/>
      <w:lvlJc w:val="left"/>
      <w:pPr>
        <w:ind w:left="2465" w:hanging="420"/>
      </w:pPr>
    </w:lvl>
    <w:lvl w:ilvl="5">
      <w:start w:val="1"/>
      <w:numFmt w:val="lowerRoman"/>
      <w:lvlText w:val="%6."/>
      <w:lvlJc w:val="right"/>
      <w:pPr>
        <w:ind w:left="2885" w:hanging="420"/>
      </w:pPr>
    </w:lvl>
    <w:lvl w:ilvl="6">
      <w:start w:val="1"/>
      <w:numFmt w:val="decimal"/>
      <w:lvlText w:val="%7."/>
      <w:lvlJc w:val="left"/>
      <w:pPr>
        <w:ind w:left="3305" w:hanging="420"/>
      </w:pPr>
    </w:lvl>
    <w:lvl w:ilvl="7">
      <w:start w:val="1"/>
      <w:numFmt w:val="lowerLetter"/>
      <w:lvlText w:val="%8)"/>
      <w:lvlJc w:val="left"/>
      <w:pPr>
        <w:ind w:left="3725" w:hanging="420"/>
      </w:pPr>
    </w:lvl>
    <w:lvl w:ilvl="8">
      <w:start w:val="1"/>
      <w:numFmt w:val="lowerRoman"/>
      <w:lvlText w:val="%9."/>
      <w:lvlJc w:val="right"/>
      <w:pPr>
        <w:ind w:left="4145" w:hanging="420"/>
      </w:pPr>
    </w:lvl>
  </w:abstractNum>
  <w:abstractNum w:abstractNumId="2">
    <w:nsid w:val="7194133F"/>
    <w:multiLevelType w:val="multilevel"/>
    <w:tmpl w:val="7194133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F7"/>
    <w:rsid w:val="0002096A"/>
    <w:rsid w:val="000608E5"/>
    <w:rsid w:val="000932BA"/>
    <w:rsid w:val="000A337E"/>
    <w:rsid w:val="00137AF5"/>
    <w:rsid w:val="00195CF9"/>
    <w:rsid w:val="002A7C1E"/>
    <w:rsid w:val="002E39F4"/>
    <w:rsid w:val="003348CB"/>
    <w:rsid w:val="00373F29"/>
    <w:rsid w:val="00385057"/>
    <w:rsid w:val="00385542"/>
    <w:rsid w:val="00484624"/>
    <w:rsid w:val="004A38C1"/>
    <w:rsid w:val="0055730B"/>
    <w:rsid w:val="005A02C1"/>
    <w:rsid w:val="005B24DF"/>
    <w:rsid w:val="005F28F3"/>
    <w:rsid w:val="006B413A"/>
    <w:rsid w:val="006D3BBC"/>
    <w:rsid w:val="006E59BF"/>
    <w:rsid w:val="006F12DD"/>
    <w:rsid w:val="0072522A"/>
    <w:rsid w:val="007533AD"/>
    <w:rsid w:val="007758CB"/>
    <w:rsid w:val="00787036"/>
    <w:rsid w:val="007912ED"/>
    <w:rsid w:val="0080424C"/>
    <w:rsid w:val="00845D39"/>
    <w:rsid w:val="008923A1"/>
    <w:rsid w:val="00926564"/>
    <w:rsid w:val="00947E3C"/>
    <w:rsid w:val="00953A87"/>
    <w:rsid w:val="00984957"/>
    <w:rsid w:val="009C7961"/>
    <w:rsid w:val="00A244B1"/>
    <w:rsid w:val="00A805A1"/>
    <w:rsid w:val="00A82BDA"/>
    <w:rsid w:val="00AD7601"/>
    <w:rsid w:val="00AF1D80"/>
    <w:rsid w:val="00B10C46"/>
    <w:rsid w:val="00B826AF"/>
    <w:rsid w:val="00B93291"/>
    <w:rsid w:val="00BA1E44"/>
    <w:rsid w:val="00C7104A"/>
    <w:rsid w:val="00D1612A"/>
    <w:rsid w:val="00DD703E"/>
    <w:rsid w:val="00DD70F9"/>
    <w:rsid w:val="00E72FD9"/>
    <w:rsid w:val="00F07794"/>
    <w:rsid w:val="00F50D09"/>
    <w:rsid w:val="00F54DF7"/>
    <w:rsid w:val="01AB5167"/>
    <w:rsid w:val="25CE0212"/>
    <w:rsid w:val="29A645C6"/>
    <w:rsid w:val="2FB962DE"/>
    <w:rsid w:val="394775E1"/>
    <w:rsid w:val="56371BEE"/>
    <w:rsid w:val="5D4158FD"/>
    <w:rsid w:val="5E422A4C"/>
    <w:rsid w:val="5F2F1427"/>
    <w:rsid w:val="6AD755CD"/>
    <w:rsid w:val="6BE97545"/>
    <w:rsid w:val="7C1A3F13"/>
    <w:rsid w:val="7C6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3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6B41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B413A"/>
    <w:rPr>
      <w:rFonts w:ascii="仿宋" w:eastAsia="仿宋" w:hAnsi="仿宋" w:cs="仿宋"/>
      <w:sz w:val="28"/>
      <w:szCs w:val="28"/>
      <w:lang w:val="zh-CN" w:bidi="zh-CN"/>
    </w:rPr>
  </w:style>
  <w:style w:type="paragraph" w:styleId="a4">
    <w:name w:val="Balloon Text"/>
    <w:basedOn w:val="a"/>
    <w:link w:val="Char"/>
    <w:qFormat/>
    <w:rsid w:val="006B413A"/>
    <w:rPr>
      <w:sz w:val="18"/>
      <w:szCs w:val="18"/>
    </w:rPr>
  </w:style>
  <w:style w:type="paragraph" w:styleId="a5">
    <w:name w:val="footer"/>
    <w:basedOn w:val="a"/>
    <w:link w:val="Char0"/>
    <w:qFormat/>
    <w:rsid w:val="006B4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6B4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6B413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6B413A"/>
    <w:rPr>
      <w:b/>
    </w:rPr>
  </w:style>
  <w:style w:type="character" w:customStyle="1" w:styleId="Char1">
    <w:name w:val="页眉 Char"/>
    <w:basedOn w:val="a0"/>
    <w:link w:val="a6"/>
    <w:qFormat/>
    <w:rsid w:val="006B413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6B413A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6B413A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6B413A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3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6B41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B413A"/>
    <w:rPr>
      <w:rFonts w:ascii="仿宋" w:eastAsia="仿宋" w:hAnsi="仿宋" w:cs="仿宋"/>
      <w:sz w:val="28"/>
      <w:szCs w:val="28"/>
      <w:lang w:val="zh-CN" w:bidi="zh-CN"/>
    </w:rPr>
  </w:style>
  <w:style w:type="paragraph" w:styleId="a4">
    <w:name w:val="Balloon Text"/>
    <w:basedOn w:val="a"/>
    <w:link w:val="Char"/>
    <w:qFormat/>
    <w:rsid w:val="006B413A"/>
    <w:rPr>
      <w:sz w:val="18"/>
      <w:szCs w:val="18"/>
    </w:rPr>
  </w:style>
  <w:style w:type="paragraph" w:styleId="a5">
    <w:name w:val="footer"/>
    <w:basedOn w:val="a"/>
    <w:link w:val="Char0"/>
    <w:qFormat/>
    <w:rsid w:val="006B4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6B4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6B413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6B413A"/>
    <w:rPr>
      <w:b/>
    </w:rPr>
  </w:style>
  <w:style w:type="character" w:customStyle="1" w:styleId="Char1">
    <w:name w:val="页眉 Char"/>
    <w:basedOn w:val="a0"/>
    <w:link w:val="a6"/>
    <w:qFormat/>
    <w:rsid w:val="006B413A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6B413A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6B413A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6B413A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36CCC-3836-4B6D-8521-21E8B942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小白白</dc:creator>
  <cp:lastModifiedBy>admin</cp:lastModifiedBy>
  <cp:revision>6</cp:revision>
  <cp:lastPrinted>2021-01-12T02:46:00Z</cp:lastPrinted>
  <dcterms:created xsi:type="dcterms:W3CDTF">2021-01-12T02:44:00Z</dcterms:created>
  <dcterms:modified xsi:type="dcterms:W3CDTF">2021-01-12T02:47:00Z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