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114300" distR="114300">
            <wp:extent cx="1003300" cy="1031240"/>
            <wp:effectExtent l="0" t="0" r="635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1003300" cy="1031240"/>
                    </a:xfrm>
                    <a:prstGeom prst="rect">
                      <a:avLst/>
                    </a:prstGeom>
                    <a:noFill/>
                    <a:ln>
                      <a:noFill/>
                    </a:ln>
                  </pic:spPr>
                </pic:pic>
              </a:graphicData>
            </a:graphic>
          </wp:inline>
        </w:drawing>
      </w:r>
      <w:r>
        <w:drawing>
          <wp:inline distT="0" distB="0" distL="114300" distR="114300">
            <wp:extent cx="4039870" cy="1279525"/>
            <wp:effectExtent l="0" t="0" r="17780" b="158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4039870" cy="1279525"/>
                    </a:xfrm>
                    <a:prstGeom prst="rect">
                      <a:avLst/>
                    </a:prstGeom>
                    <a:noFill/>
                    <a:ln>
                      <a:noFill/>
                    </a:ln>
                  </pic:spPr>
                </pic:pic>
              </a:graphicData>
            </a:graphic>
          </wp:inline>
        </w:drawing>
      </w:r>
    </w:p>
    <w:p>
      <w:pPr>
        <w:jc w:val="center"/>
      </w:pPr>
    </w:p>
    <w:p>
      <w:pPr>
        <w:jc w:val="center"/>
      </w:pPr>
    </w:p>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中国海洋大学与美国迈阿密大学本科课程项目简介</w:t>
      </w:r>
    </w:p>
    <w:p>
      <w:pPr>
        <w:jc w:val="center"/>
        <w:rPr>
          <w:rFonts w:hint="eastAsia" w:ascii="微软雅黑" w:hAnsi="微软雅黑" w:eastAsia="微软雅黑" w:cs="微软雅黑"/>
          <w:b/>
          <w:bCs/>
          <w:sz w:val="28"/>
          <w:szCs w:val="28"/>
        </w:rPr>
      </w:pP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 xml:space="preserve">官方立项 </w:t>
      </w: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 xml:space="preserve">联合培养 </w:t>
      </w: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师资共享</w:t>
      </w: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 xml:space="preserve">原版教材 </w:t>
      </w: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 xml:space="preserve">校内待遇 </w:t>
      </w:r>
      <w:r>
        <w:rPr>
          <w:rFonts w:hint="eastAsia" w:ascii="仿宋" w:hAnsi="仿宋" w:eastAsia="仿宋" w:cs="仿宋"/>
          <w:b/>
          <w:bCs/>
          <w:sz w:val="44"/>
          <w:szCs w:val="44"/>
          <w:lang w:val="en-US" w:eastAsia="zh-CN"/>
        </w:rPr>
        <w:sym w:font="Wingdings" w:char="00FE"/>
      </w:r>
      <w:r>
        <w:rPr>
          <w:rFonts w:hint="eastAsia" w:ascii="仿宋" w:hAnsi="仿宋" w:eastAsia="仿宋" w:cs="仿宋"/>
          <w:b/>
          <w:bCs/>
          <w:sz w:val="44"/>
          <w:szCs w:val="44"/>
          <w:lang w:val="en-US" w:eastAsia="zh-CN"/>
        </w:rPr>
        <w:t>认证无忧</w:t>
      </w:r>
    </w:p>
    <w:p>
      <w:pPr>
        <w:jc w:val="center"/>
        <w:rPr>
          <w:rFonts w:hint="eastAsia" w:ascii="仿宋" w:hAnsi="仿宋" w:eastAsia="仿宋" w:cs="仿宋"/>
          <w:b/>
          <w:bCs/>
          <w:sz w:val="44"/>
          <w:szCs w:val="44"/>
          <w:lang w:val="en-US" w:eastAsia="zh-CN"/>
        </w:rPr>
      </w:pPr>
    </w:p>
    <w:p>
      <w:pPr>
        <w:rPr>
          <w:rFonts w:hint="eastAsia"/>
          <w:b/>
          <w:bCs/>
          <w:lang w:val="en-US" w:eastAsia="zh-CN"/>
        </w:rPr>
      </w:pPr>
      <w:r>
        <w:rPr>
          <w:rFonts w:hint="eastAsia"/>
          <w:b/>
          <w:bCs/>
          <w:lang w:val="en-US" w:eastAsia="zh-CN"/>
        </w:rPr>
        <w:t>【项目优势】</w:t>
      </w:r>
    </w:p>
    <w:p>
      <w:pPr>
        <w:numPr>
          <w:ilvl w:val="0"/>
          <w:numId w:val="1"/>
        </w:numPr>
        <w:bidi w:val="0"/>
        <w:ind w:left="420" w:leftChars="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全国独一无二的项目——由中外一线教授联合面授与海外游学相结合的全真国外教学；</w:t>
      </w:r>
    </w:p>
    <w:p>
      <w:pPr>
        <w:numPr>
          <w:ilvl w:val="0"/>
          <w:numId w:val="1"/>
        </w:numPr>
        <w:bidi w:val="0"/>
        <w:ind w:left="420" w:leftChars="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原版引进被美誉为“西方耶鲁”迈阿密大学的通识课程，全英授课，助教管理互动学习模式；</w:t>
      </w:r>
    </w:p>
    <w:p>
      <w:pPr>
        <w:numPr>
          <w:ilvl w:val="0"/>
          <w:numId w:val="1"/>
        </w:numPr>
        <w:bidi w:val="0"/>
        <w:ind w:left="420" w:leftChars="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丰富的语言学术训练、全真体验的寒假游学、海大留学生住宿环境，助力顺利完成项目；</w:t>
      </w:r>
    </w:p>
    <w:p>
      <w:pPr>
        <w:numPr>
          <w:ilvl w:val="0"/>
          <w:numId w:val="1"/>
        </w:numPr>
        <w:bidi w:val="0"/>
        <w:ind w:left="420" w:leftChars="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严格的入学筛选，家校互通平台管理，一对一的签证辅导，保障留学规划通畅；</w:t>
      </w:r>
    </w:p>
    <w:p>
      <w:pPr>
        <w:numPr>
          <w:ilvl w:val="0"/>
          <w:numId w:val="1"/>
        </w:numPr>
        <w:bidi w:val="0"/>
        <w:ind w:left="420" w:leftChars="0" w:hanging="420" w:firstLineChars="0"/>
        <w:rPr>
          <w:rFonts w:hint="eastAsia" w:ascii="微软雅黑" w:hAnsi="微软雅黑" w:eastAsia="微软雅黑" w:cs="微软雅黑"/>
          <w:b/>
          <w:bCs/>
          <w:sz w:val="28"/>
          <w:szCs w:val="28"/>
        </w:rPr>
      </w:pPr>
      <w:r>
        <w:rPr>
          <w:rFonts w:hint="eastAsia" w:ascii="微软雅黑" w:hAnsi="微软雅黑" w:eastAsia="微软雅黑" w:cs="微软雅黑"/>
          <w:sz w:val="21"/>
          <w:szCs w:val="21"/>
          <w:lang w:val="en-US" w:eastAsia="zh-CN"/>
        </w:rPr>
        <w:t>海外院校提供一年的境外贴心跟踪服务，家长放心的留学品牌。</w:t>
      </w:r>
    </w:p>
    <w:p>
      <w:pPr>
        <w:numPr>
          <w:ilvl w:val="0"/>
          <w:numId w:val="0"/>
        </w:numPr>
        <w:bidi w:val="0"/>
        <w:ind w:leftChars="0"/>
        <w:rPr>
          <w:rFonts w:hint="eastAsia" w:ascii="微软雅黑" w:hAnsi="微软雅黑" w:eastAsia="微软雅黑" w:cs="微软雅黑"/>
          <w:b/>
          <w:bCs/>
          <w:sz w:val="28"/>
          <w:szCs w:val="28"/>
        </w:rPr>
      </w:pPr>
    </w:p>
    <w:p>
      <w:pPr>
        <w:rPr>
          <w:rFonts w:ascii="微软雅黑" w:hAnsi="微软雅黑" w:eastAsia="微软雅黑" w:cs="微软雅黑"/>
          <w:szCs w:val="21"/>
        </w:rPr>
      </w:pPr>
      <w:r>
        <w:rPr>
          <w:rFonts w:hint="eastAsia" w:ascii="微软雅黑" w:hAnsi="微软雅黑" w:eastAsia="微软雅黑" w:cs="微软雅黑"/>
          <w:b/>
          <w:bCs/>
          <w:color w:val="C00000"/>
          <w:szCs w:val="21"/>
          <w:shd w:val="clear" w:color="FFFFFF" w:fill="D9D9D9"/>
        </w:rPr>
        <w:t xml:space="preserve">一、项目概述                                                                            </w:t>
      </w:r>
    </w:p>
    <w:p>
      <w:pPr>
        <w:rPr>
          <w:rFonts w:ascii="微软雅黑" w:hAnsi="微软雅黑" w:eastAsia="微软雅黑" w:cs="微软雅黑"/>
          <w:szCs w:val="21"/>
        </w:rPr>
      </w:pPr>
      <w:r>
        <w:rPr>
          <w:rFonts w:hint="eastAsia" w:ascii="微软雅黑" w:hAnsi="微软雅黑" w:eastAsia="微软雅黑" w:cs="微软雅黑"/>
          <w:szCs w:val="21"/>
        </w:rPr>
        <w:t>（一）美国迈阿密大学（简称MUR）为进入该联合培养项目的学生提供美国迈阿密大学学术</w:t>
      </w:r>
      <w:r>
        <w:rPr>
          <w:rFonts w:hint="eastAsia" w:ascii="微软雅黑" w:hAnsi="微软雅黑" w:eastAsia="微软雅黑" w:cs="微软雅黑"/>
          <w:szCs w:val="21"/>
          <w:lang w:eastAsia="zh-CN"/>
        </w:rPr>
        <w:t>通识</w:t>
      </w:r>
      <w:r>
        <w:rPr>
          <w:rFonts w:hint="eastAsia" w:ascii="微软雅黑" w:hAnsi="微软雅黑" w:eastAsia="微软雅黑" w:cs="微软雅黑"/>
          <w:szCs w:val="21"/>
        </w:rPr>
        <w:t>专业</w:t>
      </w:r>
      <w:r>
        <w:rPr>
          <w:rFonts w:hint="eastAsia" w:ascii="微软雅黑" w:hAnsi="微软雅黑" w:eastAsia="微软雅黑" w:cs="微软雅黑"/>
          <w:szCs w:val="21"/>
          <w:lang w:eastAsia="zh-CN"/>
        </w:rPr>
        <w:t>教材及</w:t>
      </w:r>
      <w:r>
        <w:rPr>
          <w:rFonts w:hint="eastAsia" w:ascii="微软雅黑" w:hAnsi="微软雅黑" w:eastAsia="微软雅黑" w:cs="微软雅黑"/>
          <w:szCs w:val="21"/>
        </w:rPr>
        <w:t>教授授课，学籍录转以及奖学金奖励；</w:t>
      </w:r>
    </w:p>
    <w:p>
      <w:pPr>
        <w:rPr>
          <w:rFonts w:ascii="微软雅黑" w:hAnsi="微软雅黑" w:eastAsia="微软雅黑" w:cs="微软雅黑"/>
          <w:szCs w:val="21"/>
        </w:rPr>
      </w:pPr>
      <w:r>
        <w:rPr>
          <w:rFonts w:hint="eastAsia" w:ascii="微软雅黑" w:hAnsi="微软雅黑" w:eastAsia="微软雅黑" w:cs="微软雅黑"/>
          <w:szCs w:val="21"/>
        </w:rPr>
        <w:t>（二）有意参加该项目的同学请登陆Miamioh.edu官网了解美国迈阿密大学学校介绍及专业分类；</w:t>
      </w:r>
    </w:p>
    <w:p>
      <w:pPr>
        <w:rPr>
          <w:rFonts w:ascii="微软雅黑" w:hAnsi="微软雅黑" w:eastAsia="微软雅黑" w:cs="微软雅黑"/>
          <w:szCs w:val="21"/>
        </w:rPr>
      </w:pPr>
      <w:r>
        <w:rPr>
          <w:rFonts w:hint="eastAsia" w:ascii="微软雅黑" w:hAnsi="微软雅黑" w:eastAsia="微软雅黑" w:cs="微软雅黑"/>
          <w:szCs w:val="21"/>
        </w:rPr>
        <w:t>（三）进入该项目培养的学生在完成“1+3”（国内一年，国外三年）培养方案规定的课程、修满所需学分后，符合条件者，最终将获得美国迈阿密大学颁发的学士学位证书。此学历获得中国教育部认证并等同于国内本科学历。</w:t>
      </w:r>
    </w:p>
    <w:p>
      <w:pPr>
        <w:rPr>
          <w:rFonts w:ascii="微软雅黑" w:hAnsi="微软雅黑" w:eastAsia="微软雅黑" w:cs="微软雅黑"/>
          <w:color w:val="C00000"/>
          <w:szCs w:val="21"/>
        </w:rPr>
      </w:pPr>
      <w:r>
        <w:rPr>
          <w:rFonts w:hint="eastAsia" w:ascii="微软雅黑" w:hAnsi="微软雅黑" w:eastAsia="微软雅黑" w:cs="微软雅黑"/>
          <w:b/>
          <w:bCs/>
          <w:color w:val="C00000"/>
          <w:szCs w:val="21"/>
          <w:shd w:val="clear" w:color="FFFFFF" w:fill="D9D9D9"/>
        </w:rPr>
        <w:t xml:space="preserve">二、申请条件                                                                           </w:t>
      </w:r>
    </w:p>
    <w:p>
      <w:pPr>
        <w:rPr>
          <w:rFonts w:ascii="微软雅黑" w:hAnsi="微软雅黑" w:eastAsia="微软雅黑" w:cs="微软雅黑"/>
          <w:b/>
          <w:bCs/>
          <w:szCs w:val="21"/>
        </w:rPr>
      </w:pPr>
      <w:r>
        <w:rPr>
          <w:rFonts w:hint="eastAsia" w:ascii="微软雅黑" w:hAnsi="微软雅黑" w:eastAsia="微软雅黑" w:cs="微软雅黑"/>
          <w:b/>
          <w:bCs/>
          <w:szCs w:val="21"/>
        </w:rPr>
        <w:sym w:font="Wingdings" w:char="00FE"/>
      </w:r>
      <w:r>
        <w:rPr>
          <w:rFonts w:hint="eastAsia" w:ascii="微软雅黑" w:hAnsi="微软雅黑" w:eastAsia="微软雅黑" w:cs="微软雅黑"/>
          <w:b/>
          <w:bCs/>
          <w:szCs w:val="21"/>
        </w:rPr>
        <w:t xml:space="preserve"> 面向全国招生（年龄17-21周岁）</w:t>
      </w:r>
    </w:p>
    <w:p>
      <w:pPr>
        <w:rPr>
          <w:rFonts w:ascii="微软雅黑" w:hAnsi="微软雅黑" w:eastAsia="微软雅黑" w:cs="微软雅黑"/>
          <w:b/>
          <w:bCs/>
          <w:szCs w:val="21"/>
        </w:rPr>
      </w:pPr>
      <w:r>
        <w:rPr>
          <w:rFonts w:hint="eastAsia" w:ascii="微软雅黑" w:hAnsi="微软雅黑" w:eastAsia="微软雅黑" w:cs="微软雅黑"/>
          <w:b/>
          <w:bCs/>
          <w:szCs w:val="21"/>
        </w:rPr>
        <w:sym w:font="Wingdings" w:char="00FE"/>
      </w:r>
      <w:r>
        <w:rPr>
          <w:rFonts w:hint="eastAsia" w:ascii="微软雅黑" w:hAnsi="微软雅黑" w:eastAsia="微软雅黑" w:cs="微软雅黑"/>
          <w:b/>
          <w:bCs/>
          <w:szCs w:val="21"/>
        </w:rPr>
        <w:t xml:space="preserve"> 申请条件</w:t>
      </w:r>
    </w:p>
    <w:p>
      <w:pPr>
        <w:numPr>
          <w:ilvl w:val="0"/>
          <w:numId w:val="2"/>
        </w:numPr>
        <w:rPr>
          <w:rFonts w:ascii="微软雅黑" w:hAnsi="微软雅黑" w:eastAsia="微软雅黑" w:cs="微软雅黑"/>
          <w:szCs w:val="21"/>
        </w:rPr>
      </w:pPr>
      <w:r>
        <w:rPr>
          <w:rFonts w:hint="eastAsia" w:ascii="微软雅黑" w:hAnsi="微软雅黑" w:eastAsia="微软雅黑" w:cs="微软雅黑"/>
          <w:szCs w:val="21"/>
        </w:rPr>
        <w:t>应往届中外学业优秀高中毕业生（高考成绩达到当地当年二本分数，英语单科120以上 或海外成绩GPA2.0以上）</w:t>
      </w:r>
    </w:p>
    <w:p>
      <w:pPr>
        <w:numPr>
          <w:ilvl w:val="0"/>
          <w:numId w:val="2"/>
        </w:numPr>
        <w:rPr>
          <w:rFonts w:ascii="微软雅黑" w:hAnsi="微软雅黑" w:eastAsia="微软雅黑" w:cs="微软雅黑"/>
          <w:szCs w:val="21"/>
        </w:rPr>
      </w:pPr>
      <w:r>
        <w:rPr>
          <w:rFonts w:hint="eastAsia" w:ascii="微软雅黑" w:hAnsi="微软雅黑" w:eastAsia="微软雅黑" w:cs="微软雅黑"/>
          <w:szCs w:val="21"/>
        </w:rPr>
        <w:t>高二在读（高中考试课程GPA3.0及以上）</w:t>
      </w:r>
    </w:p>
    <w:p>
      <w:pPr>
        <w:numPr>
          <w:ilvl w:val="0"/>
          <w:numId w:val="2"/>
        </w:numPr>
        <w:rPr>
          <w:rFonts w:ascii="微软雅黑" w:hAnsi="微软雅黑" w:eastAsia="微软雅黑" w:cs="微软雅黑"/>
          <w:szCs w:val="21"/>
        </w:rPr>
      </w:pPr>
      <w:r>
        <w:rPr>
          <w:rFonts w:hint="eastAsia" w:ascii="微软雅黑" w:hAnsi="微软雅黑" w:eastAsia="微软雅黑" w:cs="微软雅黑"/>
          <w:szCs w:val="21"/>
        </w:rPr>
        <w:t>托福IBT：≥60或雅思：≥5.0或Pearson Test of English Academic（PTE）：≥53。</w:t>
      </w:r>
    </w:p>
    <w:p>
      <w:pPr>
        <w:numPr>
          <w:ilvl w:val="0"/>
          <w:numId w:val="3"/>
        </w:numPr>
        <w:rPr>
          <w:rFonts w:ascii="微软雅黑" w:hAnsi="微软雅黑" w:eastAsia="微软雅黑" w:cs="微软雅黑"/>
          <w:szCs w:val="21"/>
        </w:rPr>
      </w:pPr>
      <w:r>
        <w:rPr>
          <w:rFonts w:hint="eastAsia" w:ascii="微软雅黑" w:hAnsi="微软雅黑" w:eastAsia="微软雅黑" w:cs="微软雅黑"/>
          <w:szCs w:val="21"/>
        </w:rPr>
        <w:t>满足以上条件者参加综合素质英语面试。非以上条件者的学生，须参加入学英语笔试、面试，成绩合格者择优录取。</w:t>
      </w:r>
    </w:p>
    <w:p>
      <w:pPr>
        <w:rPr>
          <w:rFonts w:ascii="微软雅黑" w:hAnsi="微软雅黑" w:eastAsia="微软雅黑" w:cs="微软雅黑"/>
          <w:b/>
          <w:bCs/>
          <w:color w:val="C00000"/>
          <w:szCs w:val="21"/>
          <w:shd w:val="clear" w:color="FFFFFF" w:fill="D9D9D9"/>
        </w:rPr>
      </w:pPr>
      <w:r>
        <w:rPr>
          <w:rFonts w:hint="eastAsia" w:ascii="微软雅黑" w:hAnsi="微软雅黑" w:eastAsia="微软雅黑" w:cs="微软雅黑"/>
          <w:b/>
          <w:bCs/>
          <w:color w:val="C00000"/>
          <w:szCs w:val="21"/>
          <w:shd w:val="clear" w:color="FFFFFF" w:fill="D9D9D9"/>
        </w:rPr>
        <w:t xml:space="preserve">三、所需申请材料清单                                                                </w:t>
      </w:r>
    </w:p>
    <w:p>
      <w:pPr>
        <w:numPr>
          <w:ilvl w:val="0"/>
          <w:numId w:val="4"/>
        </w:numPr>
        <w:rPr>
          <w:rFonts w:ascii="微软雅黑" w:hAnsi="微软雅黑" w:eastAsia="微软雅黑" w:cs="微软雅黑"/>
          <w:szCs w:val="21"/>
        </w:rPr>
      </w:pPr>
      <w:r>
        <w:rPr>
          <w:rFonts w:hint="eastAsia" w:ascii="微软雅黑" w:hAnsi="微软雅黑" w:eastAsia="微软雅黑" w:cs="微软雅黑"/>
          <w:szCs w:val="21"/>
        </w:rPr>
        <w:t>官方报名申请表</w:t>
      </w:r>
    </w:p>
    <w:p>
      <w:pPr>
        <w:numPr>
          <w:ilvl w:val="0"/>
          <w:numId w:val="4"/>
        </w:numPr>
        <w:rPr>
          <w:rFonts w:ascii="微软雅黑" w:hAnsi="微软雅黑" w:eastAsia="微软雅黑" w:cs="微软雅黑"/>
          <w:szCs w:val="21"/>
        </w:rPr>
      </w:pPr>
      <w:r>
        <w:rPr>
          <w:rFonts w:hint="eastAsia" w:ascii="微软雅黑" w:hAnsi="微软雅黑" w:eastAsia="微软雅黑" w:cs="微软雅黑"/>
          <w:szCs w:val="21"/>
        </w:rPr>
        <w:t>三张1寸近期免冠证件照</w:t>
      </w:r>
    </w:p>
    <w:p>
      <w:pPr>
        <w:numPr>
          <w:ilvl w:val="0"/>
          <w:numId w:val="4"/>
        </w:numPr>
        <w:rPr>
          <w:rFonts w:ascii="微软雅黑" w:hAnsi="微软雅黑" w:eastAsia="微软雅黑" w:cs="微软雅黑"/>
          <w:szCs w:val="21"/>
        </w:rPr>
      </w:pPr>
      <w:r>
        <w:rPr>
          <w:rFonts w:hint="eastAsia" w:ascii="微软雅黑" w:hAnsi="微软雅黑" w:eastAsia="微软雅黑" w:cs="微软雅黑"/>
          <w:szCs w:val="21"/>
        </w:rPr>
        <w:t>高中毕业生，需提供完整的高中三年中英文成绩单及毕业证扫描件（加盖学校红章）；</w:t>
      </w:r>
    </w:p>
    <w:p>
      <w:pPr>
        <w:numPr>
          <w:ilvl w:val="0"/>
          <w:numId w:val="4"/>
        </w:numPr>
        <w:rPr>
          <w:rFonts w:ascii="微软雅黑" w:hAnsi="微软雅黑" w:eastAsia="微软雅黑" w:cs="微软雅黑"/>
          <w:szCs w:val="21"/>
        </w:rPr>
      </w:pPr>
      <w:r>
        <w:rPr>
          <w:rFonts w:hint="eastAsia" w:ascii="微软雅黑" w:hAnsi="微软雅黑" w:eastAsia="微软雅黑" w:cs="微软雅黑"/>
          <w:szCs w:val="21"/>
        </w:rPr>
        <w:t>高中在读学生，需提供最近期的中英文高中成绩单扫描件（加盖学校红章）；</w:t>
      </w:r>
    </w:p>
    <w:p>
      <w:pPr>
        <w:numPr>
          <w:ilvl w:val="0"/>
          <w:numId w:val="4"/>
        </w:numPr>
        <w:rPr>
          <w:rFonts w:ascii="微软雅黑" w:hAnsi="微软雅黑" w:eastAsia="微软雅黑" w:cs="微软雅黑"/>
          <w:szCs w:val="21"/>
        </w:rPr>
      </w:pPr>
      <w:r>
        <w:rPr>
          <w:rFonts w:hint="eastAsia" w:ascii="微软雅黑" w:hAnsi="微软雅黑" w:eastAsia="微软雅黑" w:cs="微软雅黑"/>
          <w:szCs w:val="21"/>
        </w:rPr>
        <w:t>大学在读学生提供完整的高中三年中英文成绩单，毕业证扫描件（加盖学校红章）外，还需提供近期的中英文大学成绩单扫描件（加盖学校红章）及《大学在读证明》。</w:t>
      </w:r>
    </w:p>
    <w:p>
      <w:pPr>
        <w:rPr>
          <w:rFonts w:ascii="微软雅黑" w:hAnsi="微软雅黑" w:eastAsia="微软雅黑" w:cs="微软雅黑"/>
        </w:rPr>
      </w:pPr>
      <w:r>
        <w:rPr>
          <w:rFonts w:hint="eastAsia" w:ascii="微软雅黑" w:hAnsi="微软雅黑" w:eastAsia="微软雅黑" w:cs="微软雅黑"/>
          <w:b/>
          <w:bCs/>
          <w:color w:val="C00000"/>
          <w:szCs w:val="21"/>
          <w:shd w:val="clear" w:color="FFFFFF" w:fill="D9D9D9"/>
        </w:rPr>
        <w:t xml:space="preserve">四、MUR奖学金政策                                                                 </w:t>
      </w:r>
    </w:p>
    <w:p>
      <w:pPr>
        <w:rPr>
          <w:rFonts w:ascii="微软雅黑" w:hAnsi="微软雅黑" w:eastAsia="微软雅黑" w:cs="微软雅黑"/>
        </w:rPr>
      </w:pPr>
      <w:r>
        <w:rPr>
          <w:rFonts w:hint="eastAsia" w:ascii="微软雅黑" w:hAnsi="微软雅黑" w:eastAsia="微软雅黑" w:cs="微软雅黑"/>
        </w:rPr>
        <w:t>正式录取的申请者在入学后享受MUR“联合培养项目专设奖学金”（无须另行申请），将有机会分别获得入读美国迈阿密大学前的语言奖学金和学术奖学金，最高5000美元。</w:t>
      </w:r>
    </w:p>
    <w:p>
      <w:pPr>
        <w:numPr>
          <w:ilvl w:val="0"/>
          <w:numId w:val="5"/>
        </w:numPr>
        <w:rPr>
          <w:rFonts w:hint="eastAsia" w:ascii="微软雅黑" w:hAnsi="微软雅黑" w:eastAsia="微软雅黑" w:cs="微软雅黑"/>
          <w:b/>
          <w:bCs/>
          <w:color w:val="C00000"/>
          <w:szCs w:val="21"/>
          <w:shd w:val="clear" w:color="FFFFFF" w:fill="D9D9D9"/>
        </w:rPr>
      </w:pPr>
      <w:r>
        <w:rPr>
          <w:rFonts w:hint="eastAsia" w:ascii="微软雅黑" w:hAnsi="微软雅黑" w:eastAsia="微软雅黑" w:cs="微软雅黑"/>
          <w:b/>
          <w:bCs/>
          <w:color w:val="C00000"/>
          <w:szCs w:val="21"/>
          <w:shd w:val="clear" w:color="FFFFFF" w:fill="D9D9D9"/>
        </w:rPr>
        <w:t xml:space="preserve">学生获得支持                                                                     </w:t>
      </w:r>
    </w:p>
    <w:p>
      <w:pPr>
        <w:rPr>
          <w:rFonts w:ascii="微软雅黑" w:hAnsi="微软雅黑" w:eastAsia="微软雅黑" w:cs="微软雅黑"/>
          <w:vertAlign w:val="baseline"/>
          <w14:glow w14:rad="0">
            <w14:srgbClr w14:val="000000"/>
          </w14:glow>
        </w:rPr>
      </w:pPr>
      <w:r>
        <w:rPr>
          <w:rFonts w:hint="eastAsia" w:ascii="微软雅黑" w:hAnsi="微软雅黑" w:eastAsia="微软雅黑" w:cs="微软雅黑"/>
        </w:rPr>
        <w:t>（一）项目学生入校前将分别获得 1、</w:t>
      </w:r>
      <w:r>
        <w:rPr>
          <w:rFonts w:hint="eastAsia" w:ascii="微软雅黑" w:hAnsi="微软雅黑" w:eastAsia="微软雅黑" w:cs="微软雅黑"/>
          <w:b/>
          <w:bCs/>
          <w:vertAlign w:val="baseline"/>
          <w14:glow w14:rad="0">
            <w14:srgbClr w14:val="000000"/>
          </w14:glow>
        </w:rPr>
        <w:t>《中国海洋大学国际教育学院国际项目录取通知书》</w:t>
      </w:r>
      <w:r>
        <w:rPr>
          <w:rFonts w:hint="eastAsia" w:ascii="微软雅黑" w:hAnsi="微软雅黑" w:eastAsia="微软雅黑" w:cs="微软雅黑"/>
          <w:vertAlign w:val="baseline"/>
          <w14:glow w14:rad="0">
            <w14:srgbClr w14:val="000000"/>
          </w14:glow>
        </w:rPr>
        <w:t>、2、</w:t>
      </w:r>
      <w:r>
        <w:rPr>
          <w:rFonts w:hint="eastAsia" w:ascii="微软雅黑" w:hAnsi="微软雅黑" w:eastAsia="微软雅黑" w:cs="微软雅黑"/>
          <w:b/>
          <w:bCs/>
          <w:vertAlign w:val="baseline"/>
          <w14:glow w14:rad="0">
            <w14:srgbClr w14:val="000000"/>
          </w14:glow>
        </w:rPr>
        <w:t>美国迈阿密大学有条件双录预录取信</w:t>
      </w:r>
      <w:r>
        <w:rPr>
          <w:rFonts w:hint="eastAsia" w:ascii="微软雅黑" w:hAnsi="微软雅黑" w:eastAsia="微软雅黑" w:cs="微软雅黑"/>
          <w:vertAlign w:val="baseline"/>
          <w14:glow w14:rad="0">
            <w14:srgbClr w14:val="000000"/>
          </w14:glow>
        </w:rPr>
        <w:t>。</w:t>
      </w:r>
    </w:p>
    <w:p>
      <w:pPr>
        <w:rPr>
          <w:rFonts w:ascii="微软雅黑" w:hAnsi="微软雅黑" w:eastAsia="微软雅黑" w:cs="微软雅黑"/>
          <w:color w:val="221815"/>
          <w:szCs w:val="21"/>
        </w:rPr>
      </w:pPr>
      <w:r>
        <w:rPr>
          <w:rFonts w:hint="eastAsia" w:ascii="微软雅黑" w:hAnsi="微软雅黑" w:eastAsia="微软雅黑" w:cs="微软雅黑"/>
        </w:rPr>
        <w:t>（二）该项目学生</w:t>
      </w:r>
      <w:r>
        <w:rPr>
          <w:rFonts w:hint="eastAsia" w:ascii="微软雅黑" w:hAnsi="微软雅黑" w:eastAsia="微软雅黑" w:cs="微软雅黑"/>
          <w:color w:val="221815"/>
          <w:szCs w:val="21"/>
        </w:rPr>
        <w:t>根据录取的先后顺序提交住宿申请表，学院将按申请日期的先后顺序为学生安排住宿（</w:t>
      </w:r>
      <w:r>
        <w:rPr>
          <w:rFonts w:hint="eastAsia" w:ascii="微软雅黑" w:hAnsi="微软雅黑" w:eastAsia="微软雅黑" w:cs="微软雅黑"/>
          <w:b/>
          <w:bCs/>
          <w:color w:val="221815"/>
          <w:szCs w:val="21"/>
        </w:rPr>
        <w:t>同中国海洋大学留学生同等待遇住宿条件</w:t>
      </w:r>
      <w:r>
        <w:rPr>
          <w:rFonts w:hint="eastAsia" w:ascii="微软雅黑" w:hAnsi="微软雅黑" w:eastAsia="微软雅黑" w:cs="微软雅黑"/>
          <w:color w:val="221815"/>
          <w:szCs w:val="21"/>
        </w:rPr>
        <w:t>）以保障学生住宿。</w:t>
      </w:r>
    </w:p>
    <w:p>
      <w:pPr>
        <w:rPr>
          <w:rFonts w:ascii="微软雅黑" w:hAnsi="微软雅黑" w:eastAsia="微软雅黑" w:cs="微软雅黑"/>
          <w:color w:val="221815"/>
          <w:szCs w:val="21"/>
        </w:rPr>
      </w:pPr>
      <w:r>
        <w:rPr>
          <w:rFonts w:hint="eastAsia" w:ascii="微软雅黑" w:hAnsi="微软雅黑" w:eastAsia="微软雅黑" w:cs="微软雅黑"/>
          <w:color w:val="221815"/>
          <w:szCs w:val="21"/>
        </w:rPr>
        <w:t>（三）该项目学生将在中国海洋大学</w:t>
      </w:r>
      <w:r>
        <w:rPr>
          <w:rFonts w:hint="eastAsia" w:ascii="微软雅黑" w:hAnsi="微软雅黑" w:eastAsia="微软雅黑" w:cs="微软雅黑"/>
          <w:b/>
          <w:bCs/>
          <w:color w:val="000000" w:themeColor="text1"/>
          <w:szCs w:val="21"/>
          <w14:textFill>
            <w14:solidFill>
              <w14:schemeClr w14:val="tx1"/>
            </w14:solidFill>
          </w14:textFill>
        </w:rPr>
        <w:t>崂山校内指定教室上课，享受校内食堂、图书馆等校内一卡通</w:t>
      </w:r>
      <w:r>
        <w:rPr>
          <w:rFonts w:hint="eastAsia" w:ascii="微软雅黑" w:hAnsi="微软雅黑" w:eastAsia="微软雅黑" w:cs="微软雅黑"/>
          <w:color w:val="221815"/>
          <w:szCs w:val="21"/>
        </w:rPr>
        <w:t>资源，保障学生顺利完成一年MUR学分豁免课程学习。</w:t>
      </w:r>
    </w:p>
    <w:p>
      <w:pPr>
        <w:rPr>
          <w:rFonts w:ascii="微软雅黑" w:hAnsi="微软雅黑" w:eastAsia="微软雅黑" w:cs="微软雅黑"/>
        </w:rPr>
      </w:pPr>
      <w:r>
        <w:rPr>
          <w:rFonts w:hint="eastAsia" w:ascii="微软雅黑" w:hAnsi="微软雅黑" w:eastAsia="微软雅黑" w:cs="微软雅黑"/>
        </w:rPr>
        <w:t>（四）该项目学生在我校修读的课程，由</w:t>
      </w:r>
      <w:r>
        <w:rPr>
          <w:rFonts w:hint="eastAsia" w:ascii="微软雅黑" w:hAnsi="微软雅黑" w:eastAsia="微软雅黑" w:cs="微软雅黑"/>
          <w:b/>
          <w:bCs/>
        </w:rPr>
        <w:t>中国海洋大学与美国迈阿密大学双方教师联合授课</w:t>
      </w:r>
      <w:r>
        <w:rPr>
          <w:rFonts w:hint="eastAsia" w:ascii="微软雅黑" w:hAnsi="微软雅黑" w:eastAsia="微软雅黑" w:cs="微软雅黑"/>
        </w:rPr>
        <w:t>，经MUR评估认可的国内学分会转换成MUR的学分（一般约30学分左右）；至少有9个学分三门课是由美国迈阿密大学教授亲自来校面授课程；MUR的本科专业一般为124个学分左右。 </w:t>
      </w:r>
    </w:p>
    <w:p>
      <w:pPr>
        <w:rPr>
          <w:rFonts w:ascii="微软雅黑" w:hAnsi="微软雅黑" w:eastAsia="微软雅黑" w:cs="微软雅黑"/>
        </w:rPr>
      </w:pPr>
      <w:r>
        <w:rPr>
          <w:rFonts w:hint="eastAsia" w:ascii="微软雅黑" w:hAnsi="微软雅黑" w:eastAsia="微软雅黑" w:cs="微软雅黑"/>
        </w:rPr>
        <w:t>（五）该项目为学生提供贴心的留学服务。从申请，签证辅导，机票预定，宿舍预订到接机安排，注重学生每一个细节的需求，让每一位学生在留学前得到最全面的帮助，助力他们进入自己向往的理想大学继续深造，为他们保驾护航。</w:t>
      </w:r>
    </w:p>
    <w:p>
      <w:pPr>
        <w:rPr>
          <w:rFonts w:ascii="微软雅黑" w:hAnsi="微软雅黑" w:eastAsia="微软雅黑" w:cs="微软雅黑"/>
        </w:rPr>
      </w:pPr>
      <w:r>
        <w:rPr>
          <w:rFonts w:hint="eastAsia" w:ascii="微软雅黑" w:hAnsi="微软雅黑" w:eastAsia="微软雅黑" w:cs="微软雅黑"/>
        </w:rPr>
        <w:t>（六）学习期间开设特色课程，有助于学生留学背景提升，同时锻炼学生除学习之外的综合能力。国内学习期间学校组织美国冬令营活动，让学生提前感受美国文化，帮助学生更好地接受纯英文的授课环境，感受国外的教育模式与学习氛围。</w:t>
      </w:r>
    </w:p>
    <w:p>
      <w:pPr>
        <w:rPr>
          <w:rFonts w:ascii="微软雅黑" w:hAnsi="微软雅黑" w:eastAsia="微软雅黑" w:cs="微软雅黑"/>
        </w:rPr>
      </w:pPr>
      <w:r>
        <w:rPr>
          <w:rFonts w:hint="eastAsia" w:ascii="微软雅黑" w:hAnsi="微软雅黑" w:eastAsia="微软雅黑" w:cs="微软雅黑"/>
          <w:b/>
          <w:bCs/>
          <w:color w:val="C00000"/>
          <w:shd w:val="clear" w:color="FFFFFF" w:fill="D9D9D9"/>
        </w:rPr>
        <w:t xml:space="preserve">六、其它说明                                                                          </w:t>
      </w:r>
    </w:p>
    <w:p>
      <w:pPr>
        <w:rPr>
          <w:rFonts w:ascii="微软雅黑" w:hAnsi="微软雅黑" w:eastAsia="微软雅黑" w:cs="微软雅黑"/>
        </w:rPr>
      </w:pPr>
      <w:r>
        <w:rPr>
          <w:rFonts w:hint="eastAsia" w:ascii="微软雅黑" w:hAnsi="微软雅黑" w:eastAsia="微软雅黑" w:cs="微软雅黑"/>
        </w:rPr>
        <w:t>（一）学费：参加该项目的学生需向MUR缴纳海外课程管理费6000美金/学年；同时须按规定向中国海洋大学交纳学费 50000人民币/学年；</w:t>
      </w:r>
    </w:p>
    <w:p>
      <w:pPr>
        <w:rPr>
          <w:rFonts w:ascii="微软雅黑" w:hAnsi="微软雅黑" w:eastAsia="微软雅黑" w:cs="微软雅黑"/>
        </w:rPr>
      </w:pPr>
      <w:r>
        <w:rPr>
          <w:rFonts w:hint="eastAsia" w:ascii="微软雅黑" w:hAnsi="微软雅黑" w:eastAsia="微软雅黑" w:cs="微软雅黑"/>
        </w:rPr>
        <w:t>（二）报名测试费：学生需缴纳35美元，或260元人民币 （此费用包含银行间手续费）；</w:t>
      </w:r>
    </w:p>
    <w:p>
      <w:pPr>
        <w:rPr>
          <w:rFonts w:ascii="微软雅黑" w:hAnsi="微软雅黑" w:eastAsia="微软雅黑" w:cs="微软雅黑"/>
        </w:rPr>
      </w:pPr>
      <w:r>
        <w:rPr>
          <w:rFonts w:hint="eastAsia" w:ascii="微软雅黑" w:hAnsi="微软雅黑" w:eastAsia="微软雅黑" w:cs="微软雅黑"/>
        </w:rPr>
        <w:t>（三）其它费用：签证费、食宿费、国际旅行费、医疗保险费等费用由项目学生自理；</w:t>
      </w:r>
    </w:p>
    <w:p>
      <w:pPr>
        <w:rPr>
          <w:rFonts w:ascii="微软雅黑" w:hAnsi="微软雅黑" w:eastAsia="微软雅黑" w:cs="微软雅黑"/>
          <w:b/>
          <w:bCs/>
          <w:color w:val="C00000"/>
          <w:shd w:val="clear" w:color="FFFFFF" w:fill="D9D9D9"/>
        </w:rPr>
      </w:pPr>
      <w:r>
        <w:rPr>
          <w:rFonts w:hint="eastAsia" w:ascii="微软雅黑" w:hAnsi="微软雅黑" w:eastAsia="微软雅黑" w:cs="微软雅黑"/>
          <w:b/>
          <w:bCs/>
          <w:color w:val="C00000"/>
          <w:shd w:val="clear" w:color="FFFFFF" w:fill="D9D9D9"/>
        </w:rPr>
        <w:t xml:space="preserve">七、课程安排                                                                           </w:t>
      </w:r>
    </w:p>
    <w:p>
      <w:pPr>
        <w:rPr>
          <w:rFonts w:ascii="微软雅黑" w:hAnsi="微软雅黑" w:eastAsia="微软雅黑" w:cs="微软雅黑"/>
          <w:b/>
          <w:bCs/>
          <w:color w:val="C00000"/>
        </w:rPr>
      </w:pPr>
      <w:r>
        <w:rPr>
          <w:rFonts w:hint="eastAsia" w:ascii="微软雅黑" w:hAnsi="微软雅黑" w:eastAsia="微软雅黑" w:cs="微软雅黑"/>
          <w:b/>
          <w:bCs/>
          <w:color w:val="C00000"/>
        </w:rPr>
        <w:t>语言课程</w:t>
      </w:r>
    </w:p>
    <w:p>
      <w:p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英语词汇、阅读、写作，英语语法、听力、口语（外教）</w:t>
      </w:r>
    </w:p>
    <w:p>
      <w:p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强化阅读、写作、口语、听力考试技巧、模拟雅思考试、雅思考试</w:t>
      </w:r>
    </w:p>
    <w:p>
      <w:pPr>
        <w:rPr>
          <w:rFonts w:ascii="微软雅黑" w:hAnsi="微软雅黑" w:eastAsia="微软雅黑" w:cs="微软雅黑"/>
          <w:b/>
          <w:bCs/>
          <w:color w:val="C00000"/>
        </w:rPr>
      </w:pPr>
      <w:r>
        <w:rPr>
          <w:rFonts w:hint="eastAsia" w:ascii="微软雅黑" w:hAnsi="微软雅黑" w:eastAsia="微软雅黑" w:cs="微软雅黑"/>
          <w:b/>
          <w:bCs/>
          <w:color w:val="C00000"/>
        </w:rPr>
        <w:t>迈阿密大学专业课</w:t>
      </w:r>
    </w:p>
    <w:p>
      <w:pPr>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心理学（通识课）、全球商业概论（通识课）、市场营销（专业）、西方文化（通识课）、艺术概论（通识课）、统计学（通识课）、会计（专业课）、管理学（专业课）、商业经济学（专业课）</w:t>
      </w:r>
    </w:p>
    <w:p>
      <w:pPr>
        <w:rPr>
          <w:rStyle w:val="15"/>
          <w:rFonts w:ascii="微软雅黑" w:hAnsi="微软雅黑" w:eastAsia="微软雅黑" w:cs="微软雅黑"/>
          <w:b/>
          <w:bCs/>
          <w:color w:val="C00000"/>
        </w:rPr>
      </w:pPr>
      <w:r>
        <w:rPr>
          <w:rStyle w:val="15"/>
          <w:rFonts w:hint="eastAsia" w:ascii="微软雅黑" w:hAnsi="微软雅黑" w:eastAsia="微软雅黑" w:cs="微软雅黑"/>
          <w:b/>
          <w:bCs/>
          <w:color w:val="C00000"/>
        </w:rPr>
        <w:t>申请MUR热门专业方向</w:t>
      </w:r>
    </w:p>
    <w:p>
      <w:pPr>
        <w:rPr>
          <w:rStyle w:val="15"/>
          <w:rFonts w:ascii="微软雅黑" w:hAnsi="微软雅黑" w:eastAsia="微软雅黑" w:cs="微软雅黑"/>
          <w:color w:val="000000" w:themeColor="text1"/>
          <w14:textFill>
            <w14:solidFill>
              <w14:schemeClr w14:val="tx1"/>
            </w14:solidFill>
          </w14:textFill>
        </w:rPr>
      </w:pPr>
      <w:r>
        <w:rPr>
          <w:rStyle w:val="15"/>
          <w:rFonts w:hint="eastAsia" w:ascii="微软雅黑" w:hAnsi="微软雅黑" w:eastAsia="微软雅黑" w:cs="微软雅黑"/>
          <w:color w:val="000000" w:themeColor="text1"/>
          <w14:textFill>
            <w14:solidFill>
              <w14:schemeClr w14:val="tx1"/>
            </w14:solidFill>
          </w14:textFill>
        </w:rPr>
        <w:t>商业学、金融、企业管理、供应链和运营管理学、商业经济学、营销学、城市与区域发展、护理学、心理科学、工程管理学、计算机工程、艺术管理、软件工程、传媒学</w:t>
      </w:r>
    </w:p>
    <w:p>
      <w:pPr>
        <w:rPr>
          <w:rStyle w:val="15"/>
          <w:rFonts w:ascii="微软雅黑" w:hAnsi="微软雅黑" w:eastAsia="微软雅黑" w:cs="微软雅黑"/>
          <w:color w:val="000000" w:themeColor="text1"/>
          <w14:textFill>
            <w14:solidFill>
              <w14:schemeClr w14:val="tx1"/>
            </w14:solidFill>
          </w14:textFill>
        </w:rPr>
      </w:pPr>
    </w:p>
    <w:p>
      <w:pPr>
        <w:rPr>
          <w:rFonts w:ascii="微软雅黑" w:hAnsi="微软雅黑" w:eastAsia="微软雅黑" w:cs="微软雅黑"/>
          <w:b/>
          <w:bCs/>
          <w:color w:val="C00000"/>
          <w:shd w:val="clear" w:color="FFFFFF" w:fill="D9D9D9"/>
        </w:rPr>
      </w:pPr>
      <w:r>
        <w:rPr>
          <w:rFonts w:hint="eastAsia" w:ascii="微软雅黑" w:hAnsi="微软雅黑" w:eastAsia="微软雅黑" w:cs="微软雅黑"/>
          <w:b/>
          <w:bCs/>
          <w:color w:val="C00000"/>
          <w:shd w:val="clear" w:color="FFFFFF" w:fill="D9D9D9"/>
        </w:rPr>
        <w:t xml:space="preserve">八、入学报名时间和授课地点                                                            </w:t>
      </w:r>
    </w:p>
    <w:p>
      <w:pPr>
        <w:rPr>
          <w:rFonts w:ascii="微软雅黑" w:hAnsi="微软雅黑" w:eastAsia="微软雅黑" w:cs="微软雅黑"/>
          <w:szCs w:val="21"/>
        </w:rPr>
      </w:pPr>
      <w:r>
        <w:rPr>
          <w:rFonts w:hint="eastAsia" w:ascii="微软雅黑" w:hAnsi="微软雅黑" w:eastAsia="微软雅黑" w:cs="微软雅黑"/>
          <w:szCs w:val="21"/>
        </w:rPr>
        <w:t>报名日期：2019年3月1日-8月23日</w:t>
      </w:r>
    </w:p>
    <w:p>
      <w:pPr>
        <w:rPr>
          <w:rStyle w:val="15"/>
          <w:rFonts w:ascii="微软雅黑" w:hAnsi="微软雅黑" w:eastAsia="微软雅黑" w:cs="微软雅黑"/>
        </w:rPr>
      </w:pPr>
      <w:r>
        <w:rPr>
          <w:rFonts w:hint="eastAsia" w:ascii="微软雅黑" w:hAnsi="微软雅黑" w:eastAsia="微软雅黑" w:cs="微软雅黑"/>
          <w:szCs w:val="21"/>
        </w:rPr>
        <w:t>报到日期：2019年9月4日</w:t>
      </w:r>
    </w:p>
    <w:p>
      <w:pPr>
        <w:rPr>
          <w:rStyle w:val="15"/>
          <w:rFonts w:ascii="微软雅黑" w:hAnsi="微软雅黑" w:eastAsia="微软雅黑" w:cs="微软雅黑"/>
        </w:rPr>
      </w:pPr>
      <w:r>
        <w:rPr>
          <w:rStyle w:val="15"/>
          <w:rFonts w:hint="eastAsia" w:ascii="微软雅黑" w:hAnsi="微软雅黑" w:eastAsia="微软雅黑" w:cs="微软雅黑"/>
        </w:rPr>
        <w:t>开学典礼日期：2019年9月6日</w:t>
      </w:r>
    </w:p>
    <w:p>
      <w:pPr>
        <w:rPr>
          <w:rFonts w:ascii="微软雅黑" w:hAnsi="微软雅黑" w:eastAsia="微软雅黑" w:cs="微软雅黑"/>
          <w:szCs w:val="21"/>
        </w:rPr>
      </w:pPr>
      <w:r>
        <w:rPr>
          <w:rFonts w:hint="eastAsia" w:ascii="微软雅黑" w:hAnsi="微软雅黑" w:eastAsia="微软雅黑" w:cs="微软雅黑"/>
          <w:szCs w:val="21"/>
        </w:rPr>
        <w:t>上课地点：中国海洋大学崂山校区</w:t>
      </w:r>
    </w:p>
    <w:p>
      <w:pPr>
        <w:rPr>
          <w:rFonts w:ascii="微软雅黑" w:hAnsi="微软雅黑" w:eastAsia="微软雅黑" w:cs="微软雅黑"/>
          <w:b/>
          <w:bCs/>
          <w:color w:val="C00000"/>
          <w:shd w:val="clear" w:color="FFFFFF" w:fill="D9D9D9"/>
        </w:rPr>
      </w:pPr>
      <w:r>
        <w:rPr>
          <w:rFonts w:hint="eastAsia" w:ascii="微软雅黑" w:hAnsi="微软雅黑" w:eastAsia="微软雅黑" w:cs="微软雅黑"/>
          <w:b/>
          <w:bCs/>
          <w:color w:val="C00000"/>
          <w:shd w:val="clear" w:color="FFFFFF" w:fill="D9D9D9"/>
        </w:rPr>
        <w:t xml:space="preserve">九、报名方式                                                                        </w:t>
      </w:r>
    </w:p>
    <w:p>
      <w:pPr>
        <w:rPr>
          <w:rFonts w:hint="eastAsia" w:ascii="微软雅黑" w:hAnsi="微软雅黑" w:eastAsia="微软雅黑" w:cs="微软雅黑"/>
          <w:szCs w:val="21"/>
          <w:lang w:eastAsia="zh-CN"/>
        </w:rPr>
      </w:pPr>
      <w:r>
        <w:rPr>
          <w:rFonts w:hint="eastAsia" w:ascii="微软雅黑" w:hAnsi="微软雅黑" w:eastAsia="微软雅黑" w:cs="微软雅黑"/>
          <w:szCs w:val="21"/>
        </w:rPr>
        <w:t>学生或家长</w:t>
      </w:r>
      <w:r>
        <w:rPr>
          <w:rFonts w:hint="eastAsia" w:ascii="微软雅黑" w:hAnsi="微软雅黑" w:eastAsia="微软雅黑" w:cs="微软雅黑"/>
          <w:szCs w:val="21"/>
          <w:lang w:eastAsia="zh-CN"/>
        </w:rPr>
        <w:t>直接填写报名表报名。</w:t>
      </w:r>
    </w:p>
    <w:p>
      <w:pPr>
        <w:rPr>
          <w:rFonts w:ascii="微软雅黑" w:hAnsi="微软雅黑" w:eastAsia="微软雅黑" w:cs="微软雅黑"/>
          <w:b/>
          <w:bCs/>
          <w:color w:val="C00000"/>
          <w:shd w:val="clear" w:color="FFFFFF" w:fill="D9D9D9"/>
        </w:rPr>
      </w:pPr>
      <w:r>
        <w:rPr>
          <w:rFonts w:hint="eastAsia" w:ascii="微软雅黑" w:hAnsi="微软雅黑" w:eastAsia="微软雅黑" w:cs="微软雅黑"/>
          <w:b/>
          <w:bCs/>
          <w:color w:val="C00000"/>
          <w:shd w:val="clear" w:color="FFFFFF" w:fill="D9D9D9"/>
        </w:rPr>
        <w:t xml:space="preserve">十、联系方式                                                                         </w:t>
      </w:r>
    </w:p>
    <w:p>
      <w:pPr>
        <w:rPr>
          <w:rFonts w:hint="eastAsia" w:ascii="微软雅黑" w:hAnsi="微软雅黑" w:eastAsia="微软雅黑" w:cs="微软雅黑"/>
          <w:lang w:val="en-US" w:eastAsia="zh-CN"/>
        </w:rPr>
      </w:pPr>
      <w:r>
        <w:rPr>
          <w:rFonts w:hint="eastAsia" w:ascii="微软雅黑" w:hAnsi="微软雅黑" w:eastAsia="微软雅黑" w:cs="微软雅黑"/>
          <w:lang w:eastAsia="zh-CN"/>
        </w:rPr>
        <w:t>全国招生热线：</w:t>
      </w:r>
      <w:r>
        <w:rPr>
          <w:rFonts w:hint="eastAsia" w:ascii="微软雅黑" w:hAnsi="微软雅黑" w:eastAsia="微软雅黑" w:cs="微软雅黑"/>
          <w:lang w:val="en-US" w:eastAsia="zh-CN"/>
        </w:rPr>
        <w:t>400-061-6586</w:t>
      </w: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pPr>
        <w:ind w:firstLine="3780" w:firstLineChars="1800"/>
        <w:rPr>
          <w:rFonts w:hint="eastAsia" w:ascii="微软雅黑" w:hAnsi="微软雅黑" w:eastAsia="微软雅黑" w:cs="微软雅黑"/>
          <w:lang w:val="en-US" w:eastAsia="zh-CN"/>
        </w:rPr>
      </w:pPr>
      <w:bookmarkStart w:id="0" w:name="_GoBack"/>
      <w:bookmarkEnd w:id="0"/>
      <w:r>
        <w:rPr>
          <w:rFonts w:hint="eastAsia" w:ascii="微软雅黑" w:hAnsi="微软雅黑" w:eastAsia="微软雅黑" w:cs="微软雅黑"/>
          <w:lang w:val="en-US" w:eastAsia="zh-CN"/>
        </w:rPr>
        <w:t xml:space="preserve"> 报名表</w:t>
      </w:r>
    </w:p>
    <w:tbl>
      <w:tblPr>
        <w:tblStyle w:val="7"/>
        <w:tblpPr w:leftFromText="180" w:rightFromText="180" w:vertAnchor="page" w:horzAnchor="margin" w:tblpXSpec="center" w:tblpY="2926"/>
        <w:tblW w:w="100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2"/>
        <w:gridCol w:w="308"/>
        <w:gridCol w:w="968"/>
        <w:gridCol w:w="482"/>
        <w:gridCol w:w="537"/>
        <w:gridCol w:w="730"/>
        <w:gridCol w:w="331"/>
        <w:gridCol w:w="251"/>
        <w:gridCol w:w="154"/>
        <w:gridCol w:w="721"/>
        <w:gridCol w:w="215"/>
        <w:gridCol w:w="145"/>
        <w:gridCol w:w="514"/>
        <w:gridCol w:w="189"/>
        <w:gridCol w:w="422"/>
        <w:gridCol w:w="520"/>
        <w:gridCol w:w="2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trPr>
        <w:tc>
          <w:tcPr>
            <w:tcW w:w="10019" w:type="dxa"/>
            <w:gridSpan w:val="17"/>
            <w:tcBorders>
              <w:bottom w:val="single" w:color="auto" w:sz="4" w:space="0"/>
            </w:tcBorders>
            <w:shd w:val="clear" w:color="auto" w:fill="0070C0"/>
            <w:noWrap w:val="0"/>
            <w:vAlign w:val="center"/>
          </w:tcPr>
          <w:p>
            <w:pPr>
              <w:spacing w:before="100" w:beforeAutospacing="1" w:after="100" w:afterAutospacing="1"/>
              <w:jc w:val="center"/>
              <w:rPr>
                <w:rFonts w:hint="eastAsia" w:ascii="黑体" w:hAnsi="华文中宋" w:eastAsia="黑体" w:cs="宋体"/>
                <w:b/>
                <w:kern w:val="0"/>
                <w:sz w:val="24"/>
                <w:szCs w:val="24"/>
              </w:rPr>
            </w:pPr>
            <w:r>
              <w:rPr>
                <w:rFonts w:hint="eastAsia" w:ascii="黑体" w:hAnsi="华文中宋" w:eastAsia="黑体" w:cs="宋体"/>
                <w:b/>
                <w:color w:val="FFFFFF"/>
                <w:kern w:val="0"/>
                <w:sz w:val="24"/>
                <w:szCs w:val="24"/>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6" w:hRule="atLeast"/>
        </w:trPr>
        <w:tc>
          <w:tcPr>
            <w:tcW w:w="1312" w:type="dxa"/>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姓   名</w:t>
            </w:r>
          </w:p>
        </w:tc>
        <w:tc>
          <w:tcPr>
            <w:tcW w:w="1758" w:type="dxa"/>
            <w:gridSpan w:val="3"/>
            <w:noWrap w:val="0"/>
            <w:vAlign w:val="center"/>
          </w:tcPr>
          <w:p>
            <w:pPr>
              <w:spacing w:before="100" w:beforeAutospacing="1" w:after="100" w:afterAutospacing="1"/>
              <w:ind w:left="-60"/>
              <w:jc w:val="center"/>
              <w:rPr>
                <w:rFonts w:hint="eastAsia" w:ascii="黑体" w:hAnsi="华文中宋" w:eastAsia="黑体" w:cs="宋体"/>
                <w:kern w:val="0"/>
                <w:sz w:val="22"/>
              </w:rPr>
            </w:pPr>
          </w:p>
        </w:tc>
        <w:tc>
          <w:tcPr>
            <w:tcW w:w="1267" w:type="dxa"/>
            <w:gridSpan w:val="2"/>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英文名</w:t>
            </w:r>
          </w:p>
        </w:tc>
        <w:tc>
          <w:tcPr>
            <w:tcW w:w="1457" w:type="dxa"/>
            <w:gridSpan w:val="4"/>
            <w:tcBorders>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p>
        </w:tc>
        <w:tc>
          <w:tcPr>
            <w:tcW w:w="874" w:type="dxa"/>
            <w:gridSpan w:val="3"/>
            <w:tcBorders>
              <w:left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性别</w:t>
            </w:r>
          </w:p>
        </w:tc>
        <w:tc>
          <w:tcPr>
            <w:tcW w:w="1131" w:type="dxa"/>
            <w:gridSpan w:val="3"/>
            <w:tcBorders>
              <w:lef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2220" w:type="dxa"/>
            <w:vMerge w:val="restart"/>
            <w:noWrap w:val="0"/>
            <w:vAlign w:val="center"/>
          </w:tcPr>
          <w:p>
            <w:pPr>
              <w:spacing w:before="100" w:beforeAutospacing="1" w:after="100" w:afterAutospacing="1"/>
              <w:ind w:left="-60"/>
              <w:jc w:val="center"/>
              <w:rPr>
                <w:rFonts w:ascii="华文中宋" w:hAnsi="华文中宋" w:eastAsia="华文中宋" w:cs="宋体"/>
                <w:kern w:val="0"/>
                <w:sz w:val="22"/>
              </w:rPr>
            </w:pPr>
            <w:r>
              <w:rPr>
                <w:rFonts w:hint="eastAsia" w:ascii="黑体" w:hAnsi="华文中宋" w:eastAsia="黑体" w:cs="宋体"/>
                <w:kern w:val="0"/>
                <w:sz w:val="22"/>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6" w:hRule="atLeast"/>
        </w:trPr>
        <w:tc>
          <w:tcPr>
            <w:tcW w:w="1312" w:type="dxa"/>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民   族</w:t>
            </w:r>
          </w:p>
        </w:tc>
        <w:tc>
          <w:tcPr>
            <w:tcW w:w="1276" w:type="dxa"/>
            <w:gridSpan w:val="2"/>
            <w:noWrap w:val="0"/>
            <w:vAlign w:val="center"/>
          </w:tcPr>
          <w:p>
            <w:pPr>
              <w:spacing w:before="100" w:beforeAutospacing="1" w:after="100" w:afterAutospacing="1"/>
              <w:ind w:left="-60"/>
              <w:jc w:val="center"/>
              <w:rPr>
                <w:rFonts w:hint="eastAsia" w:ascii="黑体" w:hAnsi="华文中宋" w:eastAsia="黑体" w:cs="宋体"/>
                <w:kern w:val="0"/>
                <w:sz w:val="22"/>
              </w:rPr>
            </w:pPr>
          </w:p>
        </w:tc>
        <w:tc>
          <w:tcPr>
            <w:tcW w:w="1019" w:type="dxa"/>
            <w:gridSpan w:val="2"/>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年龄</w:t>
            </w:r>
          </w:p>
        </w:tc>
        <w:tc>
          <w:tcPr>
            <w:tcW w:w="1061" w:type="dxa"/>
            <w:gridSpan w:val="2"/>
            <w:noWrap w:val="0"/>
            <w:vAlign w:val="center"/>
          </w:tcPr>
          <w:p>
            <w:pPr>
              <w:spacing w:before="100" w:beforeAutospacing="1" w:after="100" w:afterAutospacing="1"/>
              <w:ind w:left="-60"/>
              <w:jc w:val="center"/>
              <w:rPr>
                <w:rFonts w:hint="eastAsia" w:ascii="黑体" w:hAnsi="华文中宋" w:eastAsia="黑体" w:cs="宋体"/>
                <w:kern w:val="0"/>
                <w:sz w:val="22"/>
              </w:rPr>
            </w:pPr>
          </w:p>
        </w:tc>
        <w:tc>
          <w:tcPr>
            <w:tcW w:w="1341" w:type="dxa"/>
            <w:gridSpan w:val="4"/>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出生日期</w:t>
            </w:r>
          </w:p>
        </w:tc>
        <w:tc>
          <w:tcPr>
            <w:tcW w:w="1790" w:type="dxa"/>
            <w:gridSpan w:val="5"/>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2220" w:type="dxa"/>
            <w:vMerge w:val="continue"/>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1" w:hRule="atLeast"/>
        </w:trPr>
        <w:tc>
          <w:tcPr>
            <w:tcW w:w="1312" w:type="dxa"/>
            <w:noWrap w:val="0"/>
            <w:vAlign w:val="center"/>
          </w:tcPr>
          <w:p>
            <w:pPr>
              <w:jc w:val="center"/>
              <w:rPr>
                <w:rFonts w:hint="eastAsia" w:ascii="黑体" w:eastAsia="黑体"/>
                <w:sz w:val="22"/>
              </w:rPr>
            </w:pPr>
            <w:r>
              <w:rPr>
                <w:rFonts w:hint="eastAsia" w:ascii="黑体" w:eastAsia="黑体"/>
                <w:sz w:val="22"/>
              </w:rPr>
              <w:t>身份证号</w:t>
            </w:r>
          </w:p>
        </w:tc>
        <w:tc>
          <w:tcPr>
            <w:tcW w:w="6487" w:type="dxa"/>
            <w:gridSpan w:val="15"/>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2220" w:type="dxa"/>
            <w:vMerge w:val="continue"/>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7" w:hRule="atLeast"/>
        </w:trPr>
        <w:tc>
          <w:tcPr>
            <w:tcW w:w="1312" w:type="dxa"/>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毕业学校</w:t>
            </w:r>
          </w:p>
        </w:tc>
        <w:tc>
          <w:tcPr>
            <w:tcW w:w="6487" w:type="dxa"/>
            <w:gridSpan w:val="15"/>
            <w:noWrap w:val="0"/>
            <w:vAlign w:val="center"/>
          </w:tcPr>
          <w:p>
            <w:pPr>
              <w:spacing w:before="100" w:beforeAutospacing="1" w:after="100" w:afterAutospacing="1"/>
              <w:jc w:val="center"/>
              <w:rPr>
                <w:rFonts w:ascii="华文中宋" w:hAnsi="华文中宋" w:eastAsia="华文中宋" w:cs="宋体"/>
                <w:kern w:val="0"/>
                <w:sz w:val="22"/>
              </w:rPr>
            </w:pPr>
          </w:p>
        </w:tc>
        <w:tc>
          <w:tcPr>
            <w:tcW w:w="2220" w:type="dxa"/>
            <w:vMerge w:val="continue"/>
            <w:tcBorders>
              <w:bottom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7" w:hRule="atLeast"/>
        </w:trPr>
        <w:tc>
          <w:tcPr>
            <w:tcW w:w="1312" w:type="dxa"/>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通讯地址</w:t>
            </w:r>
          </w:p>
        </w:tc>
        <w:tc>
          <w:tcPr>
            <w:tcW w:w="5545" w:type="dxa"/>
            <w:gridSpan w:val="13"/>
            <w:tcBorders>
              <w:right w:val="single" w:color="auto" w:sz="4" w:space="0"/>
            </w:tcBorders>
            <w:noWrap w:val="0"/>
            <w:vAlign w:val="center"/>
          </w:tcPr>
          <w:p>
            <w:pPr>
              <w:spacing w:before="100" w:beforeAutospacing="1" w:after="100" w:afterAutospacing="1"/>
              <w:ind w:left="-60"/>
              <w:jc w:val="center"/>
              <w:rPr>
                <w:rFonts w:hint="eastAsia" w:ascii="华文中宋" w:hAnsi="华文中宋" w:eastAsia="华文中宋" w:cs="宋体"/>
                <w:kern w:val="0"/>
                <w:sz w:val="22"/>
              </w:rPr>
            </w:pPr>
          </w:p>
        </w:tc>
        <w:tc>
          <w:tcPr>
            <w:tcW w:w="942" w:type="dxa"/>
            <w:gridSpan w:val="2"/>
            <w:tcBorders>
              <w:left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邮编</w:t>
            </w:r>
          </w:p>
        </w:tc>
        <w:tc>
          <w:tcPr>
            <w:tcW w:w="2220" w:type="dxa"/>
            <w:tcBorders>
              <w:lef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1" w:hRule="atLeast"/>
        </w:trPr>
        <w:tc>
          <w:tcPr>
            <w:tcW w:w="1312" w:type="dxa"/>
            <w:tcBorders>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户口所在地</w:t>
            </w:r>
          </w:p>
        </w:tc>
        <w:tc>
          <w:tcPr>
            <w:tcW w:w="3607" w:type="dxa"/>
            <w:gridSpan w:val="7"/>
            <w:tcBorders>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1938" w:type="dxa"/>
            <w:gridSpan w:val="6"/>
            <w:tcBorders>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籍      贯</w:t>
            </w:r>
          </w:p>
        </w:tc>
        <w:tc>
          <w:tcPr>
            <w:tcW w:w="3162" w:type="dxa"/>
            <w:gridSpan w:val="3"/>
            <w:tcBorders>
              <w:left w:val="single" w:color="auto" w:sz="4" w:space="0"/>
              <w:bottom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6" w:hRule="atLeast"/>
        </w:trPr>
        <w:tc>
          <w:tcPr>
            <w:tcW w:w="1312" w:type="dxa"/>
            <w:tcBorders>
              <w:top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微信号</w:t>
            </w:r>
          </w:p>
        </w:tc>
        <w:tc>
          <w:tcPr>
            <w:tcW w:w="3607" w:type="dxa"/>
            <w:gridSpan w:val="7"/>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1938" w:type="dxa"/>
            <w:gridSpan w:val="6"/>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本人联系方式</w:t>
            </w:r>
          </w:p>
        </w:tc>
        <w:tc>
          <w:tcPr>
            <w:tcW w:w="3162" w:type="dxa"/>
            <w:gridSpan w:val="3"/>
            <w:tcBorders>
              <w:top w:val="single" w:color="auto" w:sz="4" w:space="0"/>
              <w:left w:val="single" w:color="auto" w:sz="4" w:space="0"/>
              <w:bottom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6" w:hRule="atLeast"/>
        </w:trPr>
        <w:tc>
          <w:tcPr>
            <w:tcW w:w="10019" w:type="dxa"/>
            <w:gridSpan w:val="17"/>
            <w:tcBorders>
              <w:top w:val="single" w:color="auto" w:sz="4" w:space="0"/>
              <w:bottom w:val="single" w:color="auto" w:sz="4" w:space="0"/>
            </w:tcBorders>
            <w:shd w:val="clear" w:color="auto" w:fill="0070C0"/>
            <w:noWrap w:val="0"/>
            <w:vAlign w:val="center"/>
          </w:tcPr>
          <w:p>
            <w:pPr>
              <w:spacing w:before="100" w:beforeAutospacing="1" w:after="100" w:afterAutospacing="1"/>
              <w:ind w:left="-60"/>
              <w:jc w:val="center"/>
              <w:rPr>
                <w:rFonts w:hint="eastAsia" w:ascii="黑体" w:hAnsi="华文中宋" w:eastAsia="黑体" w:cs="宋体"/>
                <w:b/>
                <w:kern w:val="0"/>
                <w:sz w:val="24"/>
                <w:szCs w:val="24"/>
              </w:rPr>
            </w:pPr>
            <w:r>
              <w:rPr>
                <w:rFonts w:hint="eastAsia" w:ascii="黑体" w:hAnsi="华文中宋" w:eastAsia="黑体" w:cs="宋体"/>
                <w:b/>
                <w:color w:val="FFFFFF"/>
                <w:kern w:val="0"/>
                <w:sz w:val="24"/>
                <w:szCs w:val="24"/>
              </w:rPr>
              <w:t>家庭成员信息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7" w:hRule="atLeast"/>
        </w:trPr>
        <w:tc>
          <w:tcPr>
            <w:tcW w:w="1620" w:type="dxa"/>
            <w:gridSpan w:val="2"/>
            <w:tcBorders>
              <w:top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1450" w:type="dxa"/>
            <w:gridSpan w:val="2"/>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姓名</w:t>
            </w:r>
          </w:p>
        </w:tc>
        <w:tc>
          <w:tcPr>
            <w:tcW w:w="3084" w:type="dxa"/>
            <w:gridSpan w:val="8"/>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工作单位</w:t>
            </w:r>
          </w:p>
        </w:tc>
        <w:tc>
          <w:tcPr>
            <w:tcW w:w="1125" w:type="dxa"/>
            <w:gridSpan w:val="3"/>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职位</w:t>
            </w:r>
          </w:p>
        </w:tc>
        <w:tc>
          <w:tcPr>
            <w:tcW w:w="2740" w:type="dxa"/>
            <w:gridSpan w:val="2"/>
            <w:tcBorders>
              <w:top w:val="single" w:color="auto" w:sz="4" w:space="0"/>
              <w:left w:val="single" w:color="auto" w:sz="4" w:space="0"/>
              <w:bottom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4" w:hRule="atLeast"/>
        </w:trPr>
        <w:tc>
          <w:tcPr>
            <w:tcW w:w="1620" w:type="dxa"/>
            <w:gridSpan w:val="2"/>
            <w:tcBorders>
              <w:top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父亲</w:t>
            </w:r>
          </w:p>
        </w:tc>
        <w:tc>
          <w:tcPr>
            <w:tcW w:w="1450" w:type="dxa"/>
            <w:gridSpan w:val="2"/>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3084" w:type="dxa"/>
            <w:gridSpan w:val="8"/>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1125" w:type="dxa"/>
            <w:gridSpan w:val="3"/>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2740" w:type="dxa"/>
            <w:gridSpan w:val="2"/>
            <w:tcBorders>
              <w:top w:val="single" w:color="auto" w:sz="4" w:space="0"/>
              <w:left w:val="single" w:color="auto" w:sz="4" w:space="0"/>
              <w:bottom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3" w:hRule="atLeast"/>
        </w:trPr>
        <w:tc>
          <w:tcPr>
            <w:tcW w:w="1620" w:type="dxa"/>
            <w:gridSpan w:val="2"/>
            <w:tcBorders>
              <w:top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母亲</w:t>
            </w:r>
          </w:p>
        </w:tc>
        <w:tc>
          <w:tcPr>
            <w:tcW w:w="1450" w:type="dxa"/>
            <w:gridSpan w:val="2"/>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3084" w:type="dxa"/>
            <w:gridSpan w:val="8"/>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1125" w:type="dxa"/>
            <w:gridSpan w:val="3"/>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c>
          <w:tcPr>
            <w:tcW w:w="2740" w:type="dxa"/>
            <w:gridSpan w:val="2"/>
            <w:tcBorders>
              <w:top w:val="single" w:color="auto" w:sz="4" w:space="0"/>
              <w:left w:val="single" w:color="auto" w:sz="4" w:space="0"/>
              <w:bottom w:val="single" w:color="auto" w:sz="4" w:space="0"/>
            </w:tcBorders>
            <w:noWrap w:val="0"/>
            <w:vAlign w:val="center"/>
          </w:tcPr>
          <w:p>
            <w:pPr>
              <w:spacing w:before="100" w:beforeAutospacing="1" w:after="100" w:afterAutospacing="1"/>
              <w:ind w:left="-60"/>
              <w:jc w:val="center"/>
              <w:rPr>
                <w:rFonts w:ascii="华文中宋" w:hAnsi="华文中宋" w:eastAsia="华文中宋" w:cs="宋体"/>
                <w:kern w:val="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7" w:hRule="atLeast"/>
        </w:trPr>
        <w:tc>
          <w:tcPr>
            <w:tcW w:w="10019" w:type="dxa"/>
            <w:gridSpan w:val="17"/>
            <w:tcBorders>
              <w:top w:val="single" w:color="auto" w:sz="4" w:space="0"/>
              <w:bottom w:val="single" w:color="auto" w:sz="4" w:space="0"/>
            </w:tcBorders>
            <w:shd w:val="clear" w:color="auto" w:fill="0070C0"/>
            <w:noWrap w:val="0"/>
            <w:vAlign w:val="center"/>
          </w:tcPr>
          <w:p>
            <w:pPr>
              <w:spacing w:before="100" w:beforeAutospacing="1" w:after="100" w:afterAutospacing="1"/>
              <w:ind w:left="-60"/>
              <w:jc w:val="center"/>
              <w:rPr>
                <w:rFonts w:hint="eastAsia" w:ascii="黑体" w:hAnsi="华文中宋" w:eastAsia="黑体" w:cs="宋体"/>
                <w:b/>
                <w:kern w:val="0"/>
                <w:sz w:val="24"/>
                <w:szCs w:val="24"/>
              </w:rPr>
            </w:pPr>
            <w:r>
              <w:rPr>
                <w:rFonts w:hint="eastAsia" w:ascii="黑体" w:hAnsi="华文中宋" w:eastAsia="黑体" w:cs="宋体"/>
                <w:b/>
                <w:color w:val="FFFFFF"/>
                <w:kern w:val="0"/>
                <w:sz w:val="24"/>
                <w:szCs w:val="24"/>
              </w:rPr>
              <w:t>学生考试情况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trPr>
        <w:tc>
          <w:tcPr>
            <w:tcW w:w="5073" w:type="dxa"/>
            <w:gridSpan w:val="9"/>
            <w:tcBorders>
              <w:top w:val="single" w:color="auto" w:sz="4" w:space="0"/>
              <w:bottom w:val="single" w:color="auto" w:sz="4" w:space="0"/>
              <w:right w:val="single" w:color="auto" w:sz="4" w:space="0"/>
            </w:tcBorders>
            <w:noWrap w:val="0"/>
            <w:vAlign w:val="center"/>
          </w:tcPr>
          <w:p>
            <w:pPr>
              <w:spacing w:before="100" w:beforeAutospacing="1" w:after="100" w:afterAutospacing="1"/>
              <w:ind w:left="-60"/>
              <w:jc w:val="center"/>
              <w:rPr>
                <w:rFonts w:hint="eastAsia" w:ascii="黑体" w:hAnsi="华文中宋" w:eastAsia="黑体" w:cs="宋体"/>
                <w:kern w:val="0"/>
                <w:sz w:val="22"/>
              </w:rPr>
            </w:pPr>
            <w:r>
              <w:rPr>
                <w:rFonts w:hint="eastAsia" w:ascii="黑体" w:hAnsi="华文中宋" w:eastAsia="黑体" w:cs="宋体"/>
                <w:kern w:val="0"/>
                <w:sz w:val="22"/>
              </w:rPr>
              <w:t>如已参加高考，请填写以下内容：</w:t>
            </w:r>
          </w:p>
        </w:tc>
        <w:tc>
          <w:tcPr>
            <w:tcW w:w="4946" w:type="dxa"/>
            <w:gridSpan w:val="8"/>
            <w:tcBorders>
              <w:top w:val="single" w:color="auto" w:sz="4" w:space="0"/>
              <w:left w:val="single" w:color="auto" w:sz="4" w:space="0"/>
              <w:bottom w:val="single" w:color="auto" w:sz="4" w:space="0"/>
            </w:tcBorders>
            <w:noWrap w:val="0"/>
            <w:vAlign w:val="center"/>
          </w:tcPr>
          <w:p>
            <w:pPr>
              <w:spacing w:before="100" w:beforeAutospacing="1" w:after="100" w:afterAutospacing="1"/>
              <w:jc w:val="center"/>
              <w:rPr>
                <w:rFonts w:hint="eastAsia" w:ascii="黑体" w:hAnsi="华文中宋" w:eastAsia="黑体" w:cs="宋体"/>
                <w:kern w:val="0"/>
                <w:sz w:val="22"/>
              </w:rPr>
            </w:pPr>
            <w:r>
              <w:rPr>
                <w:rFonts w:hint="eastAsia" w:ascii="黑体" w:hAnsi="华文中宋" w:eastAsia="黑体" w:cs="宋体"/>
                <w:kern w:val="0"/>
                <w:sz w:val="22"/>
              </w:rPr>
              <w:t>如参加雅思/托福考试，请填写以下内容：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8" w:hRule="atLeast"/>
        </w:trPr>
        <w:tc>
          <w:tcPr>
            <w:tcW w:w="5073" w:type="dxa"/>
            <w:gridSpan w:val="9"/>
            <w:tcBorders>
              <w:top w:val="single" w:color="auto" w:sz="4" w:space="0"/>
              <w:bottom w:val="single" w:color="auto" w:sz="4" w:space="0"/>
              <w:right w:val="single" w:color="auto" w:sz="4" w:space="0"/>
            </w:tcBorders>
            <w:noWrap w:val="0"/>
            <w:vAlign w:val="center"/>
          </w:tcPr>
          <w:p>
            <w:pPr>
              <w:spacing w:before="100" w:beforeAutospacing="1" w:after="100" w:afterAutospacing="1"/>
              <w:ind w:left="-60"/>
              <w:rPr>
                <w:rFonts w:ascii="黑体" w:hAnsi="华文中宋" w:eastAsia="黑体" w:cs="宋体"/>
                <w:kern w:val="0"/>
                <w:sz w:val="22"/>
              </w:rPr>
            </w:pPr>
            <w:r>
              <w:rPr>
                <w:rFonts w:hint="eastAsia" w:ascii="黑体" w:hAnsi="华文中宋" w:eastAsia="黑体" w:cs="宋体"/>
                <w:kern w:val="0"/>
                <w:sz w:val="22"/>
              </w:rPr>
              <w:t xml:space="preserve">高考英语成绩：                     </w:t>
            </w:r>
          </w:p>
        </w:tc>
        <w:tc>
          <w:tcPr>
            <w:tcW w:w="4946" w:type="dxa"/>
            <w:gridSpan w:val="8"/>
            <w:tcBorders>
              <w:top w:val="single" w:color="auto" w:sz="4" w:space="0"/>
              <w:left w:val="single" w:color="auto" w:sz="4" w:space="0"/>
              <w:bottom w:val="single" w:color="auto" w:sz="4" w:space="0"/>
            </w:tcBorders>
            <w:noWrap w:val="0"/>
            <w:vAlign w:val="center"/>
          </w:tcPr>
          <w:p>
            <w:pPr>
              <w:widowControl/>
              <w:rPr>
                <w:rFonts w:ascii="华文中宋" w:hAnsi="华文中宋" w:eastAsia="华文中宋" w:cs="宋体"/>
                <w:kern w:val="0"/>
                <w:sz w:val="22"/>
              </w:rPr>
            </w:pPr>
            <w:r>
              <w:rPr>
                <w:rFonts w:hint="eastAsia" w:ascii="黑体" w:hAnsi="华文中宋" w:eastAsia="黑体" w:cs="宋体"/>
                <w:kern w:val="0"/>
                <w:sz w:val="22"/>
              </w:rPr>
              <w:t xml:space="preserve">雅思或托福成绩：                           </w:t>
            </w:r>
            <w:r>
              <w:rPr>
                <w:rFonts w:hint="eastAsia" w:ascii="华文中宋" w:hAnsi="华文中宋" w:eastAsia="华文中宋" w:cs="宋体"/>
                <w:kern w:val="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9" w:hRule="atLeast"/>
        </w:trPr>
        <w:tc>
          <w:tcPr>
            <w:tcW w:w="10019" w:type="dxa"/>
            <w:gridSpan w:val="17"/>
            <w:tcBorders>
              <w:top w:val="single" w:color="auto" w:sz="4" w:space="0"/>
              <w:bottom w:val="single" w:color="auto" w:sz="4" w:space="0"/>
            </w:tcBorders>
            <w:noWrap w:val="0"/>
            <w:vAlign w:val="center"/>
          </w:tcPr>
          <w:p>
            <w:pPr>
              <w:spacing w:before="100" w:beforeAutospacing="1" w:after="100" w:afterAutospacing="1"/>
              <w:ind w:left="-60"/>
              <w:rPr>
                <w:rFonts w:hint="eastAsia" w:ascii="黑体" w:hAnsi="华文中宋" w:eastAsia="黑体" w:cs="宋体"/>
                <w:b/>
                <w:kern w:val="0"/>
                <w:sz w:val="24"/>
                <w:szCs w:val="24"/>
              </w:rPr>
            </w:pPr>
            <w:r>
              <w:rPr>
                <w:rFonts w:hint="eastAsia" w:ascii="黑体" w:hAnsi="华文中宋" w:eastAsia="黑体" w:cs="宋体"/>
                <w:b/>
                <w:kern w:val="0"/>
                <w:sz w:val="24"/>
                <w:szCs w:val="24"/>
              </w:rPr>
              <w:t>预约面试时间：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0" w:hRule="atLeast"/>
        </w:trPr>
        <w:tc>
          <w:tcPr>
            <w:tcW w:w="10019" w:type="dxa"/>
            <w:gridSpan w:val="17"/>
            <w:tcBorders>
              <w:top w:val="single" w:color="auto" w:sz="4" w:space="0"/>
              <w:left w:val="nil"/>
              <w:bottom w:val="nil"/>
              <w:right w:val="nil"/>
            </w:tcBorders>
            <w:noWrap w:val="0"/>
            <w:vAlign w:val="center"/>
          </w:tcPr>
          <w:p>
            <w:pPr>
              <w:pStyle w:val="6"/>
              <w:rPr>
                <w:rFonts w:hint="eastAsia" w:ascii="黑体" w:hAnsi="华文中宋" w:eastAsia="黑体"/>
                <w:kern w:val="0"/>
              </w:rPr>
            </w:pPr>
            <w:r>
              <w:rPr>
                <w:rFonts w:hint="eastAsia" w:ascii="黑体" w:hAnsi="华文中宋" w:eastAsia="黑体" w:cs="宋体"/>
                <w:kern w:val="0"/>
                <w:sz w:val="22"/>
              </w:rPr>
              <w:t>填表人：                                        填表日期：    年    月    日</w:t>
            </w:r>
          </w:p>
        </w:tc>
      </w:tr>
    </w:tbl>
    <w:p>
      <w:pPr>
        <w:rPr>
          <w:rFonts w:hint="default" w:ascii="微软雅黑" w:hAnsi="微软雅黑" w:eastAsia="微软雅黑" w:cs="微软雅黑"/>
          <w:lang w:val="en-US" w:eastAsia="zh-CN"/>
        </w:rPr>
      </w:pPr>
    </w:p>
    <w:p/>
    <w:tbl>
      <w:tblPr>
        <w:tblStyle w:val="8"/>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56" w:type="dxa"/>
          </w:tcPr>
          <w:p>
            <w:r>
              <w:drawing>
                <wp:inline distT="0" distB="0" distL="114300" distR="114300">
                  <wp:extent cx="5733415" cy="3296920"/>
                  <wp:effectExtent l="0" t="0" r="63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733415" cy="3296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56" w:type="dxa"/>
          </w:tcPr>
          <w:p>
            <w:r>
              <w:rPr>
                <w:rFonts w:hint="eastAsia"/>
              </w:rPr>
              <w:drawing>
                <wp:inline distT="0" distB="0" distL="114300" distR="114300">
                  <wp:extent cx="5740400" cy="3826510"/>
                  <wp:effectExtent l="0" t="0" r="12700" b="2540"/>
                  <wp:docPr id="4" name="图片 4" descr="微信图片_201805181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518150944"/>
                          <pic:cNvPicPr>
                            <a:picLocks noChangeAspect="1"/>
                          </pic:cNvPicPr>
                        </pic:nvPicPr>
                        <pic:blipFill>
                          <a:blip r:embed="rId7" cstate="print"/>
                          <a:stretch>
                            <a:fillRect/>
                          </a:stretch>
                        </pic:blipFill>
                        <pic:spPr>
                          <a:xfrm>
                            <a:off x="0" y="0"/>
                            <a:ext cx="5740400" cy="3826510"/>
                          </a:xfrm>
                          <a:prstGeom prst="rect">
                            <a:avLst/>
                          </a:prstGeom>
                        </pic:spPr>
                      </pic:pic>
                    </a:graphicData>
                  </a:graphic>
                </wp:inline>
              </w:drawing>
            </w:r>
          </w:p>
        </w:tc>
      </w:tr>
    </w:tbl>
    <w:p/>
    <w:sectPr>
      <w:pgSz w:w="11906" w:h="16838"/>
      <w:pgMar w:top="1440" w:right="148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D821EF"/>
    <w:multiLevelType w:val="singleLevel"/>
    <w:tmpl w:val="B7D821EF"/>
    <w:lvl w:ilvl="0" w:tentative="0">
      <w:start w:val="5"/>
      <w:numFmt w:val="chineseCounting"/>
      <w:suff w:val="nothing"/>
      <w:lvlText w:val="%1、"/>
      <w:lvlJc w:val="left"/>
      <w:rPr>
        <w:rFonts w:hint="eastAsia"/>
      </w:rPr>
    </w:lvl>
  </w:abstractNum>
  <w:abstractNum w:abstractNumId="1">
    <w:nsid w:val="272504C3"/>
    <w:multiLevelType w:val="singleLevel"/>
    <w:tmpl w:val="272504C3"/>
    <w:lvl w:ilvl="0" w:tentative="0">
      <w:start w:val="1"/>
      <w:numFmt w:val="chineseCounting"/>
      <w:suff w:val="nothing"/>
      <w:lvlText w:val="（%1）"/>
      <w:lvlJc w:val="left"/>
      <w:rPr>
        <w:rFonts w:hint="eastAsia"/>
      </w:rPr>
    </w:lvl>
  </w:abstractNum>
  <w:abstractNum w:abstractNumId="2">
    <w:nsid w:val="35BAD995"/>
    <w:multiLevelType w:val="singleLevel"/>
    <w:tmpl w:val="35BAD995"/>
    <w:lvl w:ilvl="0" w:tentative="0">
      <w:start w:val="1"/>
      <w:numFmt w:val="bullet"/>
      <w:lvlText w:val=""/>
      <w:lvlJc w:val="left"/>
      <w:pPr>
        <w:ind w:left="420" w:hanging="420"/>
      </w:pPr>
      <w:rPr>
        <w:rFonts w:hint="default" w:ascii="Wingdings" w:hAnsi="Wingdings"/>
      </w:rPr>
    </w:lvl>
  </w:abstractNum>
  <w:abstractNum w:abstractNumId="3">
    <w:nsid w:val="3A0383F1"/>
    <w:multiLevelType w:val="singleLevel"/>
    <w:tmpl w:val="3A0383F1"/>
    <w:lvl w:ilvl="0" w:tentative="0">
      <w:start w:val="1"/>
      <w:numFmt w:val="bullet"/>
      <w:lvlText w:val=""/>
      <w:lvlJc w:val="left"/>
      <w:pPr>
        <w:ind w:left="420" w:hanging="420"/>
      </w:pPr>
      <w:rPr>
        <w:rFonts w:hint="default" w:ascii="Wingdings" w:hAnsi="Wingdings"/>
      </w:rPr>
    </w:lvl>
  </w:abstractNum>
  <w:abstractNum w:abstractNumId="4">
    <w:nsid w:val="56DF7078"/>
    <w:multiLevelType w:val="singleLevel"/>
    <w:tmpl w:val="56DF7078"/>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6D"/>
    <w:rsid w:val="000A4E80"/>
    <w:rsid w:val="00111073"/>
    <w:rsid w:val="00293FFA"/>
    <w:rsid w:val="002A714E"/>
    <w:rsid w:val="002C1A83"/>
    <w:rsid w:val="005D1C00"/>
    <w:rsid w:val="006110EB"/>
    <w:rsid w:val="006B76F3"/>
    <w:rsid w:val="007618BD"/>
    <w:rsid w:val="007B6998"/>
    <w:rsid w:val="007E0851"/>
    <w:rsid w:val="00A71059"/>
    <w:rsid w:val="00A84D40"/>
    <w:rsid w:val="00B06F68"/>
    <w:rsid w:val="00B73678"/>
    <w:rsid w:val="00BC2D2A"/>
    <w:rsid w:val="00C0658E"/>
    <w:rsid w:val="00C165AD"/>
    <w:rsid w:val="00CA453E"/>
    <w:rsid w:val="00CC5316"/>
    <w:rsid w:val="00D03E31"/>
    <w:rsid w:val="00D73319"/>
    <w:rsid w:val="00E569B2"/>
    <w:rsid w:val="00E82923"/>
    <w:rsid w:val="00F81946"/>
    <w:rsid w:val="00F8596D"/>
    <w:rsid w:val="00FB1C68"/>
    <w:rsid w:val="127B2BC3"/>
    <w:rsid w:val="20630D46"/>
    <w:rsid w:val="2EFE0B1F"/>
    <w:rsid w:val="42901BC0"/>
    <w:rsid w:val="46C13597"/>
    <w:rsid w:val="7EFB7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21"/>
    <w:uiPriority w:val="0"/>
    <w:rPr>
      <w:sz w:val="18"/>
      <w:szCs w:val="18"/>
    </w:rPr>
  </w:style>
  <w:style w:type="paragraph" w:styleId="3">
    <w:name w:val="footer"/>
    <w:basedOn w:val="1"/>
    <w:link w:val="23"/>
    <w:qFormat/>
    <w:uiPriority w:val="0"/>
    <w:pPr>
      <w:tabs>
        <w:tab w:val="center" w:pos="4153"/>
        <w:tab w:val="right" w:pos="8306"/>
      </w:tabs>
      <w:snapToGrid w:val="0"/>
      <w:jc w:val="left"/>
    </w:pPr>
    <w:rPr>
      <w:sz w:val="18"/>
      <w:szCs w:val="18"/>
    </w:rPr>
  </w:style>
  <w:style w:type="paragraph" w:styleId="4">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0"/>
    <w:rPr>
      <w:b/>
    </w:rPr>
  </w:style>
  <w:style w:type="character" w:styleId="11">
    <w:name w:val="FollowedHyperlink"/>
    <w:basedOn w:val="9"/>
    <w:qFormat/>
    <w:uiPriority w:val="0"/>
    <w:rPr>
      <w:color w:val="000000"/>
      <w:sz w:val="18"/>
      <w:szCs w:val="18"/>
      <w:u w:val="none"/>
    </w:rPr>
  </w:style>
  <w:style w:type="character" w:styleId="12">
    <w:name w:val="HTML Definition"/>
    <w:basedOn w:val="9"/>
    <w:qFormat/>
    <w:uiPriority w:val="0"/>
    <w:rPr>
      <w:i/>
    </w:rPr>
  </w:style>
  <w:style w:type="character" w:styleId="13">
    <w:name w:val="Hyperlink"/>
    <w:basedOn w:val="9"/>
    <w:qFormat/>
    <w:uiPriority w:val="0"/>
    <w:rPr>
      <w:color w:val="000000"/>
      <w:sz w:val="18"/>
      <w:szCs w:val="18"/>
      <w:u w:val="none"/>
    </w:rPr>
  </w:style>
  <w:style w:type="character" w:styleId="14">
    <w:name w:val="HTML Code"/>
    <w:basedOn w:val="9"/>
    <w:qFormat/>
    <w:uiPriority w:val="0"/>
    <w:rPr>
      <w:rFonts w:hint="default" w:ascii="Consolas" w:hAnsi="Consolas" w:eastAsia="Consolas" w:cs="Consolas"/>
      <w:color w:val="C7254E"/>
      <w:sz w:val="21"/>
      <w:szCs w:val="21"/>
      <w:shd w:val="clear" w:color="auto" w:fill="F9F2F4"/>
    </w:rPr>
  </w:style>
  <w:style w:type="character" w:styleId="15">
    <w:name w:val="annotation reference"/>
    <w:basedOn w:val="9"/>
    <w:qFormat/>
    <w:uiPriority w:val="0"/>
    <w:rPr>
      <w:sz w:val="21"/>
      <w:szCs w:val="21"/>
    </w:rPr>
  </w:style>
  <w:style w:type="character" w:styleId="16">
    <w:name w:val="HTML Keyboard"/>
    <w:basedOn w:val="9"/>
    <w:qFormat/>
    <w:uiPriority w:val="0"/>
    <w:rPr>
      <w:rFonts w:ascii="Consolas" w:hAnsi="Consolas" w:eastAsia="Consolas" w:cs="Consolas"/>
      <w:color w:val="FFFFFF"/>
      <w:sz w:val="21"/>
      <w:szCs w:val="21"/>
      <w:shd w:val="clear" w:color="auto" w:fill="333333"/>
    </w:rPr>
  </w:style>
  <w:style w:type="character" w:styleId="17">
    <w:name w:val="HTML Sample"/>
    <w:basedOn w:val="9"/>
    <w:qFormat/>
    <w:uiPriority w:val="0"/>
    <w:rPr>
      <w:rFonts w:hint="default" w:ascii="Consolas" w:hAnsi="Consolas" w:eastAsia="Consolas" w:cs="Consolas"/>
      <w:sz w:val="21"/>
      <w:szCs w:val="21"/>
    </w:rPr>
  </w:style>
  <w:style w:type="character" w:customStyle="1" w:styleId="18">
    <w:name w:val="glyphicon2"/>
    <w:basedOn w:val="9"/>
    <w:qFormat/>
    <w:uiPriority w:val="0"/>
    <w:rPr>
      <w:sz w:val="60"/>
      <w:szCs w:val="60"/>
    </w:rPr>
  </w:style>
  <w:style w:type="paragraph" w:customStyle="1" w:styleId="19">
    <w:name w:val="_Style 14"/>
    <w:basedOn w:val="1"/>
    <w:next w:val="1"/>
    <w:qFormat/>
    <w:uiPriority w:val="0"/>
    <w:pPr>
      <w:pBdr>
        <w:bottom w:val="single" w:color="auto" w:sz="6" w:space="1"/>
      </w:pBdr>
      <w:jc w:val="center"/>
    </w:pPr>
    <w:rPr>
      <w:rFonts w:ascii="Arial" w:eastAsia="宋体"/>
      <w:vanish/>
      <w:sz w:val="16"/>
    </w:rPr>
  </w:style>
  <w:style w:type="paragraph" w:customStyle="1" w:styleId="20">
    <w:name w:val="_Style 15"/>
    <w:basedOn w:val="1"/>
    <w:next w:val="1"/>
    <w:qFormat/>
    <w:uiPriority w:val="0"/>
    <w:pPr>
      <w:pBdr>
        <w:top w:val="single" w:color="auto" w:sz="6" w:space="1"/>
      </w:pBdr>
      <w:jc w:val="center"/>
    </w:pPr>
    <w:rPr>
      <w:rFonts w:ascii="Arial" w:eastAsia="宋体"/>
      <w:vanish/>
      <w:sz w:val="16"/>
    </w:rPr>
  </w:style>
  <w:style w:type="character" w:customStyle="1" w:styleId="21">
    <w:name w:val="批注框文本 Char"/>
    <w:basedOn w:val="9"/>
    <w:link w:val="2"/>
    <w:qFormat/>
    <w:uiPriority w:val="0"/>
    <w:rPr>
      <w:rFonts w:asciiTheme="minorHAnsi" w:hAnsiTheme="minorHAnsi" w:eastAsiaTheme="minorEastAsia" w:cstheme="minorBidi"/>
      <w:kern w:val="2"/>
      <w:sz w:val="18"/>
      <w:szCs w:val="18"/>
    </w:rPr>
  </w:style>
  <w:style w:type="character" w:customStyle="1" w:styleId="22">
    <w:name w:val="页眉 Char"/>
    <w:basedOn w:val="9"/>
    <w:link w:val="4"/>
    <w:qFormat/>
    <w:uiPriority w:val="0"/>
    <w:rPr>
      <w:rFonts w:asciiTheme="minorHAnsi" w:hAnsiTheme="minorHAnsi" w:eastAsiaTheme="minorEastAsia" w:cstheme="minorBidi"/>
      <w:kern w:val="2"/>
      <w:sz w:val="18"/>
      <w:szCs w:val="18"/>
    </w:rPr>
  </w:style>
  <w:style w:type="character" w:customStyle="1" w:styleId="23">
    <w:name w:val="页脚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427</Words>
  <Characters>2439</Characters>
  <Lines>20</Lines>
  <Paragraphs>5</Paragraphs>
  <TotalTime>6</TotalTime>
  <ScaleCrop>false</ScaleCrop>
  <LinksUpToDate>false</LinksUpToDate>
  <CharactersWithSpaces>2861</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2019-05-30T08:37:00Z</dcterms:created>
  <dc:creator>大玲子%人大预科</dc:creator>
  <cp:lastModifiedBy>郭朋云</cp:lastModifiedBy>
  <cp:lastPrinted>2019-05-28T15:53:00Z</cp:lastPrinted>
  <dcterms:modified xsi:type="dcterms:W3CDTF">2019-06-10T07:55:29Z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