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780" w:lineRule="exact"/>
        <w:ind w:firstLine="583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545465</wp:posOffset>
            </wp:positionH>
            <wp:positionV relativeFrom="page">
              <wp:posOffset>9579610</wp:posOffset>
            </wp:positionV>
            <wp:extent cx="1901825" cy="50609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5"/>
        </w:rPr>
        <w:drawing>
          <wp:inline distT="0" distB="0" distL="0" distR="0">
            <wp:extent cx="3683000" cy="11303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3508" cy="11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6099" w:lineRule="exact"/>
      </w:pPr>
      <w:r>
        <w:rPr>
          <w:position w:val="-121"/>
        </w:rPr>
        <w:pict>
          <v:group id="_x0000_s1026" o:spid="_x0000_s1026" o:spt="203" style="height:304.95pt;width:595.3pt;" coordsize="11905,6099">
            <o:lock v:ext="edit"/>
            <v:shape id="_x0000_s1027" o:spid="_x0000_s1027" o:spt="75" type="#_x0000_t75" style="position:absolute;left:0;top:0;height:6099;width:11905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rect id="_x0000_s1028" o:spid="_x0000_s1028" o:spt="1" style="position:absolute;left:7996;top:2867;height:1275;width:3403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9" o:spid="_x0000_s1029" o:spt="202" type="#_x0000_t202" style="position:absolute;left:1592;top:-17;height:5955;width:1012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0" w:lineRule="exact"/>
                      <w:ind w:firstLine="20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5719445" cy="76200"/>
                          <wp:effectExtent l="0" t="0" r="0" b="0"/>
                          <wp:docPr id="6" name="IM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 6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19571" cy="76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48" w:line="162" w:lineRule="auto"/>
                      <w:ind w:left="6621"/>
                      <w:rPr>
                        <w:rFonts w:ascii="Arial" w:hAnsi="Arial" w:eastAsia="Arial" w:cs="Arial"/>
                        <w:sz w:val="86"/>
                        <w:szCs w:val="86"/>
                      </w:rPr>
                    </w:pPr>
                    <w:r>
                      <w:rPr>
                        <w:rFonts w:ascii="Arial" w:hAnsi="Arial" w:eastAsia="Arial" w:cs="Arial"/>
                        <w:color w:val="9B4848"/>
                        <w:spacing w:val="1"/>
                        <w:sz w:val="86"/>
                        <w:szCs w:val="86"/>
                      </w:rPr>
                      <w:t>RMUTT</w:t>
                    </w: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1" w:line="624" w:lineRule="exact"/>
                      <w:ind w:left="4709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18"/>
                        <w:position w:val="23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RAJAMANGALA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8"/>
                        <w:position w:val="23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8"/>
                        <w:position w:val="23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UNIVERSITY</w:t>
                    </w:r>
                  </w:p>
                  <w:p>
                    <w:pPr>
                      <w:spacing w:before="1" w:line="208" w:lineRule="auto"/>
                      <w:ind w:right="20"/>
                      <w:jc w:val="right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OF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TECHNOLOGY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THANYABURI</w:t>
                    </w:r>
                  </w:p>
                </w:txbxContent>
              </v:textbox>
            </v:shape>
            <v:rect id="_x0000_s1030" o:spid="_x0000_s1030" o:spt="1" style="position:absolute;left:12;top:5968;height:125;width:9007;" fillcolor="#7E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before="231" w:line="1061" w:lineRule="exact"/>
        <w:ind w:left="841"/>
        <w:rPr>
          <w:rFonts w:ascii="宋体" w:hAnsi="宋体" w:eastAsia="宋体" w:cs="宋体"/>
          <w:sz w:val="71"/>
          <w:szCs w:val="71"/>
        </w:rPr>
      </w:pPr>
      <w:r>
        <w:rPr>
          <w:rFonts w:ascii="宋体" w:hAnsi="宋体" w:eastAsia="宋体" w:cs="宋体"/>
          <w:color w:val="7E0000"/>
          <w:spacing w:val="9"/>
          <w:position w:val="23"/>
          <w:sz w:val="71"/>
          <w:szCs w:val="71"/>
          <w14:textOutline w14:w="13075" w14:cap="sq" w14:cmpd="sng">
            <w14:solidFill>
              <w14:srgbClr w14:val="7E0000"/>
            </w14:solidFill>
            <w14:prstDash w14:val="solid"/>
            <w14:bevel/>
          </w14:textOutline>
        </w:rPr>
        <w:t>泰国塔亚武里皇家理工大学</w:t>
      </w:r>
    </w:p>
    <w:p>
      <w:pPr>
        <w:spacing w:line="224" w:lineRule="auto"/>
        <w:ind w:left="887"/>
        <w:rPr>
          <w:rFonts w:ascii="宋体" w:hAnsi="宋体" w:eastAsia="宋体" w:cs="宋体"/>
          <w:sz w:val="71"/>
          <w:szCs w:val="71"/>
        </w:rPr>
      </w:pPr>
      <w:r>
        <w:rPr>
          <w:rFonts w:ascii="宋体" w:hAnsi="宋体" w:eastAsia="宋体" w:cs="宋体"/>
          <w:color w:val="7E0000"/>
          <w:spacing w:val="9"/>
          <w:sz w:val="71"/>
          <w:szCs w:val="71"/>
          <w14:textOutline w14:w="13075" w14:cap="sq" w14:cmpd="sng">
            <w14:solidFill>
              <w14:srgbClr w14:val="7E0000"/>
            </w14:solidFill>
            <w14:prstDash w14:val="solid"/>
            <w14:bevel/>
          </w14:textOutline>
        </w:rPr>
        <w:t>教育学硕士招生简章</w:t>
      </w:r>
    </w:p>
    <w:p>
      <w:pPr>
        <w:spacing w:before="176" w:line="168" w:lineRule="auto"/>
        <w:ind w:left="998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A3A3A3"/>
          <w:spacing w:val="3"/>
          <w:sz w:val="22"/>
          <w:szCs w:val="22"/>
        </w:rPr>
        <w:t>中国教育部涉外监管网重点推荐高校</w:t>
      </w:r>
    </w:p>
    <w:p>
      <w:pPr>
        <w:spacing w:before="136" w:line="168" w:lineRule="auto"/>
        <w:ind w:left="98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868686"/>
          <w:spacing w:val="3"/>
          <w:sz w:val="22"/>
          <w:szCs w:val="22"/>
        </w:rPr>
        <w:t>泰国教育部首批公布的直属重点综合性公办大学</w:t>
      </w:r>
    </w:p>
    <w:p>
      <w:pPr>
        <w:pStyle w:val="2"/>
        <w:spacing w:before="139" w:line="260" w:lineRule="exact"/>
        <w:ind w:left="983"/>
        <w:rPr>
          <w:rFonts w:ascii="微软雅黑" w:hAnsi="微软雅黑" w:eastAsia="微软雅黑" w:cs="微软雅黑"/>
          <w:sz w:val="25"/>
          <w:szCs w:val="25"/>
        </w:rPr>
      </w:pPr>
      <w:r>
        <w:rPr>
          <w:color w:val="9A9A9A"/>
          <w:spacing w:val="-15"/>
          <w:position w:val="-1"/>
          <w:sz w:val="25"/>
          <w:szCs w:val="25"/>
        </w:rPr>
        <w:t>QS</w:t>
      </w:r>
      <w:r>
        <w:rPr>
          <w:color w:val="9A9A9A"/>
          <w:spacing w:val="14"/>
          <w:position w:val="-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939393"/>
          <w:spacing w:val="-15"/>
          <w:position w:val="-1"/>
          <w:sz w:val="25"/>
          <w:szCs w:val="25"/>
        </w:rPr>
        <w:t>亚洲排名800-1000名</w:t>
      </w:r>
    </w:p>
    <w:p>
      <w:pPr>
        <w:spacing w:before="138" w:line="263" w:lineRule="exact"/>
        <w:ind w:left="983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898989"/>
          <w:spacing w:val="-12"/>
          <w:w w:val="97"/>
          <w:position w:val="-1"/>
          <w:sz w:val="26"/>
          <w:szCs w:val="26"/>
        </w:rPr>
        <w:t>东盟科技大学中排名前25名</w:t>
      </w:r>
    </w:p>
    <w:p>
      <w:pPr>
        <w:spacing w:before="136" w:line="264" w:lineRule="exact"/>
        <w:ind w:left="981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767676"/>
          <w:spacing w:val="-9"/>
          <w:w w:val="96"/>
          <w:position w:val="-1"/>
          <w:sz w:val="26"/>
          <w:szCs w:val="26"/>
        </w:rPr>
        <w:t>泰国领先的科技大学前4名</w:t>
      </w:r>
    </w:p>
    <w:p>
      <w:pPr>
        <w:spacing w:before="137" w:line="159" w:lineRule="auto"/>
        <w:ind w:left="98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848484"/>
          <w:spacing w:val="1"/>
          <w:sz w:val="23"/>
          <w:szCs w:val="23"/>
        </w:rPr>
        <w:t>泰国公办综合性大学前17名</w:t>
      </w:r>
    </w:p>
    <w:p>
      <w:pPr>
        <w:spacing w:before="197" w:line="796" w:lineRule="exact"/>
        <w:ind w:firstLine="7435"/>
      </w:pPr>
      <w:r>
        <w:rPr>
          <w:position w:val="-15"/>
        </w:rPr>
        <w:pict>
          <v:shape id="_x0000_s1031" o:spid="_x0000_s1031" o:spt="202" type="#_x0000_t202" style="height:39.85pt;width:223.55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5" w:line="193" w:lineRule="auto"/>
                    <w:ind w:left="291"/>
                    <w:rPr>
                      <w:rFonts w:ascii="华文中宋" w:hAnsi="华文中宋" w:eastAsia="华文中宋" w:cs="华文中宋"/>
                      <w:sz w:val="28"/>
                      <w:szCs w:val="28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1"/>
                      <w:sz w:val="28"/>
                      <w:szCs w:val="28"/>
                    </w:rPr>
                    <w:t>北京鸿莘国际教育咨询有限公司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796" w:lineRule="exact"/>
        <w:sectPr>
          <w:pgSz w:w="11906" w:h="16839"/>
          <w:pgMar w:top="804" w:right="0" w:bottom="0" w:left="0" w:header="0" w:footer="0" w:gutter="0"/>
          <w:cols w:space="720" w:num="1"/>
        </w:sectPr>
      </w:pPr>
    </w:p>
    <w:p>
      <w:pPr>
        <w:pStyle w:val="2"/>
        <w:spacing w:line="5873" w:lineRule="exact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553085</wp:posOffset>
            </wp:positionH>
            <wp:positionV relativeFrom="page">
              <wp:posOffset>8576945</wp:posOffset>
            </wp:positionV>
            <wp:extent cx="3089275" cy="152844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9147" cy="152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7"/>
        </w:rPr>
        <w:pict>
          <v:group id="_x0000_s1032" o:spid="_x0000_s1032" o:spt="203" style="height:293.8pt;width:595.3pt;" coordsize="11905,5875">
            <o:lock v:ext="edit"/>
            <v:shape id="_x0000_s1033" o:spid="_x0000_s1033" o:spt="75" type="#_x0000_t75" style="position:absolute;left:0;top:0;height:5875;width:11905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4" o:spid="_x0000_s1034" o:spt="202" type="#_x0000_t202" style="position:absolute;left:-20;top:-20;height:5915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3" w:line="224" w:lineRule="auto"/>
                      <w:ind w:left="1694"/>
                      <w:outlineLvl w:val="0"/>
                      <w:rPr>
                        <w:rFonts w:ascii="宋体" w:hAnsi="宋体" w:eastAsia="宋体" w:cs="宋体"/>
                        <w:sz w:val="47"/>
                        <w:szCs w:val="47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9"/>
                        <w:sz w:val="47"/>
                        <w:szCs w:val="47"/>
                        <w14:textOutline w14:w="871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一、关于塔亚武里皇家理工大学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spacing w:before="150" w:line="202" w:lineRule="auto"/>
        <w:ind w:left="714" w:right="805" w:firstLine="362"/>
        <w:rPr>
          <w:rFonts w:ascii="微软雅黑" w:hAnsi="微软雅黑" w:eastAsia="微软雅黑" w:cs="微软雅黑"/>
          <w:sz w:val="24"/>
          <w:szCs w:val="24"/>
        </w:rPr>
      </w:pPr>
      <w:bookmarkStart w:id="0" w:name="_GoBack"/>
      <w:r>
        <w:rPr>
          <w:rFonts w:ascii="微软雅黑" w:hAnsi="微软雅黑" w:eastAsia="微软雅黑" w:cs="微软雅黑"/>
          <w:spacing w:val="-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塔亚武里皇家理工大学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（ Rajamangala</w:t>
      </w:r>
      <w:r>
        <w:rPr>
          <w:rFonts w:ascii="微软雅黑" w:hAnsi="微软雅黑" w:eastAsia="微软雅黑" w:cs="微软雅黑"/>
          <w:spacing w:val="4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University</w:t>
      </w:r>
      <w:r>
        <w:rPr>
          <w:rFonts w:ascii="微软雅黑" w:hAnsi="微软雅黑" w:eastAsia="微软雅黑" w:cs="微软雅黑"/>
          <w:spacing w:val="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o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f</w:t>
      </w:r>
      <w:r>
        <w:rPr>
          <w:rFonts w:ascii="微软雅黑" w:hAnsi="微软雅黑" w:eastAsia="微软雅黑" w:cs="微软雅黑"/>
          <w:spacing w:val="3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Technology</w:t>
      </w:r>
      <w:r>
        <w:rPr>
          <w:rFonts w:ascii="微软雅黑" w:hAnsi="微软雅黑" w:eastAsia="微软雅黑" w:cs="微软雅黑"/>
          <w:spacing w:val="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Thanyaburi</w:t>
      </w:r>
      <w:r>
        <w:rPr>
          <w:rFonts w:ascii="微软雅黑" w:hAnsi="微软雅黑" w:eastAsia="微软雅黑" w:cs="微软雅黑"/>
          <w:spacing w:val="65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简称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RMUTT）,创建于 1975  年,座落在泰国的首都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近郊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，距离曼谷廊曼机场</w:t>
      </w:r>
      <w:r>
        <w:rPr>
          <w:rFonts w:ascii="微软雅黑" w:hAnsi="微软雅黑" w:eastAsia="微软雅黑" w:cs="微软雅黑"/>
          <w:spacing w:val="6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30</w:t>
      </w:r>
      <w:r>
        <w:rPr>
          <w:rFonts w:ascii="微软雅黑" w:hAnsi="微软雅黑" w:eastAsia="微软雅黑" w:cs="微软雅黑"/>
          <w:spacing w:val="6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公里的塔亚武里地区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是一所全日制综合性公办大学</w:t>
      </w:r>
      <w:r>
        <w:rPr>
          <w:rFonts w:ascii="微软雅黑" w:hAnsi="微软雅黑" w:eastAsia="微软雅黑" w:cs="微软雅黑"/>
          <w:spacing w:val="-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。</w:t>
      </w:r>
    </w:p>
    <w:bookmarkEnd w:id="0"/>
    <w:p>
      <w:pPr>
        <w:spacing w:before="100" w:line="225" w:lineRule="auto"/>
        <w:ind w:left="716" w:right="686" w:firstLine="47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塔亚武里皇家理工大学是第一批被教育部承认的公办大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学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，作为教育部直属的公立大学，</w:t>
      </w:r>
      <w:r>
        <w:rPr>
          <w:rFonts w:ascii="微软雅黑" w:hAnsi="微软雅黑" w:eastAsia="微软雅黑" w:cs="微软雅黑"/>
          <w:spacing w:val="-2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 xml:space="preserve">目前 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已经发展成为工科基础坚实</w:t>
      </w:r>
      <w:r>
        <w:rPr>
          <w:rFonts w:ascii="微软雅黑" w:hAnsi="微软雅黑" w:eastAsia="微软雅黑" w:cs="微软雅黑"/>
          <w:spacing w:val="-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，文科实力雄厚，</w:t>
      </w:r>
      <w:r>
        <w:rPr>
          <w:rFonts w:ascii="微软雅黑" w:hAnsi="微软雅黑" w:eastAsia="微软雅黑" w:cs="微软雅黑"/>
          <w:spacing w:val="-5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管理学</w:t>
      </w:r>
      <w:r>
        <w:rPr>
          <w:rFonts w:ascii="微软雅黑" w:hAnsi="微软雅黑" w:eastAsia="微软雅黑" w:cs="微软雅黑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、经济学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、文学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、教育学</w:t>
      </w:r>
      <w:r>
        <w:rPr>
          <w:rFonts w:ascii="微软雅黑" w:hAnsi="微软雅黑" w:eastAsia="微软雅黑" w:cs="微软雅黑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、哲学</w:t>
      </w:r>
      <w:r>
        <w:rPr>
          <w:rFonts w:ascii="微软雅黑" w:hAnsi="微软雅黑" w:eastAsia="微软雅黑" w:cs="微软雅黑"/>
          <w:spacing w:val="-1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、医学等学科</w:t>
      </w:r>
      <w:r>
        <w:rPr>
          <w:rFonts w:ascii="微软雅黑" w:hAnsi="微软雅黑" w:eastAsia="微软雅黑" w:cs="微软雅黑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富有特色的多学科重点大学</w:t>
      </w:r>
      <w:r>
        <w:rPr>
          <w:rFonts w:ascii="微软雅黑" w:hAnsi="微软雅黑" w:eastAsia="微软雅黑" w:cs="微软雅黑"/>
          <w:spacing w:val="-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，学校已形成了特色鲜明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、优势明显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、结构合理</w:t>
      </w:r>
      <w:r>
        <w:rPr>
          <w:rFonts w:ascii="微软雅黑" w:hAnsi="微软雅黑" w:eastAsia="微软雅黑" w:cs="微软雅黑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、内容充实的学教体系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。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具有学士</w:t>
      </w:r>
      <w:r>
        <w:rPr>
          <w:rFonts w:ascii="微软雅黑" w:hAnsi="微软雅黑" w:eastAsia="微软雅黑" w:cs="微软雅黑"/>
          <w:spacing w:val="-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、硕士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、博士学位授予权，</w:t>
      </w:r>
      <w:r>
        <w:rPr>
          <w:rFonts w:ascii="微软雅黑" w:hAnsi="微软雅黑" w:eastAsia="微软雅黑" w:cs="微软雅黑"/>
          <w:spacing w:val="-4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多类学科以及留学生教育等多层次人才培养格局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 xml:space="preserve">，提供从学历 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教育到职业教育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，从</w:t>
      </w:r>
      <w:r>
        <w:rPr>
          <w:rFonts w:ascii="微软雅黑" w:hAnsi="微软雅黑" w:eastAsia="微软雅黑" w:cs="微软雅黑"/>
          <w:spacing w:val="6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K12</w:t>
      </w:r>
      <w:r>
        <w:rPr>
          <w:rFonts w:ascii="微软雅黑" w:hAnsi="微软雅黑" w:eastAsia="微软雅黑" w:cs="微软雅黑"/>
          <w:spacing w:val="5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到博士的全方位教育体系</w:t>
      </w:r>
      <w:r>
        <w:rPr>
          <w:rFonts w:ascii="微软雅黑" w:hAnsi="微软雅黑" w:eastAsia="微软雅黑" w:cs="微软雅黑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。目前，</w:t>
      </w:r>
      <w:r>
        <w:rPr>
          <w:rFonts w:ascii="微软雅黑" w:hAnsi="微软雅黑" w:eastAsia="微软雅黑" w:cs="微软雅黑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学校设有独立的研究生院和本科学院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占地面积约 2000 亩</w:t>
      </w:r>
      <w:r>
        <w:rPr>
          <w:rFonts w:ascii="微软雅黑" w:hAnsi="微软雅黑" w:eastAsia="微软雅黑" w:cs="微软雅黑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，在校全日制在校生 26783 名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，每年约有超 1000 名国际留学生来校学习深造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。</w:t>
      </w:r>
    </w:p>
    <w:p>
      <w:pPr>
        <w:spacing w:before="121" w:line="225" w:lineRule="auto"/>
        <w:ind w:left="720" w:right="808" w:firstLine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塔亚武里皇家理工大学共有工程学院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、科学技术学院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、商学院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、艺术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学院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、建筑学院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、农业科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学技术学院</w:t>
      </w:r>
      <w:r>
        <w:rPr>
          <w:rFonts w:ascii="微软雅黑" w:hAnsi="微软雅黑" w:eastAsia="微软雅黑" w:cs="微软雅黑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、医学院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、教育学院等 11 个二级学院，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177 个专业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，教师 1200 多名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，许多教师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具有海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外留学经历和名校任教经验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。近年来，</w:t>
      </w:r>
      <w:r>
        <w:rPr>
          <w:rFonts w:ascii="微软雅黑" w:hAnsi="微软雅黑" w:eastAsia="微软雅黑" w:cs="微软雅黑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学校教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学实力稳步增强</w:t>
      </w:r>
      <w:r>
        <w:rPr>
          <w:rFonts w:ascii="微软雅黑" w:hAnsi="微软雅黑" w:eastAsia="微软雅黑" w:cs="微软雅黑"/>
          <w:spacing w:val="-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，尤其是科技领域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，在泰国领先的科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技大学排名前</w:t>
      </w:r>
      <w:r>
        <w:rPr>
          <w:rFonts w:ascii="微软雅黑" w:hAnsi="微软雅黑" w:eastAsia="微软雅黑" w:cs="微软雅黑"/>
          <w:spacing w:val="5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4 名  ，在东盟科技大学中排名前  25</w:t>
      </w:r>
      <w:r>
        <w:rPr>
          <w:rFonts w:ascii="微软雅黑" w:hAnsi="微软雅黑" w:eastAsia="微软雅黑" w:cs="微软雅黑"/>
          <w:spacing w:val="5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位</w:t>
      </w:r>
      <w:r>
        <w:rPr>
          <w:rFonts w:ascii="微软雅黑" w:hAnsi="微软雅黑" w:eastAsia="微软雅黑" w:cs="微软雅黑"/>
          <w:spacing w:val="-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，在绿色大学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排名中排名第  13  位</w:t>
      </w:r>
      <w:r>
        <w:rPr>
          <w:rFonts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。也是高</w:t>
      </w:r>
      <w:r>
        <w:rPr>
          <w:rFonts w:ascii="微软雅黑" w:hAnsi="微软雅黑" w:eastAsia="微软雅黑" w:cs="微软雅黑"/>
          <w:sz w:val="24"/>
          <w:szCs w:val="24"/>
        </w:rPr>
        <w:t xml:space="preserve"> 等教育和学术研究双重功能的综合性重点理工大学</w:t>
      </w:r>
      <w:r>
        <w:rPr>
          <w:rFonts w:ascii="微软雅黑" w:hAnsi="微软雅黑" w:eastAsia="微软雅黑" w:cs="微软雅黑"/>
          <w:spacing w:val="-1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 xml:space="preserve">。在培养国家所需的建设人才和提高社会人员素 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>质方面发挥着关键性的作用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>，伴随着国际互联网技术的普</w:t>
      </w:r>
      <w:r>
        <w:rPr>
          <w:rFonts w:ascii="微软雅黑" w:hAnsi="微软雅黑" w:eastAsia="微软雅黑" w:cs="微软雅黑"/>
          <w:sz w:val="24"/>
          <w:szCs w:val="24"/>
        </w:rPr>
        <w:t xml:space="preserve">及应用和全球性协作项目的深入推广以助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力学生多元化发展</w:t>
      </w:r>
      <w:r>
        <w:rPr>
          <w:rFonts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、多渠道成才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。</w:t>
      </w: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pStyle w:val="2"/>
        <w:spacing w:before="1" w:line="2551" w:lineRule="exact"/>
      </w:pPr>
      <w:r>
        <w:rPr>
          <w:position w:val="-52"/>
        </w:rPr>
        <w:pict>
          <v:shape id="_x0000_s1035" o:spid="_x0000_s1035" o:spt="202" type="#_x0000_t202" style="height:128.15pt;width:595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4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9" w:line="403" w:lineRule="exact"/>
                    <w:ind w:left="6294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1"/>
                      <w:position w:val="13"/>
                      <w:sz w:val="24"/>
                      <w:szCs w:val="24"/>
                    </w:rPr>
                    <w:t>版权归北京鸿莘国际教育咨询有限公司所有，</w:t>
                  </w:r>
                </w:p>
                <w:p>
                  <w:pPr>
                    <w:spacing w:line="191" w:lineRule="auto"/>
                    <w:ind w:left="6291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未经授权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，严禁使用。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51" w:lineRule="exact"/>
        <w:sectPr>
          <w:headerReference r:id="rId5" w:type="default"/>
          <w:footerReference r:id="rId6" w:type="default"/>
          <w:pgSz w:w="11906" w:h="16839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292" w:lineRule="auto"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2934970</wp:posOffset>
            </wp:positionH>
            <wp:positionV relativeFrom="page">
              <wp:posOffset>1837690</wp:posOffset>
            </wp:positionV>
            <wp:extent cx="2012950" cy="127381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320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5138420</wp:posOffset>
            </wp:positionH>
            <wp:positionV relativeFrom="page">
              <wp:posOffset>1837690</wp:posOffset>
            </wp:positionV>
            <wp:extent cx="1805940" cy="127889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2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2915285</wp:posOffset>
            </wp:positionH>
            <wp:positionV relativeFrom="page">
              <wp:posOffset>3186430</wp:posOffset>
            </wp:positionV>
            <wp:extent cx="2037715" cy="12954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758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5147945</wp:posOffset>
            </wp:positionH>
            <wp:positionV relativeFrom="page">
              <wp:posOffset>3184525</wp:posOffset>
            </wp:positionV>
            <wp:extent cx="1797050" cy="129857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679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pStyle w:val="2"/>
        <w:spacing w:before="152" w:line="953" w:lineRule="exact"/>
        <w:ind w:left="1142"/>
        <w:rPr>
          <w:rFonts w:ascii="宋体" w:hAnsi="宋体" w:eastAsia="宋体" w:cs="宋体"/>
          <w:sz w:val="47"/>
          <w:szCs w:val="47"/>
        </w:rPr>
      </w:pPr>
      <w:r>
        <w:rPr>
          <w:color w:val="7E0000"/>
          <w:spacing w:val="10"/>
          <w:position w:val="12"/>
          <w:sz w:val="47"/>
          <w:szCs w:val="47"/>
        </w:rPr>
        <w:t>I</w:t>
      </w:r>
      <w:r>
        <w:rPr>
          <w:color w:val="7E0000"/>
          <w:spacing w:val="119"/>
          <w:position w:val="12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10"/>
          <w:position w:val="12"/>
          <w:sz w:val="47"/>
          <w:szCs w:val="47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校园环境</w: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line="1963" w:lineRule="exact"/>
        <w:ind w:firstLine="1120"/>
      </w:pPr>
      <w:r>
        <w:rPr>
          <w:position w:val="-39"/>
        </w:rPr>
        <w:drawing>
          <wp:inline distT="0" distB="0" distL="0" distR="0">
            <wp:extent cx="2041525" cy="12465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2159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2047" w:lineRule="exact"/>
        <w:ind w:firstLine="1120"/>
      </w:pPr>
      <w:r>
        <w:rPr>
          <w:position w:val="-40"/>
        </w:rPr>
        <w:drawing>
          <wp:inline distT="0" distB="0" distL="0" distR="0">
            <wp:extent cx="2032635" cy="12998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3015" cy="12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8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103" w:line="217" w:lineRule="auto"/>
        <w:ind w:left="1062" w:right="947" w:firstLine="483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学校配套设施完备，</w:t>
      </w:r>
      <w:r>
        <w:rPr>
          <w:rFonts w:ascii="微软雅黑" w:hAnsi="微软雅黑" w:eastAsia="微软雅黑" w:cs="微软雅黑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学生宿舍</w:t>
      </w:r>
      <w:r>
        <w:rPr>
          <w:rFonts w:ascii="微软雅黑" w:hAnsi="微软雅黑" w:eastAsia="微软雅黑" w:cs="微软雅黑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、国际会议中心</w:t>
      </w:r>
      <w:r>
        <w:rPr>
          <w:rFonts w:ascii="微软雅黑" w:hAnsi="微软雅黑" w:eastAsia="微软雅黑" w:cs="微软雅黑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、附属医院</w:t>
      </w:r>
      <w:r>
        <w:rPr>
          <w:rFonts w:ascii="微软雅黑" w:hAnsi="微软雅黑" w:eastAsia="微软雅黑" w:cs="微软雅黑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、体育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馆</w:t>
      </w:r>
      <w:r>
        <w:rPr>
          <w:rFonts w:ascii="微软雅黑" w:hAnsi="微软雅黑" w:eastAsia="微软雅黑" w:cs="微软雅黑"/>
          <w:spacing w:val="-1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、图书馆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、礼堂</w:t>
      </w:r>
      <w:r>
        <w:rPr>
          <w:rFonts w:ascii="微软雅黑" w:hAnsi="微软雅黑" w:eastAsia="微软雅黑" w:cs="微软雅黑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、游泳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池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、运动场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、食堂等一应俱全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，可全方位满足人才培养的需要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。学校日常管理严格，2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4</w:t>
      </w:r>
      <w:r>
        <w:rPr>
          <w:rFonts w:ascii="微软雅黑" w:hAnsi="微软雅黑" w:eastAsia="微软雅黑" w:cs="微软雅黑"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小时保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安执勤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，无证人员严禁进入，</w:t>
      </w:r>
      <w:r>
        <w:rPr>
          <w:rFonts w:ascii="微软雅黑" w:hAnsi="微软雅黑" w:eastAsia="微软雅黑" w:cs="微软雅黑"/>
          <w:spacing w:val="-4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为学生提供了舒适安静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的学习环境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。</w:t>
      </w: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6454" w:lineRule="exact"/>
      </w:pPr>
      <w:r>
        <w:rPr>
          <w:position w:val="-130"/>
        </w:rPr>
        <w:pict>
          <v:group id="_x0000_s1036" o:spid="_x0000_s1036" o:spt="203" style="height:323.3pt;width:595.3pt;" coordsize="11905,6465">
            <o:lock v:ext="edit"/>
            <v:shape id="_x0000_s1037" o:spid="_x0000_s1037" o:spt="75" type="#_x0000_t75" style="position:absolute;left:0;top:0;height:6465;width:11905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8" o:spid="_x0000_s1038" o:spt="202" type="#_x0000_t202" style="position:absolute;left:-20;top:-20;height:6505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403" w:lineRule="exact"/>
                      <w:ind w:left="6321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position w:val="13"/>
                        <w:sz w:val="24"/>
                        <w:szCs w:val="24"/>
                      </w:rPr>
                      <w:t>版权归北京鸿莘国际教育咨询有限公司所有，</w:t>
                    </w:r>
                  </w:p>
                  <w:p>
                    <w:pPr>
                      <w:spacing w:line="191" w:lineRule="auto"/>
                      <w:ind w:left="6318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未经授权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，严禁使用。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6454" w:lineRule="exact"/>
        <w:sectPr>
          <w:pgSz w:w="11906" w:h="16839"/>
          <w:pgMar w:top="400" w:right="0" w:bottom="1" w:left="0" w:header="0" w:footer="0" w:gutter="0"/>
          <w:cols w:space="720" w:num="1"/>
        </w:sectPr>
      </w:pPr>
    </w:p>
    <w:p>
      <w:pPr>
        <w:pStyle w:val="2"/>
        <w:spacing w:line="2985" w:lineRule="exact"/>
      </w:pPr>
      <w:r>
        <w:rPr>
          <w:position w:val="-59"/>
        </w:rPr>
        <w:pict>
          <v:group id="_x0000_s1039" o:spid="_x0000_s1039" o:spt="203" style="height:149.35pt;width:595.3pt;" coordsize="11905,2987">
            <o:lock v:ext="edit"/>
            <v:shape id="_x0000_s1040" o:spid="_x0000_s1040" o:spt="75" type="#_x0000_t75" style="position:absolute;left:0;top:0;height:2987;width:11905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1" o:spid="_x0000_s1041" o:spt="202" type="#_x0000_t202" style="position:absolute;left:-20;top:-20;height:3027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31" w:line="228" w:lineRule="auto"/>
                      <w:ind w:left="769"/>
                      <w:outlineLvl w:val="6"/>
                      <w:rPr>
                        <w:rFonts w:ascii="宋体" w:hAnsi="宋体" w:eastAsia="宋体" w:cs="宋体"/>
                        <w:sz w:val="71"/>
                        <w:szCs w:val="71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5"/>
                        <w:sz w:val="71"/>
                        <w:szCs w:val="71"/>
                        <w14:textOutline w14:w="952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二、项目优势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" w:line="233" w:lineRule="auto"/>
        <w:ind w:left="84"/>
        <w:rPr>
          <w:rFonts w:ascii="Impact" w:hAnsi="Impact" w:eastAsia="Impact" w:cs="Impact"/>
          <w:sz w:val="64"/>
          <w:szCs w:val="64"/>
        </w:rPr>
      </w:pPr>
      <w:r>
        <w:pict>
          <v:shape id="_x0000_s1042" o:spid="_x0000_s1042" style="position:absolute;left:0pt;margin-left:41.6pt;margin-top:29.1pt;height:50.75pt;width:52.45pt;z-index:251666432;mso-width-relative:page;mso-height-relative:page;" fillcolor="#FFC000" filled="t" stroked="f" coordsize="1049,1015" path="m0,507c0,227,234,0,524,0c813,0,1048,227,1048,507c1048,787,813,1015,524,1015c234,1015,0,787,0,507e">
            <v:fill on="t" focussize="0,0"/>
            <v:stroke on="f"/>
            <v:imagedata o:title=""/>
            <o:lock v:ext="edit"/>
          </v:shape>
        </w:pict>
      </w:r>
      <w:r>
        <w:rPr>
          <w:rFonts w:ascii="Impact" w:hAnsi="Impact" w:eastAsia="Impact" w:cs="Impact"/>
          <w:color w:val="7E0000"/>
          <w:spacing w:val="506"/>
          <w:w w:val="175"/>
          <w:sz w:val="64"/>
          <w:szCs w:val="64"/>
        </w:rPr>
        <w:t>“</w:t>
      </w:r>
    </w:p>
    <w:p>
      <w:pPr>
        <w:spacing w:line="716" w:lineRule="exact"/>
        <w:ind w:firstLine="2047"/>
      </w:pPr>
      <w:r>
        <w:rPr>
          <w:position w:val="-18"/>
        </w:rPr>
        <w:pict>
          <v:shape id="_x0000_s1043" o:spid="_x0000_s1043" o:spt="202" type="#_x0000_t202" style="height:38.05pt;width:143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3" w:line="178" w:lineRule="auto"/>
                    <w:ind w:left="158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35"/>
                      <w:szCs w:val="35"/>
                    </w:rPr>
                    <w:t>综合性高等学府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5463" w:lineRule="exact"/>
      </w:pPr>
      <w:r>
        <w:rPr>
          <w:position w:val="-109"/>
        </w:rPr>
        <w:pict>
          <v:group id="_x0000_s1044" o:spid="_x0000_s1044" o:spt="203" style="height:273.2pt;width:595.3pt;" coordsize="11905,5464">
            <o:lock v:ext="edit"/>
            <v:shape id="_x0000_s1045" o:spid="_x0000_s1045" o:spt="75" type="#_x0000_t75" style="position:absolute;left:0;top:-44;height:5507;width:11905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6" o:spid="_x0000_s1046" o:spt="202" type="#_x0000_t202" style="position:absolute;left:2051;top:197;height:4856;width:96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9" w:lineRule="auto"/>
                      <w:ind w:left="54" w:right="322" w:firstLine="47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泰国教育部直属的最高等级的公立大学，采取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灵活性弹性教学模式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。在遵守泰国教育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部政策的前提下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，可自行决定授课时间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、授课方式以及国际教育交流与合作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等事项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。</w:t>
                    </w: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9" w:lineRule="auto"/>
                      <w:ind w:left="157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35"/>
                        <w:szCs w:val="35"/>
                      </w:rPr>
                      <w:t>教学规范严格</w:t>
                    </w:r>
                  </w:p>
                  <w:p>
                    <w:pPr>
                      <w:spacing w:before="244" w:line="210" w:lineRule="auto"/>
                      <w:ind w:left="55" w:right="82" w:firstLine="47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泰国教育部直属的全日制综合性公立大学，不以盈利为目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。能够严格执行泰国教育部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办学政策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，规范办学行为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，确保全部课程符合中泰两国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的学历认证政策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。</w:t>
                    </w: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9" w:lineRule="auto"/>
                      <w:ind w:left="157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35"/>
                        <w:szCs w:val="35"/>
                      </w:rPr>
                      <w:t>设备设施完善</w:t>
                    </w:r>
                  </w:p>
                  <w:p>
                    <w:pPr>
                      <w:spacing w:before="217" w:line="186" w:lineRule="auto"/>
                      <w:ind w:right="12"/>
                      <w:jc w:val="right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教学和配套设施非常完备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，学生宿舍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、国际会议中心</w:t>
                    </w:r>
                    <w:r>
                      <w:rPr>
                        <w:rFonts w:ascii="微软雅黑" w:hAnsi="微软雅黑" w:eastAsia="微软雅黑" w:cs="微软雅黑"/>
                        <w:spacing w:val="-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4"/>
                        <w:szCs w:val="24"/>
                      </w:rPr>
                      <w:t>、附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24"/>
                        <w:szCs w:val="24"/>
                      </w:rPr>
                      <w:t>属医院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24"/>
                        <w:szCs w:val="24"/>
                      </w:rPr>
                      <w:t>、体育馆</w:t>
                    </w:r>
                    <w:r>
                      <w:rPr>
                        <w:rFonts w:ascii="微软雅黑" w:hAnsi="微软雅黑" w:eastAsia="微软雅黑" w:cs="微软雅黑"/>
                        <w:spacing w:val="-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24"/>
                        <w:szCs w:val="24"/>
                      </w:rPr>
                      <w:t>、图书馆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24"/>
                        <w:szCs w:val="24"/>
                      </w:rPr>
                      <w:t>、礼</w:t>
                    </w:r>
                  </w:p>
                  <w:p>
                    <w:pPr>
                      <w:spacing w:before="77" w:line="187" w:lineRule="auto"/>
                      <w:ind w:left="2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堂</w:t>
                    </w:r>
                    <w:r>
                      <w:rPr>
                        <w:rFonts w:ascii="微软雅黑" w:hAnsi="微软雅黑" w:eastAsia="微软雅黑" w:cs="微软雅黑"/>
                        <w:spacing w:val="-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、游泳池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、运动场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、食堂等一应俱全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，可全方位满足人才培养的需要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3" w:line="2037" w:lineRule="exact"/>
      </w:pPr>
      <w:r>
        <w:rPr>
          <w:position w:val="-40"/>
        </w:rPr>
        <w:pict>
          <v:group id="_x0000_s1047" o:spid="_x0000_s1047" o:spt="203" style="height:101.9pt;width:595.3pt;" coordsize="11905,2038">
            <o:lock v:ext="edit"/>
            <v:shape id="_x0000_s1048" o:spid="_x0000_s1048" o:spt="75" type="#_x0000_t75" style="position:absolute;left:0;top:0;height:2038;width:1190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49" o:spid="_x0000_s1049" o:spt="202" type="#_x0000_t202" style="position:absolute;left:-20;top:-20;height:2078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50" w:line="180" w:lineRule="auto"/>
                      <w:ind w:left="229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5"/>
                        <w:szCs w:val="35"/>
                      </w:rPr>
                      <w:t>证书含金量高</w:t>
                    </w:r>
                  </w:p>
                  <w:p>
                    <w:pPr>
                      <w:spacing w:before="189" w:line="234" w:lineRule="auto"/>
                      <w:ind w:left="260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塔亚武里皇家理工大学由著名教授担任授课，</w:t>
                    </w:r>
                    <w:r>
                      <w:rPr>
                        <w:rFonts w:ascii="微软雅黑" w:hAnsi="微软雅黑" w:eastAsia="微软雅黑" w:cs="微软雅黑"/>
                        <w:spacing w:val="-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师资力量雄厚</w:t>
                    </w:r>
                    <w:r>
                      <w:rPr>
                        <w:rFonts w:ascii="微软雅黑" w:hAnsi="微软雅黑" w:eastAsia="微软雅黑" w:cs="微软雅黑"/>
                        <w:spacing w:val="-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。</w:t>
                    </w:r>
                  </w:p>
                  <w:p>
                    <w:pPr>
                      <w:spacing w:line="185" w:lineRule="auto"/>
                      <w:ind w:left="260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学费便宜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，寒暑假授课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，在职可读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。</w:t>
                    </w:r>
                  </w:p>
                  <w:p>
                    <w:pPr>
                      <w:spacing w:before="83" w:line="185" w:lineRule="auto"/>
                      <w:ind w:left="261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国内外承认全日制学历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，毕业回国享受留学生福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利政策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8" w:line="1985" w:lineRule="exact"/>
      </w:pPr>
      <w:r>
        <w:rPr>
          <w:position w:val="-39"/>
        </w:rPr>
        <w:pict>
          <v:group id="_x0000_s1050" o:spid="_x0000_s1050" o:spt="203" style="height:99.3pt;width:595.3pt;" coordsize="11905,1986">
            <o:lock v:ext="edit"/>
            <v:shape id="_x0000_s1051" o:spid="_x0000_s1051" o:spt="75" type="#_x0000_t75" style="position:absolute;left:0;top:0;height:1986;width:11905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52" o:spid="_x0000_s1052" o:spt="202" type="#_x0000_t202" style="position:absolute;left:-20;top:-20;height:2026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29" w:line="179" w:lineRule="auto"/>
                      <w:ind w:left="2273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5"/>
                        <w:szCs w:val="35"/>
                      </w:rPr>
                      <w:t>一站式留学服务</w:t>
                    </w:r>
                  </w:p>
                  <w:p>
                    <w:pPr>
                      <w:spacing w:before="166" w:line="186" w:lineRule="auto"/>
                      <w:ind w:left="260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专业团队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，服务完善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，可提供从申请到毕业全程流程优质服务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。</w:t>
                    </w:r>
                  </w:p>
                  <w:p>
                    <w:pPr>
                      <w:spacing w:before="81" w:line="204" w:lineRule="auto"/>
                      <w:ind w:left="2611" w:right="348" w:hanging="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鸿莘在海外设有服务团队，学生仅需专注学业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，程序性工作均由学校统一部署，免除学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生后顾之忧</w:t>
                    </w:r>
                    <w:r>
                      <w:rPr>
                        <w:rFonts w:ascii="微软雅黑" w:hAnsi="微软雅黑" w:eastAsia="微软雅黑" w:cs="微软雅黑"/>
                        <w:spacing w:val="-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90" w:line="403" w:lineRule="exact"/>
        <w:ind w:left="6301"/>
        <w:rPr>
          <w:rFonts w:ascii="华文中宋" w:hAnsi="华文中宋" w:eastAsia="华文中宋" w:cs="华文中宋"/>
          <w:sz w:val="24"/>
          <w:szCs w:val="24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-129540</wp:posOffset>
            </wp:positionV>
            <wp:extent cx="4489450" cy="149606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9350" cy="149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 w:cs="华文中宋"/>
          <w:color w:val="FFFFFF"/>
          <w:spacing w:val="-1"/>
          <w:position w:val="13"/>
          <w:sz w:val="24"/>
          <w:szCs w:val="24"/>
        </w:rPr>
        <w:t>版权归北京鸿莘国际教育咨询有限公司所有，</w:t>
      </w:r>
    </w:p>
    <w:p>
      <w:pPr>
        <w:spacing w:line="191" w:lineRule="auto"/>
        <w:ind w:left="6298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color w:val="FFFFFF"/>
          <w:spacing w:val="-5"/>
          <w:sz w:val="24"/>
          <w:szCs w:val="24"/>
        </w:rPr>
        <w:t>未经授权</w:t>
      </w:r>
      <w:r>
        <w:rPr>
          <w:rFonts w:ascii="华文中宋" w:hAnsi="华文中宋" w:eastAsia="华文中宋" w:cs="华文中宋"/>
          <w:color w:val="FFFFFF"/>
          <w:spacing w:val="-34"/>
          <w:sz w:val="24"/>
          <w:szCs w:val="24"/>
        </w:rPr>
        <w:t xml:space="preserve"> </w:t>
      </w:r>
      <w:r>
        <w:rPr>
          <w:rFonts w:ascii="华文中宋" w:hAnsi="华文中宋" w:eastAsia="华文中宋" w:cs="华文中宋"/>
          <w:color w:val="FFFFFF"/>
          <w:spacing w:val="-5"/>
          <w:sz w:val="24"/>
          <w:szCs w:val="24"/>
        </w:rPr>
        <w:t>，严禁使用。</w:t>
      </w:r>
    </w:p>
    <w:p>
      <w:pPr>
        <w:spacing w:line="191" w:lineRule="auto"/>
        <w:rPr>
          <w:rFonts w:ascii="华文中宋" w:hAnsi="华文中宋" w:eastAsia="华文中宋" w:cs="华文中宋"/>
          <w:sz w:val="24"/>
          <w:szCs w:val="24"/>
        </w:rPr>
        <w:sectPr>
          <w:pgSz w:w="11906" w:h="16839"/>
          <w:pgMar w:top="1" w:right="0" w:bottom="400" w:left="0" w:header="0" w:footer="0" w:gutter="0"/>
          <w:cols w:space="720" w:num="1"/>
        </w:sectPr>
      </w:pPr>
    </w:p>
    <w:p>
      <w:pPr>
        <w:pStyle w:val="2"/>
        <w:spacing w:line="269" w:lineRule="auto"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3893820</wp:posOffset>
            </wp:positionH>
            <wp:positionV relativeFrom="page">
              <wp:posOffset>847090</wp:posOffset>
            </wp:positionV>
            <wp:extent cx="3666490" cy="261493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648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spacing w:before="231" w:line="227" w:lineRule="auto"/>
        <w:ind w:left="692"/>
        <w:outlineLvl w:val="6"/>
        <w:rPr>
          <w:rFonts w:ascii="宋体" w:hAnsi="宋体" w:eastAsia="宋体" w:cs="宋体"/>
          <w:sz w:val="71"/>
          <w:szCs w:val="71"/>
        </w:rPr>
      </w:pP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-434340</wp:posOffset>
                </wp:positionV>
                <wp:extent cx="3894455" cy="2615565"/>
                <wp:effectExtent l="0" t="0" r="0" b="0"/>
                <wp:wrapNone/>
                <wp:docPr id="26" name="R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434533"/>
                          <a:ext cx="3894454" cy="2615564"/>
                        </a:xfrm>
                        <a:prstGeom prst="rect">
                          <a:avLst/>
                        </a:prstGeom>
                        <a:solidFill>
                          <a:srgbClr val="7E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6" o:spid="_x0000_s1026" o:spt="1" style="position:absolute;left:0pt;margin-left:0pt;margin-top:-34.2pt;height:205.95pt;width:306.65pt;z-index:-251649024;mso-width-relative:page;mso-height-relative:page;" fillcolor="#7E0000" filled="t" stroked="f" coordsize="21600,21600" o:gfxdata="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TSENtgAAAAIAQAADwAAAAAAAAABACAAAAAiAAAAZHJzL2Rvd25yZXYueG1sUEsB&#10;AhQAFAAAAAgAh07iQBXA4JMuAgAAawQAAA4AAAAAAAAAAQAgAAAAJw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宋体" w:hAnsi="宋体" w:eastAsia="宋体" w:cs="宋体"/>
          <w:color w:val="FFFFFF"/>
          <w:spacing w:val="-48"/>
          <w:sz w:val="71"/>
          <w:szCs w:val="71"/>
          <w14:textOutline w14:w="13075" w14:cap="sq" w14:cmpd="sng">
            <w14:solidFill>
              <w14:srgbClr w14:val="FFFFFF"/>
            </w14:solidFill>
            <w14:prstDash w14:val="solid"/>
            <w14:bevel/>
          </w14:textOutline>
        </w:rPr>
        <w:t>三、项目介绍</w:t>
      </w: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p>
      <w:pPr>
        <w:spacing w:before="89" w:line="396" w:lineRule="exact"/>
        <w:ind w:left="65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color w:val="FFFFFF"/>
          <w:spacing w:val="9"/>
          <w:position w:val="13"/>
          <w:sz w:val="24"/>
          <w:szCs w:val="24"/>
        </w:rPr>
        <w:t>塔亚武里皇家理工大学联合北京鸿莘国际教育</w:t>
      </w:r>
    </w:p>
    <w:p>
      <w:pPr>
        <w:spacing w:line="196" w:lineRule="auto"/>
        <w:ind w:left="658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color w:val="FFFFFF"/>
          <w:spacing w:val="-3"/>
          <w:sz w:val="24"/>
          <w:szCs w:val="24"/>
        </w:rPr>
        <w:t>咨询有限公司推出“新时代学历提升计划”包含</w:t>
      </w:r>
    </w:p>
    <w:p>
      <w:pPr>
        <w:spacing w:before="117" w:line="192" w:lineRule="auto"/>
        <w:ind w:left="657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color w:val="FFFFFF"/>
          <w:spacing w:val="-2"/>
          <w:sz w:val="24"/>
          <w:szCs w:val="24"/>
        </w:rPr>
        <w:t>本科、硕士两个层次。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spacing w:before="103" w:line="228" w:lineRule="auto"/>
        <w:ind w:left="79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硕士专业：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教育学硕士（课程与学习管理创新）</w:t>
      </w:r>
    </w:p>
    <w:p>
      <w:pPr>
        <w:spacing w:before="233" w:line="216" w:lineRule="auto"/>
        <w:ind w:left="8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0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英</w:t>
      </w:r>
      <w:r>
        <w:rPr>
          <w:rFonts w:ascii="微软雅黑" w:hAnsi="微软雅黑" w:eastAsia="微软雅黑" w:cs="微软雅黑"/>
          <w:spacing w:val="5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文：</w:t>
      </w:r>
      <w:r>
        <w:rPr>
          <w:rFonts w:ascii="微软雅黑" w:hAnsi="微软雅黑" w:eastAsia="微软雅黑" w:cs="微软雅黑"/>
          <w:spacing w:val="-4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Master</w:t>
      </w:r>
      <w:r>
        <w:rPr>
          <w:rFonts w:ascii="微软雅黑" w:hAnsi="微软雅黑" w:eastAsia="微软雅黑" w:cs="微软雅黑"/>
          <w:spacing w:val="32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of</w:t>
      </w:r>
      <w:r>
        <w:rPr>
          <w:rFonts w:ascii="微软雅黑" w:hAnsi="微软雅黑" w:eastAsia="微软雅黑" w:cs="微软雅黑"/>
          <w:spacing w:val="42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Education</w:t>
      </w:r>
      <w:r>
        <w:rPr>
          <w:rFonts w:ascii="微软雅黑" w:hAnsi="微软雅黑" w:eastAsia="微软雅黑" w:cs="微软雅黑"/>
          <w:spacing w:val="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Program</w:t>
      </w:r>
      <w:r>
        <w:rPr>
          <w:rFonts w:ascii="微软雅黑" w:hAnsi="微软雅黑" w:eastAsia="微软雅黑" w:cs="微软雅黑"/>
          <w:spacing w:val="4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in</w:t>
      </w:r>
      <w:r>
        <w:rPr>
          <w:rFonts w:ascii="微软雅黑" w:hAnsi="微软雅黑" w:eastAsia="微软雅黑" w:cs="微软雅黑"/>
          <w:spacing w:val="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Curriculum</w:t>
      </w:r>
      <w:r>
        <w:rPr>
          <w:rFonts w:ascii="微软雅黑" w:hAnsi="微软雅黑" w:eastAsia="微软雅黑" w:cs="微软雅黑"/>
          <w:spacing w:val="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and</w:t>
      </w:r>
      <w:r>
        <w:rPr>
          <w:rFonts w:ascii="微软雅黑" w:hAnsi="微软雅黑" w:eastAsia="微软雅黑" w:cs="微软雅黑"/>
          <w:spacing w:val="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Lea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rning</w:t>
      </w:r>
      <w:r>
        <w:rPr>
          <w:rFonts w:ascii="微软雅黑" w:hAnsi="微软雅黑" w:eastAsia="微软雅黑" w:cs="微软雅黑"/>
          <w:spacing w:val="42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Management</w:t>
      </w:r>
      <w:r>
        <w:rPr>
          <w:rFonts w:ascii="微软雅黑" w:hAnsi="微软雅黑" w:eastAsia="微软雅黑" w:cs="微软雅黑"/>
          <w:spacing w:val="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1"/>
          <w:sz w:val="24"/>
          <w:szCs w:val="24"/>
        </w:rPr>
        <w:t>Innovation</w:t>
      </w:r>
    </w:p>
    <w:p>
      <w:pPr>
        <w:spacing w:before="234" w:line="176" w:lineRule="auto"/>
        <w:ind w:left="8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8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报名截至时间</w:t>
      </w:r>
      <w:r>
        <w:rPr>
          <w:rFonts w:ascii="微软雅黑" w:hAnsi="微软雅黑" w:eastAsia="微软雅黑" w:cs="微软雅黑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2024 年 5 月 31</w:t>
      </w:r>
      <w:r>
        <w:rPr>
          <w:rFonts w:ascii="微软雅黑" w:hAnsi="微软雅黑" w:eastAsia="微软雅黑" w:cs="微软雅黑"/>
          <w:spacing w:val="27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日</w:t>
      </w:r>
    </w:p>
    <w:p>
      <w:pPr>
        <w:spacing w:before="321" w:line="178" w:lineRule="auto"/>
        <w:ind w:left="8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3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学制：</w:t>
      </w:r>
      <w:r>
        <w:rPr>
          <w:rFonts w:ascii="微软雅黑" w:hAnsi="微软雅黑" w:eastAsia="微软雅黑" w:cs="微软雅黑"/>
          <w:spacing w:val="33"/>
          <w:sz w:val="24"/>
          <w:szCs w:val="24"/>
        </w:rPr>
        <w:t>2年</w:t>
      </w:r>
    </w:p>
    <w:p>
      <w:pPr>
        <w:spacing w:before="323" w:line="174" w:lineRule="auto"/>
        <w:ind w:left="8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授课语言：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英语</w:t>
      </w:r>
    </w:p>
    <w:p>
      <w:pPr>
        <w:spacing w:before="322" w:line="186" w:lineRule="auto"/>
        <w:ind w:left="8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录取要求：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塔亚武里大学实行申请审核制入学，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申请资料齐全通过学校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审核或面试即可录取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>
      <w:pPr>
        <w:spacing w:before="302" w:line="178" w:lineRule="auto"/>
        <w:ind w:left="83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申请条件：</w:t>
      </w:r>
      <w:r>
        <w:rPr>
          <w:rFonts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国内应往届本科毕业证书或同等学历证明</w:t>
      </w:r>
    </w:p>
    <w:p>
      <w:pPr>
        <w:spacing w:before="323" w:line="174" w:lineRule="auto"/>
        <w:ind w:left="8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语言要求：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入学无语言要求</w:t>
      </w:r>
    </w:p>
    <w:p>
      <w:pPr>
        <w:spacing w:before="323" w:line="178" w:lineRule="auto"/>
        <w:ind w:left="8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毕业要求：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修完学分+论文答辩+普刊发表 1 篇文章</w:t>
      </w:r>
    </w:p>
    <w:p>
      <w:pPr>
        <w:spacing w:before="322" w:line="174" w:lineRule="auto"/>
        <w:ind w:left="8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学习费用：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12 万人民币</w:t>
      </w: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before="1" w:line="4253" w:lineRule="exact"/>
      </w:pPr>
      <w:r>
        <w:rPr>
          <w:position w:val="-86"/>
        </w:rPr>
        <w:pict>
          <v:group id="_x0000_s1053" o:spid="_x0000_s1053" o:spt="203" style="height:213.25pt;width:595.3pt;" coordsize="11905,4265">
            <o:lock v:ext="edit"/>
            <v:shape id="_x0000_s1054" o:spid="_x0000_s1054" o:spt="75" type="#_x0000_t75" style="position:absolute;left:0;top:0;height:4265;width:11905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5" o:spid="_x0000_s1055" o:spt="202" type="#_x0000_t202" style="position:absolute;left:-20;top:-20;height:4305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403" w:lineRule="exact"/>
                      <w:ind w:left="868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position w:val="13"/>
                        <w:sz w:val="24"/>
                        <w:szCs w:val="24"/>
                      </w:rPr>
                      <w:t>版权归北京鸿莘国际教育咨询有限公司所有，</w:t>
                    </w:r>
                  </w:p>
                  <w:p>
                    <w:pPr>
                      <w:spacing w:line="191" w:lineRule="auto"/>
                      <w:ind w:left="865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未经授权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，严禁使用。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253" w:lineRule="exact"/>
        <w:sectPr>
          <w:pgSz w:w="11906" w:h="16839"/>
          <w:pgMar w:top="400" w:right="0" w:bottom="1" w:left="0" w:header="0" w:footer="0" w:gutter="0"/>
          <w:cols w:space="720" w:num="1"/>
        </w:sectPr>
      </w:pPr>
    </w:p>
    <w:p>
      <w:pPr>
        <w:pStyle w:val="2"/>
        <w:spacing w:line="1658" w:lineRule="exact"/>
      </w:pPr>
      <w:r>
        <w:rPr>
          <w:position w:val="-33"/>
        </w:rPr>
        <w:pict>
          <v:shape id="_x0000_s1056" o:spid="_x0000_s1056" o:spt="202" type="#_x0000_t202" style="height:83pt;width:595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31" w:line="222" w:lineRule="auto"/>
                    <w:ind w:left="785"/>
                    <w:outlineLvl w:val="6"/>
                    <w:rPr>
                      <w:rFonts w:ascii="宋体" w:hAnsi="宋体" w:eastAsia="宋体" w:cs="宋体"/>
                      <w:sz w:val="71"/>
                      <w:szCs w:val="7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"/>
                      <w:sz w:val="71"/>
                      <w:szCs w:val="71"/>
                      <w14:textOutline w14:w="952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四、教学管理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152" w:line="175" w:lineRule="auto"/>
        <w:ind w:left="92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Yu Gothic UI" w:hAnsi="Yu Gothic UI" w:eastAsia="Yu Gothic UI" w:cs="Yu Gothic UI"/>
          <w:b/>
          <w:bCs/>
          <w:spacing w:val="3"/>
          <w:sz w:val="35"/>
          <w:szCs w:val="35"/>
        </w:rPr>
        <w:t>◉</w:t>
      </w:r>
      <w:r>
        <w:rPr>
          <w:rFonts w:ascii="微软雅黑" w:hAnsi="微软雅黑" w:eastAsia="微软雅黑" w:cs="微软雅黑"/>
          <w:b/>
          <w:bCs/>
          <w:spacing w:val="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教学计划：</w:t>
      </w:r>
    </w:p>
    <w:p>
      <w:pPr>
        <w:spacing w:before="213" w:line="624" w:lineRule="exact"/>
        <w:ind w:left="14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同欧美国家一样</w:t>
      </w:r>
      <w:r>
        <w:rPr>
          <w:rFonts w:ascii="微软雅黑" w:hAnsi="微软雅黑" w:eastAsia="微软雅黑" w:cs="微软雅黑"/>
          <w:spacing w:val="-28"/>
          <w:position w:val="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，泰国采用学分制教育体系，</w:t>
      </w:r>
      <w:r>
        <w:rPr>
          <w:rFonts w:ascii="微软雅黑" w:hAnsi="微软雅黑" w:eastAsia="微软雅黑" w:cs="微软雅黑"/>
          <w:spacing w:val="-51"/>
          <w:position w:val="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而非学年制教育体系，</w:t>
      </w:r>
      <w:r>
        <w:rPr>
          <w:rFonts w:ascii="微软雅黑" w:hAnsi="微软雅黑" w:eastAsia="微软雅黑" w:cs="微软雅黑"/>
          <w:spacing w:val="-37"/>
          <w:position w:val="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29"/>
          <w:sz w:val="24"/>
          <w:szCs w:val="24"/>
        </w:rPr>
        <w:t>即：修满学分即可毕业，</w:t>
      </w:r>
    </w:p>
    <w:p>
      <w:pPr>
        <w:spacing w:line="176" w:lineRule="auto"/>
        <w:ind w:left="90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学生可根据自己的时间决定每个学期是否学习</w:t>
      </w:r>
      <w:r>
        <w:rPr>
          <w:rFonts w:ascii="微软雅黑" w:hAnsi="微软雅黑" w:eastAsia="微软雅黑" w:cs="微软雅黑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。</w:t>
      </w:r>
    </w:p>
    <w:p>
      <w:pPr>
        <w:spacing w:before="305" w:line="640" w:lineRule="exact"/>
        <w:ind w:left="91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Wingdings" w:hAnsi="Wingdings" w:eastAsia="Wingdings" w:cs="Wingdings"/>
          <w:spacing w:val="-7"/>
          <w:position w:val="30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7"/>
          <w:position w:val="30"/>
          <w:sz w:val="24"/>
          <w:szCs w:val="24"/>
        </w:rPr>
        <w:t>硕士教学计划：塔亚武里皇家理工大学硕士课程总学分为 36 学分</w:t>
      </w:r>
      <w:r>
        <w:rPr>
          <w:rFonts w:ascii="微软雅黑" w:hAnsi="微软雅黑" w:eastAsia="微软雅黑" w:cs="微软雅黑"/>
          <w:spacing w:val="-41"/>
          <w:position w:val="3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30"/>
          <w:sz w:val="24"/>
          <w:szCs w:val="24"/>
        </w:rPr>
        <w:t>，其中课程 30 学分</w:t>
      </w:r>
      <w:r>
        <w:rPr>
          <w:rFonts w:ascii="微软雅黑" w:hAnsi="微软雅黑" w:eastAsia="微软雅黑" w:cs="微软雅黑"/>
          <w:spacing w:val="-41"/>
          <w:position w:val="3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30"/>
          <w:sz w:val="24"/>
          <w:szCs w:val="24"/>
        </w:rPr>
        <w:t>，论文 6 学</w:t>
      </w:r>
    </w:p>
    <w:p>
      <w:pPr>
        <w:spacing w:before="1" w:line="185" w:lineRule="auto"/>
        <w:ind w:left="90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分</w:t>
      </w:r>
      <w:r>
        <w:rPr>
          <w:rFonts w:ascii="微软雅黑" w:hAnsi="微软雅黑" w:eastAsia="微软雅黑" w:cs="微软雅黑"/>
          <w:spacing w:val="-2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。硕士生至少需要 4 个学期可修满全部学分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，最长学习时间不能超过 5 年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</w:t>
      </w:r>
    </w:p>
    <w:p>
      <w:pPr>
        <w:pStyle w:val="2"/>
        <w:spacing w:line="331" w:lineRule="auto"/>
      </w:pPr>
    </w:p>
    <w:p>
      <w:pPr>
        <w:pStyle w:val="2"/>
        <w:spacing w:line="331" w:lineRule="auto"/>
      </w:pPr>
    </w:p>
    <w:p>
      <w:pPr>
        <w:spacing w:before="150" w:line="217" w:lineRule="auto"/>
        <w:ind w:left="283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硕士教学计划（2024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31</w:t>
      </w:r>
      <w:r>
        <w:rPr>
          <w:rFonts w:ascii="微软雅黑" w:hAnsi="微软雅黑" w:eastAsia="微软雅黑" w:cs="微软雅黑"/>
          <w:b/>
          <w:bCs/>
          <w:spacing w:val="60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日入学）</w:t>
      </w:r>
    </w:p>
    <w:tbl>
      <w:tblPr>
        <w:tblStyle w:val="5"/>
        <w:tblW w:w="8552" w:type="dxa"/>
        <w:tblInd w:w="18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382"/>
        <w:gridCol w:w="1383"/>
        <w:gridCol w:w="1383"/>
        <w:gridCol w:w="2955"/>
        <w:gridCol w:w="82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24" w:type="dxa"/>
            <w:vAlign w:val="top"/>
          </w:tcPr>
          <w:p>
            <w:pPr>
              <w:pStyle w:val="6"/>
              <w:spacing w:before="229" w:line="166" w:lineRule="auto"/>
              <w:ind w:left="170"/>
            </w:pPr>
            <w:r>
              <w:rPr>
                <w:b/>
                <w:bCs/>
                <w:spacing w:val="-25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No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201" w:line="174" w:lineRule="auto"/>
              <w:ind w:left="457"/>
            </w:pPr>
            <w:r>
              <w:rPr>
                <w:b/>
                <w:bCs/>
                <w:spacing w:val="-7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03" w:line="174" w:lineRule="auto"/>
              <w:ind w:left="213"/>
            </w:pPr>
            <w:r>
              <w:rPr>
                <w:b/>
                <w:bCs/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课程时间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01" w:line="175" w:lineRule="auto"/>
              <w:ind w:left="215"/>
            </w:pPr>
            <w:r>
              <w:rPr>
                <w:b/>
                <w:bCs/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停留时间</w:t>
            </w:r>
          </w:p>
        </w:tc>
        <w:tc>
          <w:tcPr>
            <w:tcW w:w="2955" w:type="dxa"/>
            <w:vAlign w:val="top"/>
          </w:tcPr>
          <w:p>
            <w:pPr>
              <w:pStyle w:val="6"/>
              <w:spacing w:before="200" w:line="174" w:lineRule="auto"/>
              <w:ind w:left="1005"/>
            </w:pPr>
            <w:r>
              <w:rPr>
                <w:b/>
                <w:bCs/>
                <w:spacing w:val="-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教学任务</w:t>
            </w:r>
          </w:p>
        </w:tc>
        <w:tc>
          <w:tcPr>
            <w:tcW w:w="825" w:type="dxa"/>
            <w:vAlign w:val="top"/>
          </w:tcPr>
          <w:p>
            <w:pPr>
              <w:pStyle w:val="6"/>
              <w:spacing w:before="202" w:line="174" w:lineRule="auto"/>
              <w:ind w:left="182"/>
            </w:pPr>
            <w:r>
              <w:rPr>
                <w:b/>
                <w:bCs/>
                <w:spacing w:val="-7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24" w:type="dxa"/>
            <w:vAlign w:val="top"/>
          </w:tcPr>
          <w:p>
            <w:pPr>
              <w:pStyle w:val="6"/>
              <w:spacing w:before="222" w:line="168" w:lineRule="auto"/>
              <w:ind w:left="264"/>
            </w:pPr>
            <w:r>
              <w:t>1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196" w:line="175" w:lineRule="auto"/>
              <w:ind w:left="216"/>
            </w:pPr>
            <w:r>
              <w:rPr>
                <w:spacing w:val="-3"/>
              </w:rPr>
              <w:t>第一学期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11" w:line="166" w:lineRule="auto"/>
              <w:ind w:left="298"/>
            </w:pPr>
            <w:r>
              <w:rPr>
                <w:spacing w:val="-6"/>
              </w:rPr>
              <w:t>7-11 月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199" w:line="173" w:lineRule="auto"/>
              <w:ind w:left="361"/>
            </w:pPr>
            <w:r>
              <w:rPr>
                <w:spacing w:val="-8"/>
              </w:rPr>
              <w:t>2 个月</w:t>
            </w:r>
          </w:p>
        </w:tc>
        <w:tc>
          <w:tcPr>
            <w:tcW w:w="2955" w:type="dxa"/>
            <w:vAlign w:val="top"/>
          </w:tcPr>
          <w:p>
            <w:pPr>
              <w:pStyle w:val="6"/>
              <w:spacing w:before="199" w:line="174" w:lineRule="auto"/>
              <w:ind w:left="1022"/>
            </w:pPr>
            <w:r>
              <w:rPr>
                <w:spacing w:val="-9"/>
              </w:rPr>
              <w:t>4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门课程</w:t>
            </w:r>
          </w:p>
        </w:tc>
        <w:tc>
          <w:tcPr>
            <w:tcW w:w="825" w:type="dxa"/>
            <w:vAlign w:val="top"/>
          </w:tcPr>
          <w:p>
            <w:pPr>
              <w:pStyle w:val="6"/>
              <w:spacing w:before="222" w:line="168" w:lineRule="auto"/>
              <w:ind w:left="301"/>
            </w:pPr>
            <w:r>
              <w:rPr>
                <w:spacing w:val="-16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24" w:type="dxa"/>
            <w:vAlign w:val="top"/>
          </w:tcPr>
          <w:p>
            <w:pPr>
              <w:pStyle w:val="6"/>
              <w:spacing w:before="223" w:line="168" w:lineRule="auto"/>
              <w:ind w:left="251"/>
            </w:pPr>
            <w:r>
              <w:t>2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197" w:line="175" w:lineRule="auto"/>
              <w:ind w:left="216"/>
            </w:pPr>
            <w:r>
              <w:rPr>
                <w:spacing w:val="-3"/>
              </w:rPr>
              <w:t>第二学期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12" w:line="166" w:lineRule="auto"/>
              <w:ind w:left="310"/>
            </w:pPr>
            <w:r>
              <w:rPr>
                <w:spacing w:val="-10"/>
              </w:rPr>
              <w:t>12-4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月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00" w:line="173" w:lineRule="auto"/>
              <w:ind w:left="374"/>
            </w:pPr>
            <w:r>
              <w:rPr>
                <w:spacing w:val="-11"/>
              </w:rPr>
              <w:t>1 个月</w:t>
            </w:r>
          </w:p>
        </w:tc>
        <w:tc>
          <w:tcPr>
            <w:tcW w:w="2955" w:type="dxa"/>
            <w:vAlign w:val="top"/>
          </w:tcPr>
          <w:p>
            <w:pPr>
              <w:pStyle w:val="6"/>
              <w:spacing w:before="196" w:line="178" w:lineRule="auto"/>
              <w:ind w:left="352"/>
            </w:pPr>
            <w:r>
              <w:rPr>
                <w:spacing w:val="-9"/>
              </w:rPr>
              <w:t>4</w:t>
            </w:r>
            <w:r>
              <w:rPr>
                <w:spacing w:val="15"/>
              </w:rPr>
              <w:t xml:space="preserve"> </w:t>
            </w:r>
            <w:r>
              <w:rPr>
                <w:spacing w:val="-9"/>
              </w:rPr>
              <w:t>门课程+论文 1-3 章</w:t>
            </w:r>
          </w:p>
        </w:tc>
        <w:tc>
          <w:tcPr>
            <w:tcW w:w="825" w:type="dxa"/>
            <w:vAlign w:val="top"/>
          </w:tcPr>
          <w:p>
            <w:pPr>
              <w:pStyle w:val="6"/>
              <w:spacing w:before="223" w:line="168" w:lineRule="auto"/>
              <w:ind w:left="301"/>
            </w:pPr>
            <w:r>
              <w:rPr>
                <w:spacing w:val="-16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24" w:type="dxa"/>
            <w:vAlign w:val="top"/>
          </w:tcPr>
          <w:p>
            <w:pPr>
              <w:pStyle w:val="6"/>
              <w:spacing w:before="224" w:line="167" w:lineRule="auto"/>
              <w:ind w:left="250"/>
            </w:pPr>
            <w:r>
              <w:t>3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197" w:line="175" w:lineRule="auto"/>
              <w:ind w:left="216"/>
            </w:pPr>
            <w:r>
              <w:rPr>
                <w:spacing w:val="-3"/>
              </w:rPr>
              <w:t>第三学期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12" w:line="166" w:lineRule="auto"/>
              <w:ind w:left="298"/>
            </w:pPr>
            <w:r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97790</wp:posOffset>
                  </wp:positionV>
                  <wp:extent cx="706120" cy="706120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</w:rPr>
              <w:t>7-11 月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00" w:line="173" w:lineRule="auto"/>
              <w:ind w:left="361"/>
            </w:pPr>
            <w:r>
              <w:rPr>
                <w:spacing w:val="-8"/>
              </w:rPr>
              <w:t>2 个月</w:t>
            </w:r>
          </w:p>
        </w:tc>
        <w:tc>
          <w:tcPr>
            <w:tcW w:w="2955" w:type="dxa"/>
            <w:vAlign w:val="top"/>
          </w:tcPr>
          <w:p>
            <w:pPr>
              <w:pStyle w:val="6"/>
              <w:spacing w:before="197" w:line="177" w:lineRule="auto"/>
              <w:ind w:left="335"/>
            </w:pPr>
            <w:r>
              <w:rPr>
                <w:spacing w:val="-7"/>
              </w:rPr>
              <w:t>英语课程+论文 4-5 章</w:t>
            </w:r>
          </w:p>
        </w:tc>
        <w:tc>
          <w:tcPr>
            <w:tcW w:w="825" w:type="dxa"/>
            <w:vAlign w:val="top"/>
          </w:tcPr>
          <w:p>
            <w:pPr>
              <w:pStyle w:val="6"/>
              <w:spacing w:before="224" w:line="167" w:lineRule="auto"/>
              <w:ind w:left="352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624" w:type="dxa"/>
            <w:vAlign w:val="top"/>
          </w:tcPr>
          <w:p>
            <w:pPr>
              <w:pStyle w:val="6"/>
              <w:spacing w:before="224" w:line="168" w:lineRule="auto"/>
              <w:ind w:left="243"/>
            </w:pPr>
            <w:r>
              <w:t>4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198" w:line="175" w:lineRule="auto"/>
              <w:ind w:left="216"/>
            </w:pPr>
            <w:r>
              <w:rPr>
                <w:spacing w:val="-3"/>
              </w:rPr>
              <w:t>第四学期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13" w:line="166" w:lineRule="auto"/>
              <w:ind w:left="310"/>
            </w:pPr>
            <w:r>
              <w:rPr>
                <w:spacing w:val="-10"/>
              </w:rPr>
              <w:t>12-4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月</w:t>
            </w:r>
          </w:p>
        </w:tc>
        <w:tc>
          <w:tcPr>
            <w:tcW w:w="1383" w:type="dxa"/>
            <w:vAlign w:val="top"/>
          </w:tcPr>
          <w:p>
            <w:pPr>
              <w:pStyle w:val="6"/>
              <w:spacing w:before="201" w:line="173" w:lineRule="auto"/>
              <w:ind w:left="374"/>
            </w:pPr>
            <w:r>
              <w:rPr>
                <w:spacing w:val="-11"/>
              </w:rPr>
              <w:t>1 个月</w:t>
            </w:r>
          </w:p>
        </w:tc>
        <w:tc>
          <w:tcPr>
            <w:tcW w:w="2955" w:type="dxa"/>
            <w:vAlign w:val="top"/>
          </w:tcPr>
          <w:p>
            <w:pPr>
              <w:pStyle w:val="6"/>
              <w:spacing w:before="196" w:line="177" w:lineRule="auto"/>
              <w:ind w:left="697"/>
            </w:pPr>
            <w:r>
              <w:rPr>
                <w:spacing w:val="-8"/>
              </w:rPr>
              <w:t>论文答辩+发表</w:t>
            </w:r>
          </w:p>
        </w:tc>
        <w:tc>
          <w:tcPr>
            <w:tcW w:w="825" w:type="dxa"/>
            <w:vAlign w:val="top"/>
          </w:tcPr>
          <w:p>
            <w:pPr>
              <w:pStyle w:val="6"/>
              <w:spacing w:before="225" w:line="167" w:lineRule="auto"/>
              <w:ind w:left="352"/>
            </w:pPr>
            <w:r>
              <w:t>6</w:t>
            </w:r>
          </w:p>
        </w:tc>
      </w:tr>
    </w:tbl>
    <w:p>
      <w:pPr>
        <w:pStyle w:val="2"/>
        <w:spacing w:line="279" w:lineRule="auto"/>
      </w:pPr>
    </w:p>
    <w:p>
      <w:pPr>
        <w:spacing w:before="103" w:line="174" w:lineRule="auto"/>
        <w:ind w:left="90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说明事项：</w:t>
      </w:r>
    </w:p>
    <w:p>
      <w:pPr>
        <w:spacing w:before="324" w:line="185" w:lineRule="auto"/>
        <w:ind w:left="9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1.课程期间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，每学期学习时间不少于</w:t>
      </w:r>
      <w:r>
        <w:rPr>
          <w:rFonts w:ascii="微软雅黑" w:hAnsi="微软雅黑" w:eastAsia="微软雅黑" w:cs="微软雅黑"/>
          <w:spacing w:val="5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2</w:t>
      </w:r>
      <w:r>
        <w:rPr>
          <w:rFonts w:ascii="微软雅黑" w:hAnsi="微软雅黑" w:eastAsia="微软雅黑" w:cs="微软雅黑"/>
          <w:spacing w:val="5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个月；论文期间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，每学期学习时间不少于  1</w:t>
      </w:r>
      <w:r>
        <w:rPr>
          <w:rFonts w:ascii="微软雅黑" w:hAnsi="微软雅黑" w:eastAsia="微软雅黑" w:cs="微软雅黑"/>
          <w:spacing w:val="57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个月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，硕士累</w:t>
      </w:r>
    </w:p>
    <w:p>
      <w:pPr>
        <w:spacing w:before="307" w:line="186" w:lineRule="auto"/>
        <w:ind w:left="901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57" o:spid="_x0000_s1057" style="position:absolute;left:0pt;margin-left:254.05pt;margin-top:8.7pt;height:33.6pt;width:33.1pt;z-index:-251644928;mso-width-relative:page;mso-height-relative:page;" fillcolor="#FFFFFF" filled="t" stroked="f" coordsize="661,671" path="m330,0c147,0,0,150,0,335c0,520,147,671,330,671c513,671,661,520,661,335c661,150,513,0,330,0m330,13c155,13,13,157,13,335c13,513,155,657,330,657c505,657,647,513,647,335c647,157,505,13,330,13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-41275</wp:posOffset>
            </wp:positionV>
            <wp:extent cx="706120" cy="70612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计学习时间不少于 180  天</w:t>
      </w:r>
      <w:r>
        <w:rPr>
          <w:rFonts w:ascii="微软雅黑" w:hAnsi="微软雅黑" w:eastAsia="微软雅黑" w:cs="微软雅黑"/>
          <w:spacing w:val="-2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，建议海外停留时间 210 天左右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。</w:t>
      </w:r>
    </w:p>
    <w:p>
      <w:pPr>
        <w:spacing w:before="307" w:line="185" w:lineRule="auto"/>
        <w:ind w:left="9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2.跨专业申请无需注册桥梁课程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，经校方评估入学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>
      <w:pPr>
        <w:spacing w:before="304" w:line="185" w:lineRule="auto"/>
        <w:ind w:left="90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3.硕士学生必须完成</w:t>
      </w:r>
      <w:r>
        <w:rPr>
          <w:rFonts w:ascii="微软雅黑" w:hAnsi="微软雅黑" w:eastAsia="微软雅黑" w:cs="微软雅黑"/>
          <w:spacing w:val="50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4</w:t>
      </w:r>
      <w:r>
        <w:rPr>
          <w:rFonts w:ascii="微软雅黑" w:hAnsi="微软雅黑" w:eastAsia="微软雅黑" w:cs="微软雅黑"/>
          <w:spacing w:val="5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个学期的课程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。若某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学期不能参加课程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，可顺延至下一学期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。</w:t>
      </w:r>
    </w:p>
    <w:p>
      <w:pPr>
        <w:pStyle w:val="2"/>
        <w:spacing w:line="456" w:lineRule="auto"/>
      </w:pPr>
    </w:p>
    <w:p>
      <w:pPr>
        <w:spacing w:line="3437" w:lineRule="exact"/>
        <w:ind w:firstLine="3960"/>
      </w:pPr>
      <w:r>
        <w:rPr>
          <w:position w:val="-68"/>
        </w:rPr>
        <w:drawing>
          <wp:inline distT="0" distB="0" distL="0" distR="0">
            <wp:extent cx="5045075" cy="218249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5709" cy="21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7" w:lineRule="exact"/>
        <w:sectPr>
          <w:pgSz w:w="11906" w:h="16839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1804" w:lineRule="exact"/>
      </w:pPr>
      <w:r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8793480</wp:posOffset>
            </wp:positionV>
            <wp:extent cx="7560310" cy="189801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pict>
          <v:shape id="_x0000_s1058" o:spid="_x0000_s1058" o:spt="202" type="#_x0000_t202" style="height:90.3pt;width:595.25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31" w:line="221" w:lineRule="auto"/>
                    <w:ind w:left="659"/>
                    <w:outlineLvl w:val="6"/>
                    <w:rPr>
                      <w:rFonts w:ascii="宋体" w:hAnsi="宋体" w:eastAsia="宋体" w:cs="宋体"/>
                      <w:sz w:val="71"/>
                      <w:szCs w:val="7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1"/>
                      <w:sz w:val="71"/>
                      <w:szCs w:val="71"/>
                      <w14:textOutline w14:w="952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五、报名申请及入学材料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35" w:lineRule="auto"/>
      </w:pPr>
    </w:p>
    <w:p>
      <w:pPr>
        <w:pStyle w:val="2"/>
        <w:spacing w:line="335" w:lineRule="auto"/>
      </w:pPr>
    </w:p>
    <w:p>
      <w:pPr>
        <w:spacing w:before="151" w:line="178" w:lineRule="auto"/>
        <w:ind w:left="103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Yu Gothic UI" w:hAnsi="Yu Gothic UI" w:eastAsia="Yu Gothic UI" w:cs="Yu Gothic UI"/>
          <w:b/>
          <w:bCs/>
          <w:spacing w:val="6"/>
          <w:sz w:val="35"/>
          <w:szCs w:val="35"/>
        </w:rPr>
        <w:t>◉</w:t>
      </w:r>
      <w:r>
        <w:rPr>
          <w:rFonts w:ascii="微软雅黑" w:hAnsi="微软雅黑" w:eastAsia="微软雅黑" w:cs="微软雅黑"/>
          <w:b/>
          <w:bCs/>
          <w:spacing w:val="6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</w:rPr>
        <w:t>申请前材料准备：</w:t>
      </w:r>
    </w:p>
    <w:p>
      <w:pPr>
        <w:pStyle w:val="2"/>
        <w:spacing w:line="372" w:lineRule="auto"/>
      </w:pPr>
    </w:p>
    <w:p>
      <w:pPr>
        <w:spacing w:line="4380" w:lineRule="exact"/>
        <w:ind w:firstLine="602"/>
      </w:pPr>
      <w:r>
        <w:rPr>
          <w:position w:val="-87"/>
        </w:rPr>
        <w:pict>
          <v:group id="_x0000_s1059" o:spid="_x0000_s1059" o:spt="203" style="height:219.05pt;width:563.65pt;" coordsize="11273,4381">
            <o:lock v:ext="edit"/>
            <v:shape id="_x0000_s1060" o:spid="_x0000_s1060" o:spt="75" type="#_x0000_t75" style="position:absolute;left:0;top:0;height:4381;width:11273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61" o:spid="_x0000_s1061" o:spt="202" type="#_x0000_t202" style="position:absolute;left:-20;top:-20;height:4421;width:113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1" w:line="371" w:lineRule="exact"/>
                      <w:ind w:left="384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6"/>
                        <w:position w:val="4"/>
                        <w:sz w:val="24"/>
                        <w:szCs w:val="24"/>
                      </w:rPr>
                      <w:t>1）入学申请表；</w:t>
                    </w:r>
                  </w:p>
                  <w:p>
                    <w:pPr>
                      <w:spacing w:before="253" w:line="370" w:lineRule="exact"/>
                      <w:ind w:left="355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6"/>
                        <w:position w:val="4"/>
                        <w:sz w:val="24"/>
                        <w:szCs w:val="24"/>
                      </w:rPr>
                      <w:t>2）前置学历毕业证或学位证（公证中英文扫描件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40"/>
                        <w:position w:val="4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before="253" w:line="370" w:lineRule="exact"/>
                      <w:ind w:left="358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position w:val="4"/>
                        <w:sz w:val="24"/>
                        <w:szCs w:val="24"/>
                      </w:rPr>
                      <w:t>3）前置学历成绩单（公证中英文扫描件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position w:val="4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before="253" w:line="371" w:lineRule="exact"/>
                      <w:ind w:left="364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2"/>
                        <w:position w:val="4"/>
                        <w:sz w:val="24"/>
                        <w:szCs w:val="24"/>
                      </w:rPr>
                      <w:t>4）无犯罪证明（公证中英文扫描件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3"/>
                        <w:position w:val="4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before="253" w:line="370" w:lineRule="exact"/>
                      <w:ind w:left="364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3"/>
                        <w:position w:val="4"/>
                        <w:sz w:val="24"/>
                        <w:szCs w:val="24"/>
                      </w:rPr>
                      <w:t>5）护照首页（扫描件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2"/>
                        <w:position w:val="4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before="254" w:line="369" w:lineRule="exact"/>
                      <w:ind w:left="359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2"/>
                        <w:position w:val="4"/>
                        <w:sz w:val="24"/>
                        <w:szCs w:val="24"/>
                      </w:rPr>
                      <w:t>6）身份证正反面（扫描件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2"/>
                        <w:position w:val="4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before="255" w:line="368" w:lineRule="exact"/>
                      <w:ind w:left="357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2"/>
                        <w:position w:val="4"/>
                        <w:sz w:val="24"/>
                        <w:szCs w:val="24"/>
                      </w:rPr>
                      <w:t>7）2 寸彩色免冠照片（电子证件照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1"/>
                        <w:position w:val="4"/>
                        <w:sz w:val="24"/>
                        <w:szCs w:val="24"/>
                      </w:rPr>
                      <w:t>）；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7" w:lineRule="auto"/>
      </w:pPr>
    </w:p>
    <w:p>
      <w:pPr>
        <w:spacing w:before="151" w:line="176" w:lineRule="auto"/>
        <w:ind w:left="103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Yu Gothic UI" w:hAnsi="Yu Gothic UI" w:eastAsia="Yu Gothic UI" w:cs="Yu Gothic UI"/>
          <w:b/>
          <w:bCs/>
          <w:spacing w:val="7"/>
          <w:sz w:val="35"/>
          <w:szCs w:val="35"/>
        </w:rPr>
        <w:t>◉</w:t>
      </w:r>
      <w:r>
        <w:rPr>
          <w:rFonts w:ascii="微软雅黑" w:hAnsi="微软雅黑" w:eastAsia="微软雅黑" w:cs="微软雅黑"/>
          <w:b/>
          <w:bCs/>
          <w:spacing w:val="7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</w:rPr>
        <w:t>出国前准备及相关地面服务：</w:t>
      </w:r>
    </w:p>
    <w:p>
      <w:pPr>
        <w:pStyle w:val="2"/>
        <w:spacing w:before="106" w:line="4836" w:lineRule="exact"/>
        <w:ind w:firstLine="602"/>
      </w:pPr>
      <w:r>
        <w:rPr>
          <w:position w:val="-96"/>
        </w:rPr>
        <w:pict>
          <v:group id="_x0000_s1062" o:spid="_x0000_s1062" o:spt="203" style="height:241.85pt;width:564.5pt;" coordsize="11290,4837">
            <o:lock v:ext="edit"/>
            <v:shape id="_x0000_s1063" o:spid="_x0000_s1063" o:spt="75" type="#_x0000_t75" style="position:absolute;left:0;top:0;height:4837;width:11290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64" o:spid="_x0000_s1064" o:spt="202" type="#_x0000_t202" style="position:absolute;left:-20;top:-20;height:4877;width:113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0" w:line="191" w:lineRule="auto"/>
                      <w:ind w:left="5810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1）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5 万以上存款证明（冻结三个月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3"/>
                        <w:sz w:val="24"/>
                        <w:szCs w:val="24"/>
                      </w:rPr>
                      <w:t>）；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2" w:lineRule="auto"/>
                      <w:ind w:left="5782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sz w:val="24"/>
                        <w:szCs w:val="24"/>
                      </w:rPr>
                      <w:t>2）居住所在地居住证明或所在单位保密函一份；</w:t>
                    </w: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3" w:lineRule="auto"/>
                      <w:ind w:left="5785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3）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申请留学生签证；</w:t>
                    </w: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3" w:lineRule="auto"/>
                      <w:ind w:right="19"/>
                      <w:jc w:val="right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7"/>
                        <w:sz w:val="24"/>
                        <w:szCs w:val="24"/>
                      </w:rPr>
                      <w:t>4）预定赴泰航班，并把相关信息并报到中国代表处；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2" w:lineRule="auto"/>
                      <w:ind w:left="5791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7"/>
                        <w:sz w:val="24"/>
                        <w:szCs w:val="24"/>
                      </w:rPr>
                      <w:t>5）按照学生姓名、航班号、到达时间派专人接机；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2" w:lineRule="auto"/>
                      <w:ind w:left="5785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2"/>
                        <w:sz w:val="24"/>
                        <w:szCs w:val="24"/>
                      </w:rPr>
                      <w:t>6）学生到校办理注册相关手续；</w:t>
                    </w: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9" w:line="193" w:lineRule="auto"/>
                      <w:ind w:left="5783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sz w:val="24"/>
                        <w:szCs w:val="24"/>
                      </w:rPr>
                      <w:t>7）参观和熟悉校园环境，为学生安排宿舍，带领购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0" w:line="192" w:lineRule="auto"/>
                      <w:ind w:left="5784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sz w:val="24"/>
                        <w:szCs w:val="24"/>
                      </w:rPr>
                      <w:t>买校服、泰国电话卡及生活用品等；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before="1" w:line="2568" w:lineRule="exact"/>
      </w:pPr>
      <w:r>
        <w:rPr>
          <w:position w:val="-52"/>
        </w:rPr>
        <w:pict>
          <v:shape id="_x0000_s1065" o:spid="_x0000_s1065" o:spt="202" type="#_x0000_t202" style="height:129pt;width:337.1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8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9" w:line="403" w:lineRule="exact"/>
                    <w:ind w:left="848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1"/>
                      <w:position w:val="13"/>
                      <w:sz w:val="24"/>
                      <w:szCs w:val="24"/>
                    </w:rPr>
                    <w:t>版权归北京鸿莘国际教育咨询有限公司所有，</w:t>
                  </w:r>
                </w:p>
                <w:p>
                  <w:pPr>
                    <w:spacing w:line="191" w:lineRule="auto"/>
                    <w:ind w:left="845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未经授权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，严禁使用。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68" w:lineRule="exact"/>
        <w:sectPr>
          <w:pgSz w:w="11906" w:h="16839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1658" w:lineRule="exact"/>
      </w:pPr>
      <w:r>
        <w:rPr>
          <w:position w:val="-33"/>
        </w:rPr>
        <w:pict>
          <v:shape id="_x0000_s1066" o:spid="_x0000_s1066" o:spt="202" type="#_x0000_t202" style="height:83pt;width:595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31" w:line="231" w:lineRule="auto"/>
                    <w:ind w:left="740"/>
                    <w:outlineLvl w:val="6"/>
                    <w:rPr>
                      <w:rFonts w:ascii="宋体" w:hAnsi="宋体" w:eastAsia="宋体" w:cs="宋体"/>
                      <w:sz w:val="71"/>
                      <w:szCs w:val="7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8"/>
                      <w:sz w:val="71"/>
                      <w:szCs w:val="71"/>
                      <w14:textOutline w14:w="952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六、毕业要求及学位认证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151" w:line="176" w:lineRule="auto"/>
        <w:ind w:left="66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Yu Gothic UI" w:hAnsi="Yu Gothic UI" w:eastAsia="Yu Gothic UI" w:cs="Yu Gothic UI"/>
          <w:b/>
          <w:bCs/>
          <w:spacing w:val="4"/>
          <w:sz w:val="35"/>
          <w:szCs w:val="35"/>
        </w:rPr>
        <w:t>◉</w:t>
      </w:r>
      <w:r>
        <w:rPr>
          <w:rFonts w:ascii="微软雅黑" w:hAnsi="微软雅黑" w:eastAsia="微软雅黑" w:cs="微软雅黑"/>
          <w:spacing w:val="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毕业要求</w:t>
      </w:r>
    </w:p>
    <w:p>
      <w:pPr>
        <w:spacing w:before="210" w:line="186" w:lineRule="auto"/>
        <w:ind w:left="11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塔亚武里皇家理工大学严格执行泰国教育部的毕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业政策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，具体为：</w:t>
      </w:r>
    </w:p>
    <w:p>
      <w:pPr>
        <w:spacing w:before="267" w:line="228" w:lineRule="auto"/>
        <w:ind w:left="11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1)</w:t>
      </w:r>
      <w:r>
        <w:rPr>
          <w:rFonts w:ascii="微软雅黑" w:hAnsi="微软雅黑" w:eastAsia="微软雅黑" w:cs="微软雅黑"/>
          <w:spacing w:val="5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修满课程学分</w:t>
      </w:r>
    </w:p>
    <w:p>
      <w:pPr>
        <w:spacing w:before="270" w:line="185" w:lineRule="auto"/>
        <w:ind w:left="111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硕士</w:t>
      </w:r>
      <w:r>
        <w:rPr>
          <w:rFonts w:ascii="微软雅黑" w:hAnsi="微软雅黑" w:eastAsia="微软雅黑" w:cs="微软雅黑"/>
          <w:spacing w:val="55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8 门专业课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，一门语言课程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 xml:space="preserve">，论文 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6 学分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，共  36 学分；</w:t>
      </w:r>
    </w:p>
    <w:p>
      <w:pPr>
        <w:spacing w:before="269" w:line="228" w:lineRule="auto"/>
        <w:ind w:left="11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2)</w:t>
      </w:r>
      <w:r>
        <w:rPr>
          <w:rFonts w:ascii="微软雅黑" w:hAnsi="微软雅黑" w:eastAsia="微软雅黑" w:cs="微软雅黑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语言等级考试</w:t>
      </w:r>
    </w:p>
    <w:p>
      <w:pPr>
        <w:spacing w:before="270" w:line="176" w:lineRule="auto"/>
        <w:ind w:left="11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7"/>
          <w:sz w:val="24"/>
          <w:szCs w:val="24"/>
        </w:rPr>
        <w:t>参加公共英语班+RUMTT 英文考试</w:t>
      </w:r>
    </w:p>
    <w:p>
      <w:pPr>
        <w:spacing w:before="284" w:line="228" w:lineRule="auto"/>
        <w:ind w:left="11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3)</w:t>
      </w:r>
      <w:r>
        <w:rPr>
          <w:rFonts w:ascii="微软雅黑" w:hAnsi="微软雅黑" w:eastAsia="微软雅黑" w:cs="微软雅黑"/>
          <w:spacing w:val="6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通过综合考试</w:t>
      </w:r>
    </w:p>
    <w:p>
      <w:pPr>
        <w:spacing w:before="269" w:line="187" w:lineRule="auto"/>
        <w:ind w:left="11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学生在修满课程学分后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，参加统一的综合考试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。考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试合格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，进入论文阶段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。</w:t>
      </w:r>
    </w:p>
    <w:p>
      <w:pPr>
        <w:spacing w:before="267" w:line="228" w:lineRule="auto"/>
        <w:ind w:left="11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4)</w:t>
      </w:r>
      <w:r>
        <w:rPr>
          <w:rFonts w:ascii="微软雅黑" w:hAnsi="微软雅黑" w:eastAsia="微软雅黑" w:cs="微软雅黑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普刊文章发表</w:t>
      </w:r>
    </w:p>
    <w:p>
      <w:pPr>
        <w:spacing w:before="271" w:line="185" w:lineRule="auto"/>
        <w:ind w:left="11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塔亚武里皇家理工在毕业前组织学术会议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，统一安排硕士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的文章发表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>
      <w:pPr>
        <w:spacing w:before="269" w:line="228" w:lineRule="auto"/>
        <w:ind w:left="11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5)</w:t>
      </w:r>
      <w:r>
        <w:rPr>
          <w:rFonts w:ascii="微软雅黑" w:hAnsi="微软雅黑" w:eastAsia="微软雅黑" w:cs="微软雅黑"/>
          <w:spacing w:val="65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完成论文答辩</w:t>
      </w:r>
    </w:p>
    <w:p>
      <w:pPr>
        <w:spacing w:before="233" w:line="231" w:lineRule="auto"/>
        <w:ind w:left="111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硕士论文</w:t>
      </w:r>
      <w:r>
        <w:rPr>
          <w:rFonts w:ascii="微软雅黑" w:hAnsi="微软雅黑" w:eastAsia="微软雅黑" w:cs="微软雅黑"/>
          <w:spacing w:val="5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70-100 页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，论文为英文撰写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，英文答辩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，查重率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不能超过  15%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。</w:t>
      </w:r>
    </w:p>
    <w:p>
      <w:pPr>
        <w:pStyle w:val="2"/>
        <w:spacing w:before="105" w:line="6125" w:lineRule="exact"/>
        <w:ind w:firstLine="7"/>
      </w:pPr>
      <w:r>
        <w:rPr>
          <w:position w:val="-122"/>
        </w:rPr>
        <w:pict>
          <v:group id="_x0000_s1067" o:spid="_x0000_s1067" o:spt="203" style="height:306.25pt;width:594.95pt;" coordsize="11899,6125">
            <o:lock v:ext="edit"/>
            <v:shape id="_x0000_s1068" o:spid="_x0000_s1068" o:spt="75" type="#_x0000_t75" style="position:absolute;left:0;top:0;height:6125;width:11899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69" o:spid="_x0000_s1069" o:spt="202" type="#_x0000_t202" style="position:absolute;left:-20;top:-20;height:6165;width:119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8" w:line="403" w:lineRule="exact"/>
                      <w:ind w:left="6314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1"/>
                        <w:position w:val="13"/>
                        <w:sz w:val="24"/>
                        <w:szCs w:val="24"/>
                      </w:rPr>
                      <w:t>版权归北京鸿莘国际教育咨询有限公司所有，</w:t>
                    </w:r>
                  </w:p>
                  <w:p>
                    <w:pPr>
                      <w:spacing w:line="191" w:lineRule="auto"/>
                      <w:ind w:left="6311"/>
                      <w:rPr>
                        <w:rFonts w:ascii="华文中宋" w:hAnsi="华文中宋" w:eastAsia="华文中宋" w:cs="华文中宋"/>
                        <w:sz w:val="24"/>
                        <w:szCs w:val="24"/>
                      </w:rPr>
                    </w:pP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未经授权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华文中宋" w:hAnsi="华文中宋" w:eastAsia="华文中宋" w:cs="华文中宋"/>
                        <w:color w:val="FFFFFF"/>
                        <w:spacing w:val="-5"/>
                        <w:sz w:val="24"/>
                        <w:szCs w:val="24"/>
                      </w:rPr>
                      <w:t>，严禁使用。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6125" w:lineRule="exact"/>
        <w:sectPr>
          <w:pgSz w:w="11906" w:h="16839"/>
          <w:pgMar w:top="1" w:right="0" w:bottom="400" w:left="0" w:header="0" w:footer="0" w:gutter="0"/>
          <w:cols w:space="720" w:num="1"/>
        </w:sectPr>
      </w:pPr>
    </w:p>
    <w:p>
      <w:pPr>
        <w:pStyle w:val="2"/>
        <w:spacing w:line="1658" w:lineRule="exact"/>
      </w:pPr>
      <w:r>
        <w:rPr>
          <w:position w:val="-33"/>
        </w:rPr>
        <w:pict>
          <v:shape id="_x0000_s1070" o:spid="_x0000_s1070" o:spt="202" type="#_x0000_t202" style="height:83pt;width:595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31" w:line="224" w:lineRule="auto"/>
                    <w:ind w:left="741"/>
                    <w:outlineLvl w:val="6"/>
                    <w:rPr>
                      <w:rFonts w:ascii="宋体" w:hAnsi="宋体" w:eastAsia="宋体" w:cs="宋体"/>
                      <w:sz w:val="71"/>
                      <w:szCs w:val="7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6"/>
                      <w:sz w:val="71"/>
                      <w:szCs w:val="71"/>
                      <w14:textOutline w14:w="952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七、学位认证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51" w:line="185" w:lineRule="auto"/>
        <w:ind w:left="81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Yu Gothic UI" w:hAnsi="Yu Gothic UI" w:eastAsia="Yu Gothic UI" w:cs="Yu Gothic UI"/>
          <w:b/>
          <w:bCs/>
          <w:spacing w:val="3"/>
          <w:sz w:val="35"/>
          <w:szCs w:val="35"/>
        </w:rPr>
        <w:t>◉</w:t>
      </w:r>
      <w:r>
        <w:rPr>
          <w:rFonts w:ascii="微软雅黑" w:hAnsi="微软雅黑" w:eastAsia="微软雅黑" w:cs="微软雅黑"/>
          <w:b/>
          <w:bCs/>
          <w:spacing w:val="3"/>
          <w:sz w:val="35"/>
          <w:szCs w:val="35"/>
        </w:rPr>
        <w:t>学位认证</w:t>
      </w:r>
      <w:r>
        <w:rPr>
          <w:rFonts w:ascii="微软雅黑" w:hAnsi="微软雅黑" w:eastAsia="微软雅黑" w:cs="微软雅黑"/>
          <w:b/>
          <w:bCs/>
          <w:spacing w:val="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02" w:line="365" w:lineRule="auto"/>
        <w:ind w:left="794" w:right="736" w:firstLine="477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塔亚武里皇家理工大学毕业文件为学位证和成绩单，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由学校统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一办理</w:t>
      </w:r>
      <w:r>
        <w:rPr>
          <w:rFonts w:ascii="微软雅黑" w:hAnsi="微软雅黑" w:eastAsia="微软雅黑" w:cs="微软雅黑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 xml:space="preserve">，通常办理周期为 2 个月 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左右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9"/>
          <w:sz w:val="24"/>
          <w:szCs w:val="24"/>
        </w:rPr>
        <w:t>。学位证和成绩单颁发后，在线递交中国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教育部留学服务中心，申请中留服认证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。认证周期为</w:t>
      </w:r>
      <w:r>
        <w:rPr>
          <w:rFonts w:ascii="微软雅黑" w:hAnsi="微软雅黑" w:eastAsia="微软雅黑" w:cs="微软雅黑"/>
          <w:spacing w:val="5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0"/>
          <w:sz w:val="24"/>
          <w:szCs w:val="24"/>
        </w:rPr>
        <w:t>20</w:t>
      </w:r>
    </w:p>
    <w:p>
      <w:pPr>
        <w:spacing w:line="175" w:lineRule="auto"/>
        <w:ind w:left="79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个工作日左右</w:t>
      </w:r>
      <w:r>
        <w:rPr>
          <w:rFonts w:ascii="微软雅黑" w:hAnsi="微软雅黑" w:eastAsia="微软雅黑" w:cs="微软雅黑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103" w:line="176" w:lineRule="auto"/>
        <w:ind w:left="12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●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塔亚武里皇家理工大学毕业文件和相关认证示例如下：</w:t>
      </w: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0"/>
      </w:pPr>
    </w:p>
    <w:p>
      <w:pPr>
        <w:spacing w:before="20"/>
      </w:pPr>
    </w:p>
    <w:p>
      <w:pPr>
        <w:sectPr>
          <w:pgSz w:w="11906" w:h="16839"/>
          <w:pgMar w:top="1" w:right="0" w:bottom="1" w:left="0" w:header="0" w:footer="0" w:gutter="0"/>
          <w:cols w:equalWidth="0" w:num="1">
            <w:col w:w="11906"/>
          </w:cols>
        </w:sectPr>
      </w:pPr>
    </w:p>
    <w:p>
      <w:pPr>
        <w:spacing w:before="84" w:line="225" w:lineRule="exact"/>
        <w:ind w:left="316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position w:val="-2"/>
          <w:sz w:val="24"/>
          <w:szCs w:val="24"/>
        </w:rPr>
        <w:t>毕业证明文件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4" w:line="263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6"/>
          <w:sz w:val="24"/>
          <w:szCs w:val="24"/>
        </w:rPr>
        <w:t>中留服认证</w:t>
      </w:r>
    </w:p>
    <w:p>
      <w:pPr>
        <w:spacing w:line="263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9"/>
          <w:pgMar w:top="1" w:right="0" w:bottom="1" w:left="0" w:header="0" w:footer="0" w:gutter="0"/>
          <w:cols w:equalWidth="0" w:num="2">
            <w:col w:w="7596" w:space="100"/>
            <w:col w:w="4211"/>
          </w:cols>
        </w:sectPr>
      </w:pPr>
    </w:p>
    <w:p>
      <w:pPr>
        <w:pStyle w:val="2"/>
        <w:spacing w:line="324" w:lineRule="auto"/>
      </w:pPr>
    </w:p>
    <w:p>
      <w:pPr>
        <w:spacing w:line="4941" w:lineRule="exact"/>
        <w:ind w:firstLine="2038"/>
      </w:pPr>
      <w:r>
        <w:rPr>
          <w:position w:val="-98"/>
        </w:rPr>
        <w:drawing>
          <wp:inline distT="0" distB="0" distL="0" distR="0">
            <wp:extent cx="5172710" cy="31369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73217" cy="31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spacing w:line="2592" w:lineRule="exact"/>
      </w:pPr>
      <w:r>
        <w:rPr>
          <w:position w:val="-51"/>
        </w:rPr>
        <w:drawing>
          <wp:inline distT="0" distB="0" distL="0" distR="0">
            <wp:extent cx="7559675" cy="16459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6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2" w:lineRule="exact"/>
        <w:sectPr>
          <w:type w:val="continuous"/>
          <w:pgSz w:w="11906" w:h="16839"/>
          <w:pgMar w:top="1" w:right="0" w:bottom="1" w:left="0" w:header="0" w:footer="0" w:gutter="0"/>
          <w:cols w:equalWidth="0" w:num="1">
            <w:col w:w="11906"/>
          </w:cols>
        </w:sectPr>
      </w:pPr>
    </w:p>
    <w:p>
      <w:pPr>
        <w:pStyle w:val="2"/>
        <w:spacing w:line="1658" w:lineRule="exact"/>
      </w:pPr>
      <w:r>
        <mc:AlternateContent>
          <mc:Choice Requires="wps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1927860</wp:posOffset>
                </wp:positionV>
                <wp:extent cx="20320" cy="5257165"/>
                <wp:effectExtent l="0" t="0" r="0" b="0"/>
                <wp:wrapNone/>
                <wp:docPr id="40" name="R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4739" y="1928494"/>
                          <a:ext cx="20320" cy="5257165"/>
                        </a:xfrm>
                        <a:prstGeom prst="rect">
                          <a:avLst/>
                        </a:prstGeom>
                        <a:solidFill>
                          <a:srgbClr val="7E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0" o:spid="_x0000_s1026" o:spt="1" style="position:absolute;left:0pt;margin-left:86.15pt;margin-top:151.8pt;height:413.95pt;width:1.6pt;mso-position-horizontal-relative:page;mso-position-vertical-relative:page;z-index:-251642880;mso-width-relative:page;mso-height-relative:page;" fillcolor="#7E0000" filled="t" stroked="f" coordsize="21600,21600" o:allowincell="f" o:gfxdata="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o0aFtoAAAAMAQAADwAAAAAAAAABACAAAAAiAAAAZHJzL2Rvd25yZXYu&#10;eG1sUEsBAhQAFAAAAAgAh07iQG9/V2EyAgAAbwQAAA4AAAAAAAAAAQAgAAAAKQ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71" o:spid="_x0000_s1071" o:spt="1" style="position:absolute;left:0pt;margin-left:539.4pt;margin-top:0pt;height:768.55pt;width:55.9pt;mso-position-horizontal-relative:page;mso-position-vertical-relative:page;z-index:251681792;mso-width-relative:page;mso-height-relative:page;" fillcolor="#7E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1003300</wp:posOffset>
            </wp:positionH>
            <wp:positionV relativeFrom="page">
              <wp:posOffset>1828165</wp:posOffset>
            </wp:positionV>
            <wp:extent cx="220345" cy="22034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344" cy="2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1003300</wp:posOffset>
            </wp:positionH>
            <wp:positionV relativeFrom="page">
              <wp:posOffset>3191510</wp:posOffset>
            </wp:positionV>
            <wp:extent cx="220345" cy="22034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344" cy="2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1003300</wp:posOffset>
            </wp:positionH>
            <wp:positionV relativeFrom="page">
              <wp:posOffset>4554220</wp:posOffset>
            </wp:positionV>
            <wp:extent cx="220345" cy="2203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344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1003300</wp:posOffset>
            </wp:positionH>
            <wp:positionV relativeFrom="page">
              <wp:posOffset>5917565</wp:posOffset>
            </wp:positionV>
            <wp:extent cx="220345" cy="22034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344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1307465</wp:posOffset>
            </wp:positionH>
            <wp:positionV relativeFrom="page">
              <wp:posOffset>7453630</wp:posOffset>
            </wp:positionV>
            <wp:extent cx="913130" cy="91313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3917950</wp:posOffset>
            </wp:positionH>
            <wp:positionV relativeFrom="page">
              <wp:posOffset>7453630</wp:posOffset>
            </wp:positionV>
            <wp:extent cx="913130" cy="91313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3129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2613025</wp:posOffset>
            </wp:positionH>
            <wp:positionV relativeFrom="page">
              <wp:posOffset>7453630</wp:posOffset>
            </wp:positionV>
            <wp:extent cx="913130" cy="91313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3129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"/>
        </w:rPr>
        <w:pict>
          <v:shape id="_x0000_s1072" o:spid="_x0000_s1072" o:spt="202" type="#_x0000_t202" style="height:83pt;width:595.3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2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31" w:line="223" w:lineRule="auto"/>
                    <w:ind w:left="639"/>
                    <w:outlineLvl w:val="6"/>
                    <w:rPr>
                      <w:rFonts w:ascii="宋体" w:hAnsi="宋体" w:eastAsia="宋体" w:cs="宋体"/>
                      <w:sz w:val="71"/>
                      <w:szCs w:val="7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9"/>
                      <w:sz w:val="71"/>
                      <w:szCs w:val="71"/>
                      <w14:textOutline w14:w="952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八、入学流程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150" w:line="187" w:lineRule="auto"/>
        <w:ind w:left="225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7E0000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01</w:t>
      </w:r>
      <w:r>
        <w:rPr>
          <w:rFonts w:ascii="微软雅黑" w:hAnsi="微软雅黑" w:eastAsia="微软雅黑" w:cs="微软雅黑"/>
          <w:color w:val="7E0000"/>
          <w:spacing w:val="79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E0000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提交申请材料</w:t>
      </w:r>
    </w:p>
    <w:p>
      <w:pPr>
        <w:spacing w:before="223" w:line="180" w:lineRule="auto"/>
        <w:ind w:left="225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缴纳申请费并提交全部申请所需材料</w:t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spacing w:before="151" w:line="187" w:lineRule="auto"/>
        <w:ind w:left="225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7E0000"/>
          <w:spacing w:val="-3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02</w:t>
      </w:r>
      <w:r>
        <w:rPr>
          <w:rFonts w:ascii="微软雅黑" w:hAnsi="微软雅黑" w:eastAsia="微软雅黑" w:cs="微软雅黑"/>
          <w:color w:val="7E0000"/>
          <w:spacing w:val="80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E0000"/>
          <w:spacing w:val="-3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材料审核</w:t>
      </w:r>
      <w:r>
        <w:rPr>
          <w:rFonts w:ascii="微软雅黑" w:hAnsi="微软雅黑" w:eastAsia="微软雅黑" w:cs="微软雅黑"/>
          <w:color w:val="7E0000"/>
          <w:spacing w:val="-42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E0000"/>
          <w:spacing w:val="-3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，线上面试</w:t>
      </w:r>
    </w:p>
    <w:p>
      <w:pPr>
        <w:spacing w:before="261" w:line="190" w:lineRule="auto"/>
        <w:ind w:left="228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6"/>
          <w:sz w:val="31"/>
          <w:szCs w:val="31"/>
        </w:rPr>
        <w:t>中泰双方办公室对报名资料进行审核，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线上面试</w: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150" w:line="186" w:lineRule="auto"/>
        <w:ind w:left="225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7E0000"/>
          <w:spacing w:val="-5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03</w:t>
      </w:r>
      <w:r>
        <w:rPr>
          <w:rFonts w:ascii="微软雅黑" w:hAnsi="微软雅黑" w:eastAsia="微软雅黑" w:cs="微软雅黑"/>
          <w:color w:val="7E0000"/>
          <w:spacing w:val="86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E0000"/>
          <w:spacing w:val="-5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录取通知</w:t>
      </w:r>
    </w:p>
    <w:p>
      <w:pPr>
        <w:spacing w:before="356" w:line="189" w:lineRule="auto"/>
        <w:ind w:left="225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6"/>
          <w:sz w:val="31"/>
          <w:szCs w:val="31"/>
        </w:rPr>
        <w:t>发送录取通知书，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学员正式录取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50" w:line="189" w:lineRule="auto"/>
        <w:ind w:left="225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7E0000"/>
          <w:spacing w:val="-3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04</w:t>
      </w:r>
      <w:r>
        <w:rPr>
          <w:rFonts w:ascii="微软雅黑" w:hAnsi="微软雅黑" w:eastAsia="微软雅黑" w:cs="微软雅黑"/>
          <w:color w:val="7E0000"/>
          <w:spacing w:val="75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E0000"/>
          <w:spacing w:val="-3"/>
          <w:sz w:val="35"/>
          <w:szCs w:val="35"/>
          <w14:textOutline w14:w="6537" w14:cap="sq" w14:cmpd="sng">
            <w14:solidFill>
              <w14:srgbClr w14:val="7E0000"/>
            </w14:solidFill>
            <w14:prstDash w14:val="solid"/>
            <w14:bevel/>
          </w14:textOutline>
        </w:rPr>
        <w:t>缴纳学费</w:t>
      </w:r>
    </w:p>
    <w:p>
      <w:pPr>
        <w:spacing w:before="168" w:line="179" w:lineRule="auto"/>
        <w:ind w:left="225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缴纳学费并办理相关入学手续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1" w:line="717" w:lineRule="exact"/>
        <w:ind w:firstLine="1413"/>
      </w:pPr>
      <w:r>
        <w:rPr>
          <w:position w:val="-14"/>
        </w:rPr>
        <w:drawing>
          <wp:inline distT="0" distB="0" distL="0" distR="0">
            <wp:extent cx="432435" cy="45529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069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438" w:lineRule="exact"/>
        <w:ind w:firstLine="8226"/>
      </w:pPr>
      <w:r>
        <w:rPr>
          <w:position w:val="-28"/>
        </w:rPr>
        <w:drawing>
          <wp:inline distT="0" distB="0" distL="0" distR="0">
            <wp:extent cx="913130" cy="91249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9" w:line="176" w:lineRule="auto"/>
        <w:ind w:left="212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</w:rPr>
        <w:t>申请制入学</w:t>
      </w:r>
      <w:r>
        <w:rPr>
          <w:rFonts w:ascii="微软雅黑" w:hAnsi="微软雅黑" w:eastAsia="微软雅黑" w:cs="微软雅黑"/>
          <w:spacing w:val="6"/>
          <w:sz w:val="28"/>
          <w:szCs w:val="28"/>
        </w:rPr>
        <w:t xml:space="preserve">         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学历提升           国际视野           性价比高</w:t>
      </w:r>
    </w:p>
    <w:p>
      <w:pPr>
        <w:pStyle w:val="2"/>
        <w:spacing w:line="398" w:lineRule="auto"/>
      </w:pPr>
    </w:p>
    <w:p>
      <w:pPr>
        <w:pStyle w:val="2"/>
        <w:spacing w:before="1" w:line="2568" w:lineRule="exact"/>
      </w:pPr>
      <w:r>
        <w:rPr>
          <w:position w:val="-52"/>
        </w:rPr>
        <w:pict>
          <v:shape id="_x0000_s1073" o:spid="_x0000_s1073" o:spt="202" type="#_x0000_t202" style="height:129pt;width:337.1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8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89" w:line="403" w:lineRule="exact"/>
                    <w:ind w:left="848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1"/>
                      <w:position w:val="13"/>
                      <w:sz w:val="24"/>
                      <w:szCs w:val="24"/>
                    </w:rPr>
                    <w:t>版权归北京鸿莘国际教育咨询有限公司所有，</w:t>
                  </w:r>
                </w:p>
                <w:p>
                  <w:pPr>
                    <w:spacing w:line="191" w:lineRule="auto"/>
                    <w:ind w:left="845"/>
                    <w:rPr>
                      <w:rFonts w:ascii="华文中宋" w:hAnsi="华文中宋" w:eastAsia="华文中宋" w:cs="华文中宋"/>
                      <w:sz w:val="24"/>
                      <w:szCs w:val="24"/>
                    </w:rPr>
                  </w:pP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未经授权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华文中宋" w:hAnsi="华文中宋" w:eastAsia="华文中宋" w:cs="华文中宋"/>
                      <w:color w:val="FFFFFF"/>
                      <w:spacing w:val="-5"/>
                      <w:sz w:val="24"/>
                      <w:szCs w:val="24"/>
                    </w:rPr>
                    <w:t>，严禁使用。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68" w:lineRule="exact"/>
        <w:sectPr>
          <w:pgSz w:w="11906" w:h="16839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12773" w:lineRule="exact"/>
        <w:ind w:firstLine="1012"/>
      </w:pPr>
      <w:r>
        <w:rPr>
          <w:position w:val="-255"/>
        </w:rPr>
        <w:pict>
          <v:shape id="_x0000_s1074" o:spid="_x0000_s1074" o:spt="202" type="#_x0000_t202" style="height:638.65pt;width:322pt;" fillcolor="#7E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79" w:line="223" w:lineRule="auto"/>
                    <w:ind w:left="196"/>
                    <w:rPr>
                      <w:rFonts w:ascii="宋体" w:hAnsi="宋体" w:eastAsia="宋体" w:cs="宋体"/>
                      <w:sz w:val="55"/>
                      <w:szCs w:val="55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7"/>
                      <w:sz w:val="55"/>
                      <w:szCs w:val="55"/>
                      <w14:textOutline w14:w="10151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鸿莘国际教育</w:t>
                  </w:r>
                </w:p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0" w:line="623" w:lineRule="exact"/>
                    <w:ind w:left="23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position w:val="27"/>
                      <w:sz w:val="28"/>
                      <w:szCs w:val="28"/>
                    </w:rPr>
                    <w:t>北京鸿莘国际教育咨询有限公司是一家海归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position w:val="27"/>
                      <w:sz w:val="28"/>
                      <w:szCs w:val="28"/>
                    </w:rPr>
                    <w:t>留学</w:t>
                  </w:r>
                </w:p>
                <w:p>
                  <w:pPr>
                    <w:spacing w:before="1" w:line="176" w:lineRule="auto"/>
                    <w:ind w:left="2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</w:rPr>
                    <w:t>人员创办的国际教育服务机构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</w:rPr>
                    <w:t>。</w:t>
                  </w:r>
                </w:p>
                <w:p>
                  <w:pPr>
                    <w:spacing w:before="270" w:line="624" w:lineRule="exact"/>
                    <w:ind w:left="22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position w:val="27"/>
                      <w:sz w:val="28"/>
                      <w:szCs w:val="28"/>
                    </w:rPr>
                    <w:t>拥有非常优质和雄厚的中国及海外高等院校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position w:val="2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position w:val="27"/>
                      <w:sz w:val="28"/>
                      <w:szCs w:val="28"/>
                    </w:rPr>
                    <w:t>、高</w:t>
                  </w:r>
                </w:p>
                <w:p>
                  <w:pPr>
                    <w:spacing w:before="1" w:line="176" w:lineRule="auto"/>
                    <w:ind w:left="22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</w:rPr>
                    <w:t>水平职业教育机构和组织资源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</w:rPr>
                    <w:t>。</w:t>
                  </w:r>
                </w:p>
                <w:p>
                  <w:pPr>
                    <w:spacing w:before="267" w:line="312" w:lineRule="auto"/>
                    <w:ind w:left="225" w:right="244" w:firstLine="10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8"/>
                      <w:szCs w:val="28"/>
                    </w:rPr>
                    <w:t>为了响应一带一路国家发展战略，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8"/>
                      <w:szCs w:val="28"/>
                    </w:rPr>
                    <w:t>助力职业教育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走向世界，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鸿莘国际深耕国际教育领域，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通过自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28"/>
                      <w:szCs w:val="28"/>
                    </w:rPr>
                    <w:t>身资源优势帮助中国高等职业院校与海外院校达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28"/>
                      <w:szCs w:val="28"/>
                    </w:rPr>
                    <w:t xml:space="preserve"> 成官方战略合作，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28"/>
                      <w:szCs w:val="28"/>
                    </w:rPr>
                    <w:t>并研发精细化国际院校合作交</w:t>
                  </w:r>
                </w:p>
                <w:p>
                  <w:pPr>
                    <w:spacing w:before="1" w:line="178" w:lineRule="auto"/>
                    <w:ind w:left="22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</w:rPr>
                    <w:t>流运营新模式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</w:rPr>
                    <w:t>。</w:t>
                  </w:r>
                </w:p>
                <w:p>
                  <w:pPr>
                    <w:spacing w:before="265" w:line="312" w:lineRule="auto"/>
                    <w:ind w:left="225" w:right="244" w:firstLine="1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>加快构建现代职业教育体系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>。同时，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 xml:space="preserve">推动职业教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育走出去，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引进国外先进的教育资源，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28"/>
                      <w:szCs w:val="28"/>
                    </w:rPr>
                    <w:t>打造中国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8"/>
                      <w:szCs w:val="28"/>
                    </w:rPr>
                    <w:t>特色职业教育品牌，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8"/>
                      <w:szCs w:val="28"/>
                    </w:rPr>
                    <w:t>实现中国与世界职业教育的</w:t>
                  </w:r>
                </w:p>
                <w:p>
                  <w:pPr>
                    <w:spacing w:before="1" w:line="177" w:lineRule="auto"/>
                    <w:ind w:left="22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</w:rPr>
                    <w:t>双向融通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2773" w:lineRule="exact"/>
        <w:sectPr>
          <w:headerReference r:id="rId7" w:type="default"/>
          <w:pgSz w:w="11906" w:h="16839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2" w:lineRule="auto"/>
      </w:pPr>
      <w:r>
        <w:pict>
          <v:rect id="_x0000_s1075" o:spid="_x0000_s1075" o:spt="1" style="position:absolute;left:0pt;margin-left:0.2pt;margin-top:694.4pt;height:86.55pt;width:20.8pt;mso-position-horizontal-relative:page;mso-position-vertical-relative:page;z-index:251682816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03" w:line="218" w:lineRule="auto"/>
        <w:ind w:left="832"/>
        <w:rPr>
          <w:rFonts w:ascii="微软雅黑" w:hAnsi="微软雅黑" w:eastAsia="微软雅黑" w:cs="微软雅黑"/>
          <w:sz w:val="22"/>
          <w:szCs w:val="22"/>
        </w:rPr>
      </w:pPr>
    </w:p>
    <w:sectPr>
      <w:headerReference r:id="rId8" w:type="default"/>
      <w:pgSz w:w="11906" w:h="16839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6985</wp:posOffset>
              </wp:positionV>
              <wp:extent cx="7559675" cy="10685145"/>
              <wp:effectExtent l="0" t="0" r="0" b="0"/>
              <wp:wrapNone/>
              <wp:docPr id="60" name="Rect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7619"/>
                        <a:ext cx="7559675" cy="10685144"/>
                      </a:xfrm>
                      <a:prstGeom prst="rect">
                        <a:avLst/>
                      </a:prstGeom>
                      <a:solidFill>
                        <a:srgbClr val="7E0000">
                          <a:alpha val="43529"/>
                        </a:srgbClr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60" o:spid="_x0000_s1026" o:spt="1" style="position:absolute;left:0pt;margin-left:0pt;margin-top:0.55pt;height:841.35pt;width:595.25pt;mso-position-horizontal-relative:page;mso-position-vertical-relative:page;z-index:-251657216;mso-width-relative:page;mso-height-relative:page;" fillcolor="#7E0000" filled="t" stroked="f" coordsize="21600,21600" o:allowincell="f" o:gfxdata="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HBYb21QAAAAgBAAAPAAAAAAAAAAEAIAAAACIAAABkcnMvZG93&#10;bnJldi54bWxQSwECFAAUAAAACACHTuJAF1bPfDwCAACKBAAADgAAAAAAAAABACAAAAAkAQAAZHJz&#10;L2Uyb0RvYy54bWxQSwUGAAAAAAYABgBZAQAA0gUAAAAA&#10;">
              <v:fill on="t" opacity="28527f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62" name="IM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0pt;margin-top:5.65pt;height:836.25pt;width:595.3pt;mso-position-horizontal-relative:page;mso-position-vertical-relative:page;z-index:251661312;mso-width-relative:page;mso-height-relative:page;" fillcolor="#7E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016F4726"/>
    <w:rsid w:val="0CA84B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39.png"/><Relationship Id="rId46" Type="http://schemas.openxmlformats.org/officeDocument/2006/relationships/image" Target="media/image38.jpe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2"/>
    <customShpInfo spid="_x0000_s1043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4"/>
    <customShpInfo spid="_x0000_s1055"/>
    <customShpInfo spid="_x0000_s1053"/>
    <customShpInfo spid="_x0000_s1056"/>
    <customShpInfo spid="_x0000_s1057"/>
    <customShpInfo spid="_x0000_s1058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5"/>
    <customShpInfo spid="_x0000_s1066"/>
    <customShpInfo spid="_x0000_s1068"/>
    <customShpInfo spid="_x0000_s1069"/>
    <customShpInfo spid="_x0000_s1067"/>
    <customShpInfo spid="_x0000_s1070"/>
    <customShpInfo spid="_x0000_s1071"/>
    <customShpInfo spid="_x0000_s1072"/>
    <customShpInfo spid="_x0000_s1073"/>
    <customShpInfo spid="_x0000_s1074"/>
    <customShpInfo spid="_x0000_s1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9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2024-02-23T10:04:00Z</dcterms:created>
  <dc:creator>李老师</dc:creator>
  <cp:lastModifiedBy>冰冰⊙▽⊙＊</cp:lastModifiedBy>
  <dcterms:modified xsi:type="dcterms:W3CDTF">2024-03-08T02:32:50Z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2024-03-08T10:22:16Z</vt:filetime>
  </property>
  <property fmtid="{D5CDD505-2E9C-101B-9397-08002B2CF9AE}" pid="4" name="KSOProductBuildVer">
    <vt:lpwstr>2052-12.1.0.16388</vt:lpwstr>
  </property>
  <property fmtid="{D5CDD505-2E9C-101B-9397-08002B2CF9AE}" pid="5" name="ICV">
    <vt:lpwstr>CBA7C2E8E58343DA97E029EE1A844A58_13</vt:lpwstr>
  </property>
</Properties>
</file>