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04" w:line="224" w:lineRule="auto"/>
        <w:ind w:left="1991"/>
        <w:outlineLvl w:val="0"/>
        <w:rPr>
          <w:rFonts w:ascii="黑体" w:hAnsi="黑体" w:eastAsia="黑体" w:cs="黑体"/>
          <w:sz w:val="186"/>
          <w:szCs w:val="186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-3401695</wp:posOffset>
            </wp:positionV>
            <wp:extent cx="14238605" cy="201168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38885" cy="20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ABF00"/>
          <w:spacing w:val="117"/>
          <w:sz w:val="186"/>
          <w:szCs w:val="186"/>
        </w:rPr>
        <w:t>马来西亚</w:t>
      </w:r>
    </w:p>
    <w:p>
      <w:pPr>
        <w:spacing w:before="135" w:line="221" w:lineRule="auto"/>
        <w:ind w:left="1923"/>
        <w:rPr>
          <w:rFonts w:ascii="黑体" w:hAnsi="黑体" w:eastAsia="黑体" w:cs="黑体"/>
          <w:sz w:val="186"/>
          <w:szCs w:val="186"/>
        </w:rPr>
      </w:pPr>
      <w:r>
        <w:rPr>
          <w:rFonts w:ascii="黑体" w:hAnsi="黑体" w:eastAsia="黑体" w:cs="黑体"/>
          <w:color w:val="FABF00"/>
          <w:spacing w:val="124"/>
          <w:sz w:val="186"/>
          <w:szCs w:val="186"/>
        </w:rPr>
        <w:t>北婆罗洲大学学院</w:t>
      </w:r>
    </w:p>
    <w:p>
      <w:pPr>
        <w:spacing w:before="579" w:line="222" w:lineRule="auto"/>
        <w:ind w:left="2248"/>
        <w:rPr>
          <w:rFonts w:ascii="黑体" w:hAnsi="黑体" w:eastAsia="黑体" w:cs="黑体"/>
          <w:sz w:val="124"/>
          <w:szCs w:val="124"/>
        </w:rPr>
      </w:pPr>
      <w:r>
        <w:rPr>
          <w:rFonts w:ascii="黑体" w:hAnsi="黑体" w:eastAsia="黑体" w:cs="黑体"/>
          <w:b/>
          <w:bCs/>
          <w:color w:val="FFFFFF"/>
          <w:spacing w:val="74"/>
          <w:sz w:val="124"/>
          <w:szCs w:val="124"/>
        </w:rPr>
        <w:t>一年制管理学硕士</w:t>
      </w:r>
    </w:p>
    <w:p>
      <w:pPr>
        <w:spacing w:line="222" w:lineRule="auto"/>
        <w:rPr>
          <w:rFonts w:ascii="黑体" w:hAnsi="黑体" w:eastAsia="黑体" w:cs="黑体"/>
          <w:sz w:val="124"/>
          <w:szCs w:val="124"/>
        </w:rPr>
        <w:sectPr>
          <w:headerReference r:id="rId5" w:type="default"/>
          <w:pgSz w:w="22424" w:h="3168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45" w:lineRule="auto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7741285</wp:posOffset>
            </wp:positionH>
            <wp:positionV relativeFrom="page">
              <wp:posOffset>3862070</wp:posOffset>
            </wp:positionV>
            <wp:extent cx="6468745" cy="1403794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8631" cy="140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3102" w:lineRule="exact"/>
      </w:pPr>
      <w:r>
        <w:rPr>
          <w:position w:val="-62"/>
        </w:rPr>
        <w:pict>
          <v:shape id="_x0000_s1026" o:spid="_x0000_s1026" o:spt="202" type="#_x0000_t202" style="height:155.15pt;width:612.3pt;" fillcolor="#F8C41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390" w:line="222" w:lineRule="auto"/>
                    <w:ind w:left="1412"/>
                    <w:rPr>
                      <w:rFonts w:ascii="黑体" w:hAnsi="黑体" w:eastAsia="黑体" w:cs="黑体"/>
                      <w:sz w:val="120"/>
                      <w:szCs w:val="120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11"/>
                      <w:sz w:val="120"/>
                      <w:szCs w:val="120"/>
                    </w:rPr>
                    <w:t>目</w:t>
                  </w:r>
                  <w:r>
                    <w:rPr>
                      <w:rFonts w:ascii="黑体" w:hAnsi="黑体" w:eastAsia="黑体" w:cs="黑体"/>
                      <w:color w:val="FFFFFF"/>
                      <w:spacing w:val="100"/>
                      <w:sz w:val="120"/>
                      <w:szCs w:val="12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11"/>
                      <w:sz w:val="120"/>
                      <w:szCs w:val="120"/>
                    </w:rPr>
                    <w:t>录</w:t>
                  </w:r>
                </w:p>
                <w:p>
                  <w:pPr>
                    <w:spacing w:before="155" w:line="199" w:lineRule="auto"/>
                    <w:ind w:left="1440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3"/>
                      <w:sz w:val="63"/>
                      <w:szCs w:val="63"/>
                    </w:rPr>
                    <w:t>CONTENTS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82" w:line="210" w:lineRule="auto"/>
        <w:ind w:left="1526"/>
        <w:rPr>
          <w:rFonts w:ascii="宋体" w:hAnsi="宋体" w:eastAsia="宋体" w:cs="宋体"/>
          <w:sz w:val="56"/>
          <w:szCs w:val="56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-9302750</wp:posOffset>
            </wp:positionV>
            <wp:extent cx="14210030" cy="201168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10213" cy="20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9"/>
          <w:sz w:val="52"/>
          <w:szCs w:val="52"/>
        </w:rPr>
        <w:t>会员资格与认证</w:t>
      </w:r>
      <w:r>
        <w:rPr>
          <w:rFonts w:ascii="黑体" w:hAnsi="黑体" w:eastAsia="黑体" w:cs="黑体"/>
          <w:spacing w:val="3"/>
          <w:sz w:val="52"/>
          <w:szCs w:val="52"/>
        </w:rPr>
        <w:t xml:space="preserve">                </w:t>
      </w:r>
      <w:r>
        <w:rPr>
          <w:rFonts w:ascii="宋体" w:hAnsi="宋体" w:eastAsia="宋体" w:cs="宋体"/>
          <w:spacing w:val="-9"/>
          <w:sz w:val="56"/>
          <w:szCs w:val="56"/>
        </w:rPr>
        <w:t>01-02</w: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169" w:line="222" w:lineRule="auto"/>
        <w:ind w:left="1526"/>
        <w:rPr>
          <w:rFonts w:ascii="宋体" w:hAnsi="宋体" w:eastAsia="宋体" w:cs="宋体"/>
          <w:sz w:val="43"/>
          <w:szCs w:val="43"/>
        </w:rPr>
      </w:pPr>
      <w:r>
        <w:rPr>
          <w:rFonts w:ascii="黑体" w:hAnsi="黑体" w:eastAsia="黑体" w:cs="黑体"/>
          <w:spacing w:val="-5"/>
          <w:sz w:val="52"/>
          <w:szCs w:val="52"/>
        </w:rPr>
        <w:t>马来西亚留学的10大优势</w:t>
      </w:r>
      <w:r>
        <w:rPr>
          <w:rFonts w:ascii="黑体" w:hAnsi="黑体" w:eastAsia="黑体" w:cs="黑体"/>
          <w:spacing w:val="19"/>
          <w:sz w:val="52"/>
          <w:szCs w:val="52"/>
        </w:rPr>
        <w:t xml:space="preserve">         </w:t>
      </w:r>
      <w:r>
        <w:rPr>
          <w:rFonts w:ascii="宋体" w:hAnsi="宋体" w:eastAsia="宋体" w:cs="宋体"/>
          <w:spacing w:val="-5"/>
          <w:position w:val="-5"/>
          <w:sz w:val="43"/>
          <w:szCs w:val="43"/>
        </w:rPr>
        <w:t>03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before="175" w:line="224" w:lineRule="auto"/>
        <w:ind w:left="1526"/>
        <w:rPr>
          <w:rFonts w:ascii="宋体" w:hAnsi="宋体" w:eastAsia="宋体" w:cs="宋体"/>
          <w:sz w:val="43"/>
          <w:szCs w:val="43"/>
        </w:rPr>
      </w:pPr>
      <w:r>
        <w:rPr>
          <w:rFonts w:ascii="黑体" w:hAnsi="黑体" w:eastAsia="黑体" w:cs="黑体"/>
          <w:spacing w:val="-14"/>
          <w:sz w:val="54"/>
          <w:szCs w:val="54"/>
        </w:rPr>
        <w:t>为什么选择</w:t>
      </w:r>
      <w:r>
        <w:rPr>
          <w:rFonts w:ascii="黑体" w:hAnsi="黑体" w:eastAsia="黑体" w:cs="黑体"/>
          <w:spacing w:val="-67"/>
          <w:sz w:val="54"/>
          <w:szCs w:val="54"/>
        </w:rPr>
        <w:t xml:space="preserve"> </w:t>
      </w:r>
      <w:r>
        <w:rPr>
          <w:spacing w:val="-14"/>
          <w:sz w:val="54"/>
          <w:szCs w:val="54"/>
        </w:rPr>
        <w:t>NBUC?</w:t>
      </w:r>
      <w:r>
        <w:rPr>
          <w:spacing w:val="6"/>
          <w:sz w:val="54"/>
          <w:szCs w:val="54"/>
        </w:rPr>
        <w:t xml:space="preserve">                       </w:t>
      </w:r>
      <w:r>
        <w:rPr>
          <w:rFonts w:ascii="宋体" w:hAnsi="宋体" w:eastAsia="宋体" w:cs="宋体"/>
          <w:spacing w:val="-14"/>
          <w:position w:val="-1"/>
          <w:sz w:val="43"/>
          <w:szCs w:val="43"/>
        </w:rPr>
        <w:t>04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line="1332" w:lineRule="exact"/>
        <w:ind w:firstLine="8750"/>
      </w:pPr>
      <w:r>
        <w:rPr>
          <w:position w:val="-26"/>
        </w:rPr>
        <w:drawing>
          <wp:inline distT="0" distB="0" distL="0" distR="0">
            <wp:extent cx="1548130" cy="8458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8344" cy="8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2" w:lineRule="exact"/>
        <w:sectPr>
          <w:headerReference r:id="rId6" w:type="default"/>
          <w:pgSz w:w="22379" w:h="3168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419" w:line="221" w:lineRule="auto"/>
        <w:ind w:left="4308"/>
        <w:rPr>
          <w:rFonts w:ascii="黑体" w:hAnsi="黑体" w:eastAsia="黑体" w:cs="黑体"/>
          <w:sz w:val="129"/>
          <w:szCs w:val="129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-3057525</wp:posOffset>
            </wp:positionV>
            <wp:extent cx="14238605" cy="201168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38885" cy="20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10"/>
          <w:sz w:val="129"/>
          <w:szCs w:val="129"/>
        </w:rPr>
        <w:t>学校简介</w:t>
      </w:r>
    </w:p>
    <w:p>
      <w:pPr>
        <w:pStyle w:val="2"/>
        <w:spacing w:before="415" w:line="199" w:lineRule="auto"/>
        <w:ind w:left="4312"/>
        <w:rPr>
          <w:sz w:val="65"/>
          <w:szCs w:val="65"/>
        </w:rPr>
      </w:pPr>
      <w:r>
        <w:rPr>
          <w:b/>
          <w:bCs/>
          <w:color w:val="FABF00"/>
          <w:spacing w:val="-9"/>
          <w:sz w:val="65"/>
          <w:szCs w:val="65"/>
        </w:rPr>
        <w:t>SCHOOL</w:t>
      </w:r>
      <w:r>
        <w:rPr>
          <w:b/>
          <w:bCs/>
          <w:color w:val="FABF00"/>
          <w:spacing w:val="52"/>
          <w:sz w:val="65"/>
          <w:szCs w:val="65"/>
        </w:rPr>
        <w:t xml:space="preserve"> </w:t>
      </w:r>
      <w:r>
        <w:rPr>
          <w:b/>
          <w:bCs/>
          <w:color w:val="FABF00"/>
          <w:spacing w:val="-9"/>
          <w:sz w:val="65"/>
          <w:szCs w:val="65"/>
        </w:rPr>
        <w:t>PROFILE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line="1576" w:lineRule="exact"/>
        <w:ind w:firstLine="4158"/>
      </w:pPr>
      <w:r>
        <w:rPr>
          <w:position w:val="-31"/>
        </w:rPr>
        <w:drawing>
          <wp:inline distT="0" distB="0" distL="0" distR="0">
            <wp:extent cx="1200785" cy="100076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01334" cy="10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pStyle w:val="2"/>
        <w:spacing w:before="140" w:line="323" w:lineRule="auto"/>
        <w:ind w:left="6326" w:right="376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color w:val="FFFFFF"/>
          <w:spacing w:val="-10"/>
          <w:sz w:val="43"/>
          <w:szCs w:val="43"/>
        </w:rPr>
        <w:t xml:space="preserve">北婆罗洲大学学院位于风景优美的马来西亚沙巴州，沙巴州 </w:t>
      </w:r>
      <w:r>
        <w:rPr>
          <w:rFonts w:ascii="宋体" w:hAnsi="宋体" w:eastAsia="宋体" w:cs="宋体"/>
          <w:color w:val="FFFFFF"/>
          <w:spacing w:val="-11"/>
          <w:sz w:val="43"/>
          <w:szCs w:val="43"/>
        </w:rPr>
        <w:t xml:space="preserve">(Neg  </w:t>
      </w:r>
      <w:r>
        <w:rPr>
          <w:color w:val="FFFFFF"/>
          <w:spacing w:val="-10"/>
          <w:sz w:val="43"/>
          <w:szCs w:val="43"/>
        </w:rPr>
        <w:t xml:space="preserve">eri  Sabah)  </w:t>
      </w:r>
      <w:r>
        <w:rPr>
          <w:rFonts w:ascii="黑体" w:hAnsi="黑体" w:eastAsia="黑体" w:cs="黑体"/>
          <w:color w:val="FFFFFF"/>
          <w:spacing w:val="-10"/>
          <w:sz w:val="43"/>
          <w:szCs w:val="43"/>
        </w:rPr>
        <w:t>简称沙州，旧称北婆罗洲，有“风下之地”之美誉，是</w:t>
      </w:r>
      <w:r>
        <w:rPr>
          <w:rFonts w:ascii="黑体" w:hAnsi="黑体" w:eastAsia="黑体" w:cs="黑体"/>
          <w:color w:val="FFFFFF"/>
          <w:spacing w:val="5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-7"/>
          <w:sz w:val="43"/>
          <w:szCs w:val="43"/>
        </w:rPr>
        <w:t>马来西亚十三个州之一，首府亚庇，位于加里曼丹岛东北部，面积</w:t>
      </w:r>
      <w:r>
        <w:rPr>
          <w:rFonts w:ascii="黑体" w:hAnsi="黑体" w:eastAsia="黑体" w:cs="黑体"/>
          <w:color w:val="FFFFFF"/>
          <w:spacing w:val="18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15"/>
          <w:sz w:val="43"/>
          <w:szCs w:val="43"/>
        </w:rPr>
        <w:t>74500平方公里，人口共380.28万，属</w:t>
      </w:r>
      <w:r>
        <w:rPr>
          <w:rFonts w:ascii="黑体" w:hAnsi="黑体" w:eastAsia="黑体" w:cs="黑体"/>
          <w:color w:val="FFFFFF"/>
          <w:spacing w:val="14"/>
          <w:sz w:val="43"/>
          <w:szCs w:val="43"/>
        </w:rPr>
        <w:t>于热带雨林气候。沙巴于</w:t>
      </w:r>
      <w:r>
        <w:rPr>
          <w:rFonts w:ascii="黑体" w:hAnsi="黑体" w:eastAsia="黑体" w:cs="黑体"/>
          <w:color w:val="FFFFFF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2"/>
          <w:sz w:val="43"/>
          <w:szCs w:val="43"/>
        </w:rPr>
        <w:t xml:space="preserve">1881年至1963年间被英国人统治，直到1963年9月16日沙巴加入马 </w:t>
      </w:r>
      <w:r>
        <w:rPr>
          <w:rFonts w:ascii="黑体" w:hAnsi="黑体" w:eastAsia="黑体" w:cs="黑体"/>
          <w:color w:val="FFFFFF"/>
          <w:spacing w:val="-6"/>
          <w:sz w:val="43"/>
          <w:szCs w:val="43"/>
        </w:rPr>
        <w:t>来西亚。1984年，沙巴州政府将纳闽分割出来设立成联邦直辖区，</w:t>
      </w:r>
    </w:p>
    <w:p>
      <w:pPr>
        <w:spacing w:line="224" w:lineRule="auto"/>
        <w:ind w:left="632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color w:val="FFFFFF"/>
          <w:spacing w:val="-21"/>
          <w:sz w:val="43"/>
          <w:szCs w:val="43"/>
        </w:rPr>
        <w:t>是马来西亚唯一的岸外金融中心。</w:t>
      </w:r>
    </w:p>
    <w:p>
      <w:pPr>
        <w:pStyle w:val="2"/>
        <w:spacing w:line="306" w:lineRule="auto"/>
      </w:pP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p>
      <w:pPr>
        <w:spacing w:before="140" w:line="319" w:lineRule="auto"/>
        <w:ind w:left="6326" w:right="3778"/>
        <w:jc w:val="both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color w:val="FFFFFF"/>
          <w:spacing w:val="-16"/>
          <w:sz w:val="43"/>
          <w:szCs w:val="43"/>
        </w:rPr>
        <w:t>北婆罗洲大学学院</w:t>
      </w:r>
      <w:r>
        <w:rPr>
          <w:rFonts w:ascii="宋体" w:hAnsi="宋体" w:eastAsia="宋体" w:cs="宋体"/>
          <w:color w:val="FFFFFF"/>
          <w:spacing w:val="-16"/>
          <w:sz w:val="43"/>
          <w:szCs w:val="43"/>
        </w:rPr>
        <w:t>(North Borneo U</w:t>
      </w:r>
      <w:r>
        <w:rPr>
          <w:rFonts w:ascii="宋体" w:hAnsi="宋体" w:eastAsia="宋体" w:cs="宋体"/>
          <w:color w:val="FFFFFF"/>
          <w:spacing w:val="-17"/>
          <w:sz w:val="43"/>
          <w:szCs w:val="43"/>
        </w:rPr>
        <w:t>niversity College)</w:t>
      </w:r>
      <w:r>
        <w:rPr>
          <w:rFonts w:ascii="黑体" w:hAnsi="黑体" w:eastAsia="黑体" w:cs="黑体"/>
          <w:color w:val="FFFFFF"/>
          <w:spacing w:val="-17"/>
          <w:sz w:val="43"/>
          <w:szCs w:val="43"/>
        </w:rPr>
        <w:t>根据1996年私</w:t>
      </w:r>
      <w:r>
        <w:rPr>
          <w:rFonts w:ascii="黑体" w:hAnsi="黑体" w:eastAsia="黑体" w:cs="黑体"/>
          <w:color w:val="FFFFFF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-6"/>
          <w:sz w:val="43"/>
          <w:szCs w:val="43"/>
        </w:rPr>
        <w:t>立高等教育机构法成立，是马来西亚沙巴第一所私立大学，第一所</w:t>
      </w:r>
      <w:r>
        <w:rPr>
          <w:rFonts w:ascii="黑体" w:hAnsi="黑体" w:eastAsia="黑体" w:cs="黑体"/>
          <w:color w:val="FFFFFF"/>
          <w:spacing w:val="17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-3"/>
          <w:sz w:val="43"/>
          <w:szCs w:val="43"/>
        </w:rPr>
        <w:t xml:space="preserve">提供博士研究生课程的私立大学，以北婆罗洲 </w:t>
      </w:r>
      <w:r>
        <w:rPr>
          <w:rFonts w:ascii="Times New Roman" w:hAnsi="Times New Roman" w:eastAsia="Times New Roman" w:cs="Times New Roman"/>
          <w:color w:val="FFFFFF"/>
          <w:spacing w:val="-3"/>
          <w:sz w:val="43"/>
          <w:szCs w:val="43"/>
        </w:rPr>
        <w:t>(Nor</w:t>
      </w:r>
      <w:r>
        <w:rPr>
          <w:rFonts w:ascii="Times New Roman" w:hAnsi="Times New Roman" w:eastAsia="Times New Roman" w:cs="Times New Roman"/>
          <w:color w:val="FFFFFF"/>
          <w:spacing w:val="-4"/>
          <w:sz w:val="43"/>
          <w:szCs w:val="43"/>
        </w:rPr>
        <w:t xml:space="preserve">th    Borneo)  </w:t>
      </w:r>
      <w:r>
        <w:rPr>
          <w:rFonts w:ascii="黑体" w:hAnsi="黑体" w:eastAsia="黑体" w:cs="黑体"/>
          <w:color w:val="FFFFFF"/>
          <w:spacing w:val="-4"/>
          <w:sz w:val="43"/>
          <w:szCs w:val="43"/>
        </w:rPr>
        <w:t>的</w:t>
      </w:r>
      <w:r>
        <w:rPr>
          <w:rFonts w:ascii="黑体" w:hAnsi="黑体" w:eastAsia="黑体" w:cs="黑体"/>
          <w:color w:val="FFFFFF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10"/>
          <w:sz w:val="43"/>
          <w:szCs w:val="43"/>
        </w:rPr>
        <w:t>悠久历史而著称，以表彰沙巴州的历史和种族，文化和语</w:t>
      </w:r>
      <w:r>
        <w:rPr>
          <w:rFonts w:ascii="黑体" w:hAnsi="黑体" w:eastAsia="黑体" w:cs="黑体"/>
          <w:color w:val="FFFFFF"/>
          <w:spacing w:val="9"/>
          <w:sz w:val="43"/>
          <w:szCs w:val="43"/>
        </w:rPr>
        <w:t>言的多</w:t>
      </w:r>
    </w:p>
    <w:p>
      <w:pPr>
        <w:spacing w:before="1" w:line="226" w:lineRule="auto"/>
        <w:ind w:left="632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color w:val="FFFFFF"/>
          <w:spacing w:val="-16"/>
          <w:sz w:val="43"/>
          <w:szCs w:val="43"/>
        </w:rPr>
        <w:t>样性。</w:t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before="140" w:line="325" w:lineRule="auto"/>
        <w:ind w:left="6326" w:right="3779"/>
        <w:jc w:val="both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color w:val="FFFFFF"/>
          <w:spacing w:val="-5"/>
          <w:sz w:val="43"/>
          <w:szCs w:val="43"/>
        </w:rPr>
        <w:t>北婆罗洲大学学院2006年成为一所国际认可的大学，是英联邦大学</w:t>
      </w:r>
      <w:r>
        <w:rPr>
          <w:rFonts w:ascii="黑体" w:hAnsi="黑体" w:eastAsia="黑体" w:cs="黑体"/>
          <w:color w:val="FFFFFF"/>
          <w:spacing w:val="1"/>
          <w:sz w:val="43"/>
          <w:szCs w:val="43"/>
        </w:rPr>
        <w:t xml:space="preserve"> </w:t>
      </w:r>
      <w:r>
        <w:rPr>
          <w:rFonts w:ascii="黑体" w:hAnsi="黑体" w:eastAsia="黑体" w:cs="黑体"/>
          <w:color w:val="FFFFFF"/>
          <w:spacing w:val="2"/>
          <w:sz w:val="43"/>
          <w:szCs w:val="43"/>
        </w:rPr>
        <w:t>协会(英国</w:t>
      </w:r>
      <w:r>
        <w:rPr>
          <w:color w:val="FFFFFF"/>
          <w:sz w:val="43"/>
          <w:szCs w:val="43"/>
        </w:rPr>
        <w:t>ACU</w:t>
      </w:r>
      <w:r>
        <w:rPr>
          <w:color w:val="FFFFFF"/>
          <w:spacing w:val="2"/>
          <w:sz w:val="43"/>
          <w:szCs w:val="43"/>
        </w:rPr>
        <w:t xml:space="preserve">)  </w:t>
      </w:r>
      <w:r>
        <w:rPr>
          <w:rFonts w:ascii="黑体" w:hAnsi="黑体" w:eastAsia="黑体" w:cs="黑体"/>
          <w:color w:val="FFFFFF"/>
          <w:spacing w:val="2"/>
          <w:sz w:val="43"/>
          <w:szCs w:val="43"/>
        </w:rPr>
        <w:t>的正式成员，同时被列入中马两国高等</w:t>
      </w:r>
      <w:r>
        <w:rPr>
          <w:rFonts w:ascii="黑体" w:hAnsi="黑体" w:eastAsia="黑体" w:cs="黑体"/>
          <w:color w:val="FFFFFF"/>
          <w:spacing w:val="1"/>
          <w:sz w:val="43"/>
          <w:szCs w:val="43"/>
        </w:rPr>
        <w:t>教育框架</w:t>
      </w:r>
    </w:p>
    <w:p>
      <w:pPr>
        <w:spacing w:before="1" w:line="216" w:lineRule="auto"/>
        <w:ind w:left="632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color w:val="FFFFFF"/>
          <w:spacing w:val="-5"/>
          <w:sz w:val="43"/>
          <w:szCs w:val="43"/>
        </w:rPr>
        <w:t>协议，以促进马来西亚政府与中华人民共和国政府之间高</w:t>
      </w:r>
      <w:r>
        <w:rPr>
          <w:rFonts w:ascii="黑体" w:hAnsi="黑体" w:eastAsia="黑体" w:cs="黑体"/>
          <w:color w:val="FFFFFF"/>
          <w:spacing w:val="-6"/>
          <w:sz w:val="43"/>
          <w:szCs w:val="43"/>
        </w:rPr>
        <w:t>等教育学</w:t>
      </w:r>
    </w:p>
    <w:p>
      <w:pPr>
        <w:spacing w:before="263" w:line="217" w:lineRule="auto"/>
        <w:ind w:left="6326"/>
        <w:rPr>
          <w:sz w:val="43"/>
          <w:szCs w:val="43"/>
        </w:rPr>
      </w:pPr>
      <w:r>
        <w:rPr>
          <w:rFonts w:ascii="黑体" w:hAnsi="黑体" w:eastAsia="黑体" w:cs="黑体"/>
          <w:color w:val="FFFFFF"/>
          <w:spacing w:val="-44"/>
          <w:sz w:val="43"/>
          <w:szCs w:val="43"/>
        </w:rPr>
        <w:t>术资格的相互承认。</w:t>
      </w:r>
      <w:r>
        <w:rPr>
          <w:rFonts w:ascii="黑体" w:hAnsi="黑体" w:eastAsia="黑体" w:cs="黑体"/>
          <w:color w:val="FFFFFF"/>
          <w:spacing w:val="2"/>
          <w:sz w:val="43"/>
          <w:szCs w:val="43"/>
        </w:rPr>
        <w:t xml:space="preserve">                                    </w:t>
      </w:r>
      <w:r>
        <w:rPr>
          <w:position w:val="-121"/>
          <w:sz w:val="43"/>
          <w:szCs w:val="43"/>
        </w:rPr>
        <w:drawing>
          <wp:inline distT="0" distB="0" distL="0" distR="0">
            <wp:extent cx="1175385" cy="9804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5704" cy="9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7" w:lineRule="auto"/>
        <w:rPr>
          <w:sz w:val="43"/>
          <w:szCs w:val="43"/>
        </w:rPr>
        <w:sectPr>
          <w:pgSz w:w="22424" w:h="31680"/>
          <w:pgMar w:top="400" w:right="0" w:bottom="0" w:left="0" w:header="0" w:footer="0" w:gutter="0"/>
          <w:cols w:space="720" w:num="1"/>
        </w:sectPr>
      </w:pPr>
    </w:p>
    <w:p>
      <w:pPr>
        <w:spacing w:before="14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9627870</wp:posOffset>
            </wp:positionH>
            <wp:positionV relativeFrom="page">
              <wp:posOffset>9983470</wp:posOffset>
            </wp:positionV>
            <wp:extent cx="3254375" cy="135318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4422" cy="135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"/>
      </w:pPr>
    </w:p>
    <w:p>
      <w:pPr>
        <w:spacing w:before="14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ectPr>
          <w:footerReference r:id="rId7" w:type="default"/>
          <w:pgSz w:w="22379" w:h="31680"/>
          <w:pgMar w:top="400" w:right="112" w:bottom="1457" w:left="1417" w:header="0" w:footer="1089" w:gutter="0"/>
          <w:cols w:equalWidth="0" w:num="1">
            <w:col w:w="20848"/>
          </w:cols>
        </w:sectPr>
      </w:pPr>
    </w:p>
    <w:p>
      <w:pPr>
        <w:spacing w:before="18" w:line="221" w:lineRule="auto"/>
        <w:ind w:left="8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b/>
          <w:bCs/>
          <w:color w:val="FABF00"/>
          <w:spacing w:val="-19"/>
          <w:sz w:val="63"/>
          <w:szCs w:val="63"/>
        </w:rPr>
        <w:t>会员资格与认证</w:t>
      </w:r>
    </w:p>
    <w:p>
      <w:pPr>
        <w:spacing w:before="363" w:line="226" w:lineRule="auto"/>
        <w:rPr>
          <w:rFonts w:ascii="宋体" w:hAnsi="宋体" w:eastAsia="宋体" w:cs="宋体"/>
          <w:sz w:val="43"/>
          <w:szCs w:val="43"/>
        </w:rPr>
      </w:pPr>
      <w:r>
        <w:rPr>
          <w:rFonts w:ascii="黑体" w:hAnsi="黑体" w:eastAsia="黑体" w:cs="黑体"/>
          <w:spacing w:val="-20"/>
          <w:sz w:val="43"/>
          <w:szCs w:val="43"/>
        </w:rPr>
        <w:t>●马来西亚教育部</w:t>
      </w:r>
      <w:r>
        <w:rPr>
          <w:rFonts w:ascii="黑体" w:hAnsi="黑体" w:eastAsia="黑体" w:cs="黑体"/>
          <w:spacing w:val="3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-20"/>
          <w:sz w:val="43"/>
          <w:szCs w:val="43"/>
        </w:rPr>
        <w:t>(MOE)</w:t>
      </w:r>
    </w:p>
    <w:p>
      <w:pPr>
        <w:spacing w:before="252" w:line="747" w:lineRule="exact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26"/>
          <w:position w:val="24"/>
          <w:sz w:val="41"/>
          <w:szCs w:val="41"/>
        </w:rPr>
        <w:t>根据《1996年私立高等教育机构法》,北婆罗</w:t>
      </w:r>
      <w:r>
        <w:rPr>
          <w:rFonts w:ascii="黑体" w:hAnsi="黑体" w:eastAsia="黑体" w:cs="黑体"/>
          <w:spacing w:val="25"/>
          <w:position w:val="24"/>
          <w:sz w:val="41"/>
          <w:szCs w:val="41"/>
        </w:rPr>
        <w:t>洲大学学院</w:t>
      </w:r>
    </w:p>
    <w:p>
      <w:pPr>
        <w:spacing w:line="224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6"/>
          <w:sz w:val="41"/>
          <w:szCs w:val="41"/>
        </w:rPr>
        <w:t>在马来西亚教育部注册。</w:t>
      </w:r>
    </w:p>
    <w:p>
      <w:pPr>
        <w:spacing w:before="266" w:line="225" w:lineRule="auto"/>
        <w:rPr>
          <w:rFonts w:ascii="宋体" w:hAnsi="宋体" w:eastAsia="宋体" w:cs="宋体"/>
          <w:sz w:val="43"/>
          <w:szCs w:val="43"/>
        </w:rPr>
      </w:pPr>
      <w:r>
        <w:rPr>
          <w:rFonts w:ascii="黑体" w:hAnsi="黑体" w:eastAsia="黑体" w:cs="黑体"/>
          <w:spacing w:val="-21"/>
          <w:sz w:val="43"/>
          <w:szCs w:val="43"/>
        </w:rPr>
        <w:t>●马来西亚资格认证局</w:t>
      </w:r>
      <w:r>
        <w:rPr>
          <w:rFonts w:ascii="黑体" w:hAnsi="黑体" w:eastAsia="黑体" w:cs="黑体"/>
          <w:spacing w:val="73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-21"/>
          <w:sz w:val="43"/>
          <w:szCs w:val="43"/>
        </w:rPr>
        <w:t>(MQA)</w:t>
      </w:r>
    </w:p>
    <w:p>
      <w:pPr>
        <w:spacing w:before="218" w:line="742" w:lineRule="exact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3"/>
          <w:position w:val="24"/>
          <w:sz w:val="41"/>
          <w:szCs w:val="41"/>
        </w:rPr>
        <w:t>大学提供的所有学术课程都已通过马来西亚资格认证。负责</w:t>
      </w:r>
    </w:p>
    <w:p>
      <w:pPr>
        <w:spacing w:line="224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5"/>
          <w:sz w:val="41"/>
          <w:szCs w:val="41"/>
        </w:rPr>
        <w:t>高等教育认证的国家认证机构。</w:t>
      </w:r>
    </w:p>
    <w:p>
      <w:pPr>
        <w:spacing w:before="292" w:line="223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color w:val="FABF00"/>
          <w:spacing w:val="-33"/>
          <w:sz w:val="41"/>
          <w:szCs w:val="41"/>
        </w:rPr>
        <w:t>●</w:t>
      </w:r>
      <w:r>
        <w:rPr>
          <w:rFonts w:ascii="黑体" w:hAnsi="黑体" w:eastAsia="黑体" w:cs="黑体"/>
          <w:color w:val="FABF00"/>
          <w:spacing w:val="75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-33"/>
          <w:sz w:val="41"/>
          <w:szCs w:val="41"/>
        </w:rPr>
        <w:t>英联邦大学协会</w:t>
      </w:r>
    </w:p>
    <w:p>
      <w:pPr>
        <w:spacing w:before="220" w:line="320" w:lineRule="auto"/>
        <w:ind w:right="871"/>
        <w:jc w:val="both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18"/>
          <w:sz w:val="43"/>
          <w:szCs w:val="43"/>
        </w:rPr>
        <w:t>该大学是英联邦大学协会的正式成员。在</w:t>
      </w:r>
      <w:r>
        <w:rPr>
          <w:rFonts w:ascii="Times New Roman" w:hAnsi="Times New Roman" w:eastAsia="Times New Roman" w:cs="Times New Roman"/>
          <w:spacing w:val="-18"/>
          <w:sz w:val="43"/>
          <w:szCs w:val="43"/>
        </w:rPr>
        <w:t>ACU</w:t>
      </w:r>
      <w:r>
        <w:rPr>
          <w:rFonts w:ascii="黑体" w:hAnsi="黑体" w:eastAsia="黑体" w:cs="黑体"/>
          <w:spacing w:val="-18"/>
          <w:sz w:val="43"/>
          <w:szCs w:val="43"/>
        </w:rPr>
        <w:t>中的成员</w:t>
      </w:r>
      <w:r>
        <w:rPr>
          <w:rFonts w:ascii="黑体" w:hAnsi="黑体" w:eastAsia="黑体" w:cs="黑体"/>
          <w:spacing w:val="-19"/>
          <w:sz w:val="43"/>
          <w:szCs w:val="43"/>
        </w:rPr>
        <w:t>身份</w:t>
      </w:r>
      <w:r>
        <w:rPr>
          <w:rFonts w:ascii="黑体" w:hAnsi="黑体" w:eastAsia="黑体" w:cs="黑体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16"/>
          <w:sz w:val="43"/>
          <w:szCs w:val="43"/>
        </w:rPr>
        <w:t>也将凸显该大学对坚定社会责任，国际发展和大学间合作的</w:t>
      </w:r>
    </w:p>
    <w:p>
      <w:pPr>
        <w:spacing w:before="2" w:line="225" w:lineRule="auto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6"/>
          <w:sz w:val="43"/>
          <w:szCs w:val="43"/>
        </w:rPr>
        <w:t>承诺。</w:t>
      </w:r>
    </w:p>
    <w:p>
      <w:pPr>
        <w:spacing w:before="241" w:line="225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color w:val="FABF00"/>
          <w:spacing w:val="-23"/>
          <w:sz w:val="41"/>
          <w:szCs w:val="41"/>
        </w:rPr>
        <w:t>●</w:t>
      </w:r>
      <w:r>
        <w:rPr>
          <w:rFonts w:ascii="黑体" w:hAnsi="黑体" w:eastAsia="黑体" w:cs="黑体"/>
          <w:color w:val="FABF00"/>
          <w:spacing w:val="44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-23"/>
          <w:sz w:val="41"/>
          <w:szCs w:val="41"/>
        </w:rPr>
        <w:t>亚庇市政厅</w:t>
      </w:r>
    </w:p>
    <w:p>
      <w:pPr>
        <w:spacing w:before="306" w:line="722" w:lineRule="exact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19"/>
          <w:position w:val="22"/>
          <w:sz w:val="41"/>
          <w:szCs w:val="41"/>
        </w:rPr>
        <w:t>该大学还根据亚庇1948年《贸易许可条例》由亚庇市</w:t>
      </w:r>
      <w:r>
        <w:rPr>
          <w:rFonts w:ascii="黑体" w:hAnsi="黑体" w:eastAsia="黑体" w:cs="黑体"/>
          <w:spacing w:val="18"/>
          <w:position w:val="22"/>
          <w:sz w:val="41"/>
          <w:szCs w:val="41"/>
        </w:rPr>
        <w:t>政厅</w:t>
      </w:r>
    </w:p>
    <w:p>
      <w:pPr>
        <w:spacing w:before="1" w:line="223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4"/>
          <w:sz w:val="41"/>
          <w:szCs w:val="41"/>
        </w:rPr>
        <w:t>注册和许可。沙巴州政府完全认可。</w:t>
      </w:r>
    </w:p>
    <w:p>
      <w:pPr>
        <w:spacing w:before="247" w:line="225" w:lineRule="auto"/>
        <w:rPr>
          <w:rFonts w:ascii="宋体" w:hAnsi="宋体" w:eastAsia="宋体" w:cs="宋体"/>
          <w:sz w:val="43"/>
          <w:szCs w:val="43"/>
        </w:rPr>
      </w:pPr>
      <w:r>
        <w:rPr>
          <w:rFonts w:ascii="黑体" w:hAnsi="黑体" w:eastAsia="黑体" w:cs="黑体"/>
          <w:spacing w:val="-10"/>
          <w:sz w:val="43"/>
          <w:szCs w:val="43"/>
        </w:rPr>
        <w:t xml:space="preserve">●国家高等教育基金公司 </w:t>
      </w:r>
      <w:r>
        <w:rPr>
          <w:rFonts w:ascii="宋体" w:hAnsi="宋体" w:eastAsia="宋体" w:cs="宋体"/>
          <w:spacing w:val="-10"/>
          <w:sz w:val="43"/>
          <w:szCs w:val="43"/>
        </w:rPr>
        <w:t>(PTPTN)</w:t>
      </w:r>
    </w:p>
    <w:p>
      <w:pPr>
        <w:spacing w:before="220" w:line="334" w:lineRule="auto"/>
        <w:ind w:right="885"/>
        <w:jc w:val="both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3"/>
          <w:sz w:val="41"/>
          <w:szCs w:val="41"/>
        </w:rPr>
        <w:t>大学提供的所有文凭和学位课程均获得国家高等教育基金公</w:t>
      </w:r>
      <w:r>
        <w:rPr>
          <w:rFonts w:ascii="黑体" w:hAnsi="黑体" w:eastAsia="黑体" w:cs="黑体"/>
          <w:spacing w:val="7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6"/>
          <w:sz w:val="41"/>
          <w:szCs w:val="41"/>
        </w:rPr>
        <w:t>司</w:t>
      </w:r>
      <w:r>
        <w:rPr>
          <w:rFonts w:ascii="黑体" w:hAnsi="黑体" w:eastAsia="黑体" w:cs="黑体"/>
          <w:spacing w:val="65"/>
          <w:sz w:val="41"/>
          <w:szCs w:val="41"/>
        </w:rPr>
        <w:t xml:space="preserve"> </w:t>
      </w:r>
      <w:r>
        <w:rPr>
          <w:rFonts w:ascii="宋体" w:hAnsi="宋体" w:eastAsia="宋体" w:cs="宋体"/>
          <w:spacing w:val="6"/>
          <w:sz w:val="41"/>
          <w:szCs w:val="41"/>
        </w:rPr>
        <w:t>(</w:t>
      </w:r>
      <w:r>
        <w:rPr>
          <w:rFonts w:ascii="宋体" w:hAnsi="宋体" w:eastAsia="宋体" w:cs="宋体"/>
          <w:sz w:val="41"/>
          <w:szCs w:val="41"/>
        </w:rPr>
        <w:t>PTPTN</w:t>
      </w:r>
      <w:r>
        <w:rPr>
          <w:rFonts w:ascii="宋体" w:hAnsi="宋体" w:eastAsia="宋体" w:cs="宋体"/>
          <w:spacing w:val="6"/>
          <w:sz w:val="41"/>
          <w:szCs w:val="41"/>
        </w:rPr>
        <w:t>)</w:t>
      </w:r>
      <w:r>
        <w:rPr>
          <w:rFonts w:ascii="宋体" w:hAnsi="宋体" w:eastAsia="宋体" w:cs="宋体"/>
          <w:spacing w:val="97"/>
          <w:sz w:val="41"/>
          <w:szCs w:val="41"/>
        </w:rPr>
        <w:t xml:space="preserve">  </w:t>
      </w:r>
      <w:r>
        <w:rPr>
          <w:rFonts w:ascii="黑体" w:hAnsi="黑体" w:eastAsia="黑体" w:cs="黑体"/>
          <w:spacing w:val="6"/>
          <w:sz w:val="41"/>
          <w:szCs w:val="41"/>
        </w:rPr>
        <w:t>的认可。马来西亚学生有资格从</w:t>
      </w:r>
      <w:r>
        <w:rPr>
          <w:rFonts w:ascii="宋体" w:hAnsi="宋体" w:eastAsia="宋体" w:cs="宋体"/>
          <w:sz w:val="41"/>
          <w:szCs w:val="41"/>
        </w:rPr>
        <w:t>PTPTN</w:t>
      </w:r>
      <w:r>
        <w:rPr>
          <w:rFonts w:ascii="宋体" w:hAnsi="宋体" w:eastAsia="宋体" w:cs="宋体"/>
          <w:spacing w:val="125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6"/>
          <w:sz w:val="41"/>
          <w:szCs w:val="41"/>
        </w:rPr>
        <w:t>获得</w:t>
      </w:r>
    </w:p>
    <w:p>
      <w:pPr>
        <w:spacing w:before="1" w:line="223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13"/>
          <w:sz w:val="41"/>
          <w:szCs w:val="41"/>
        </w:rPr>
        <w:t>学习贷款。</w:t>
      </w:r>
    </w:p>
    <w:p>
      <w:pPr>
        <w:spacing w:before="312" w:line="705" w:lineRule="exact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1"/>
          <w:position w:val="21"/>
          <w:sz w:val="41"/>
          <w:szCs w:val="41"/>
        </w:rPr>
        <w:t>●中华人民共和国教育部、教育监管信息网、中国留学服务</w:t>
      </w:r>
    </w:p>
    <w:p>
      <w:pPr>
        <w:spacing w:before="2" w:line="189" w:lineRule="auto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20"/>
          <w:sz w:val="41"/>
          <w:szCs w:val="41"/>
        </w:rPr>
        <w:t>中心认证。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tbl>
      <w:tblPr>
        <w:tblStyle w:val="5"/>
        <w:tblW w:w="911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4" w:hRule="atLeast"/>
        </w:trPr>
        <w:tc>
          <w:tcPr>
            <w:tcW w:w="9112" w:type="dxa"/>
            <w:vAlign w:val="top"/>
          </w:tcPr>
          <w:p>
            <w:pPr>
              <w:spacing w:before="367" w:line="173" w:lineRule="auto"/>
              <w:ind w:left="3323"/>
              <w:rPr>
                <w:rFonts w:ascii="Times New Roman" w:hAnsi="Times New Roman" w:eastAsia="Times New Roman" w:cs="Times New Roman"/>
                <w:sz w:val="78"/>
                <w:szCs w:val="78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-5370195</wp:posOffset>
                  </wp:positionH>
                  <wp:positionV relativeFrom="topMargin">
                    <wp:posOffset>130810</wp:posOffset>
                  </wp:positionV>
                  <wp:extent cx="1611630" cy="1381760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37" cy="13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b/>
                <w:bCs/>
                <w:color w:val="0B2169"/>
                <w:spacing w:val="-16"/>
                <w:sz w:val="78"/>
                <w:szCs w:val="78"/>
              </w:rPr>
              <w:t>MINISTRY OF</w:t>
            </w:r>
          </w:p>
          <w:p>
            <w:pPr>
              <w:spacing w:before="3" w:line="195" w:lineRule="auto"/>
              <w:ind w:left="3323"/>
              <w:rPr>
                <w:rFonts w:ascii="Times New Roman" w:hAnsi="Times New Roman" w:eastAsia="Times New Roman" w:cs="Times New Roman"/>
                <w:sz w:val="83"/>
                <w:szCs w:val="83"/>
              </w:rPr>
            </w:pPr>
            <w:r>
              <w:rPr>
                <w:rFonts w:ascii="Times New Roman" w:hAnsi="Times New Roman" w:eastAsia="Times New Roman" w:cs="Times New Roman"/>
                <w:color w:val="0B2169"/>
                <w:spacing w:val="-2"/>
                <w:sz w:val="83"/>
                <w:szCs w:val="83"/>
              </w:rPr>
              <w:t>EDUCATION</w:t>
            </w:r>
          </w:p>
          <w:p>
            <w:pPr>
              <w:spacing w:before="1" w:line="189" w:lineRule="auto"/>
              <w:ind w:left="3323"/>
              <w:rPr>
                <w:rFonts w:ascii="Times New Roman" w:hAnsi="Times New Roman" w:eastAsia="Times New Roman" w:cs="Times New Roman"/>
                <w:sz w:val="74"/>
                <w:szCs w:val="74"/>
              </w:rPr>
            </w:pPr>
            <w:r>
              <w:rPr>
                <w:rFonts w:ascii="Times New Roman" w:hAnsi="Times New Roman" w:eastAsia="Times New Roman" w:cs="Times New Roman"/>
                <w:color w:val="0B2169"/>
                <w:spacing w:val="-6"/>
                <w:sz w:val="74"/>
                <w:szCs w:val="74"/>
              </w:rPr>
              <w:t>MALAYSIA</w:t>
            </w:r>
          </w:p>
        </w:tc>
      </w:tr>
    </w:tbl>
    <w:p>
      <w:pPr>
        <w:spacing w:before="106"/>
      </w:pPr>
    </w:p>
    <w:tbl>
      <w:tblPr>
        <w:tblStyle w:val="5"/>
        <w:tblW w:w="908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9089" w:type="dxa"/>
            <w:vAlign w:val="top"/>
          </w:tcPr>
          <w:p>
            <w:pPr>
              <w:spacing w:before="67" w:line="1694" w:lineRule="exact"/>
              <w:ind w:firstLine="2140"/>
            </w:pPr>
            <w:r>
              <w:rPr>
                <w:position w:val="-33"/>
              </w:rPr>
              <w:drawing>
                <wp:inline distT="0" distB="0" distL="0" distR="0">
                  <wp:extent cx="3039110" cy="107505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23" cy="107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9" w:line="225" w:lineRule="auto"/>
              <w:ind w:left="2515"/>
              <w:rPr>
                <w:rFonts w:ascii="Times New Roman" w:hAnsi="Times New Roman" w:eastAsia="Times New Roman" w:cs="Times New Roman"/>
                <w:sz w:val="34"/>
                <w:szCs w:val="34"/>
              </w:rPr>
            </w:pPr>
            <w:r>
              <w:rPr>
                <w:rFonts w:ascii="Times New Roman" w:hAnsi="Times New Roman" w:eastAsia="Times New Roman" w:cs="Times New Roman"/>
                <w:color w:val="303A78"/>
                <w:spacing w:val="2"/>
                <w:sz w:val="34"/>
                <w:szCs w:val="34"/>
              </w:rPr>
              <w:t>Agensi</w:t>
            </w:r>
            <w:r>
              <w:rPr>
                <w:rFonts w:ascii="Times New Roman" w:hAnsi="Times New Roman" w:eastAsia="Times New Roman" w:cs="Times New Roman"/>
                <w:color w:val="303A78"/>
                <w:spacing w:val="100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3A78"/>
                <w:spacing w:val="2"/>
                <w:sz w:val="34"/>
                <w:szCs w:val="34"/>
              </w:rPr>
              <w:t>Kelayakan</w:t>
            </w:r>
            <w:r>
              <w:rPr>
                <w:rFonts w:ascii="Times New Roman" w:hAnsi="Times New Roman" w:eastAsia="Times New Roman" w:cs="Times New Roman"/>
                <w:color w:val="303A78"/>
                <w:spacing w:val="84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3A78"/>
                <w:spacing w:val="2"/>
                <w:sz w:val="34"/>
                <w:szCs w:val="34"/>
              </w:rPr>
              <w:t>Malaysia</w:t>
            </w:r>
          </w:p>
          <w:p>
            <w:pPr>
              <w:spacing w:line="196" w:lineRule="auto"/>
              <w:ind w:left="2515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color w:val="303A78"/>
                <w:sz w:val="30"/>
                <w:szCs w:val="30"/>
              </w:rPr>
              <w:t>Malaysian</w:t>
            </w:r>
            <w:r>
              <w:rPr>
                <w:rFonts w:ascii="Times New Roman" w:hAnsi="Times New Roman" w:eastAsia="Times New Roman" w:cs="Times New Roman"/>
                <w:color w:val="303A78"/>
                <w:spacing w:val="16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3A78"/>
                <w:sz w:val="30"/>
                <w:szCs w:val="30"/>
              </w:rPr>
              <w:t>Qualifications</w:t>
            </w:r>
            <w:r>
              <w:rPr>
                <w:rFonts w:ascii="Times New Roman" w:hAnsi="Times New Roman" w:eastAsia="Times New Roman" w:cs="Times New Roman"/>
                <w:color w:val="303A78"/>
                <w:spacing w:val="16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3A78"/>
                <w:sz w:val="30"/>
                <w:szCs w:val="30"/>
              </w:rPr>
              <w:t>Agency</w:t>
            </w:r>
          </w:p>
        </w:tc>
      </w:tr>
    </w:tbl>
    <w:p>
      <w:pPr>
        <w:spacing w:before="128"/>
      </w:pPr>
    </w:p>
    <w:tbl>
      <w:tblPr>
        <w:tblStyle w:val="5"/>
        <w:tblW w:w="908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9089" w:type="dxa"/>
            <w:vAlign w:val="top"/>
          </w:tcPr>
          <w:p>
            <w:pPr>
              <w:spacing w:before="250" w:line="197" w:lineRule="auto"/>
              <w:ind w:left="1553"/>
              <w:rPr>
                <w:rFonts w:ascii="Arial" w:hAnsi="Arial" w:eastAsia="Arial" w:cs="Arial"/>
                <w:sz w:val="78"/>
                <w:szCs w:val="78"/>
              </w:rPr>
            </w:pPr>
            <w:r>
              <w:rPr>
                <w:rFonts w:ascii="Arial" w:hAnsi="Arial" w:eastAsia="Arial" w:cs="Arial"/>
                <w:b/>
                <w:bCs/>
                <w:spacing w:val="-33"/>
                <w:sz w:val="78"/>
                <w:szCs w:val="78"/>
              </w:rPr>
              <w:t>The Association</w:t>
            </w:r>
          </w:p>
          <w:p>
            <w:pPr>
              <w:spacing w:before="21" w:line="207" w:lineRule="auto"/>
              <w:ind w:left="1553"/>
              <w:rPr>
                <w:rFonts w:ascii="Arial" w:hAnsi="Arial" w:eastAsia="Arial" w:cs="Arial"/>
                <w:sz w:val="78"/>
                <w:szCs w:val="78"/>
              </w:rPr>
            </w:pPr>
            <w:r>
              <w:rPr>
                <w:rFonts w:ascii="Arial" w:hAnsi="Arial" w:eastAsia="Arial" w:cs="Arial"/>
                <w:b/>
                <w:bCs/>
                <w:spacing w:val="-30"/>
                <w:sz w:val="78"/>
                <w:szCs w:val="78"/>
              </w:rPr>
              <w:t>of Commonwealth</w:t>
            </w:r>
          </w:p>
          <w:p>
            <w:pPr>
              <w:spacing w:before="3" w:line="196" w:lineRule="auto"/>
              <w:ind w:left="1553"/>
              <w:rPr>
                <w:rFonts w:ascii="Arial" w:hAnsi="Arial" w:eastAsia="Arial" w:cs="Arial"/>
                <w:sz w:val="78"/>
                <w:szCs w:val="78"/>
              </w:rPr>
            </w:pPr>
            <w:r>
              <w:rPr>
                <w:rFonts w:ascii="Arial" w:hAnsi="Arial" w:eastAsia="Arial" w:cs="Arial"/>
                <w:b/>
                <w:bCs/>
                <w:spacing w:val="-31"/>
                <w:sz w:val="78"/>
                <w:szCs w:val="78"/>
              </w:rPr>
              <w:t>Universities</w:t>
            </w:r>
          </w:p>
        </w:tc>
      </w:tr>
    </w:tbl>
    <w:p>
      <w:pPr>
        <w:spacing w:before="128"/>
      </w:pPr>
    </w:p>
    <w:tbl>
      <w:tblPr>
        <w:tblStyle w:val="5"/>
        <w:tblW w:w="908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"/>
        <w:gridCol w:w="8969"/>
        <w:gridCol w:w="5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 w:hRule="atLeast"/>
        </w:trPr>
        <w:tc>
          <w:tcPr>
            <w:tcW w:w="68" w:type="dxa"/>
            <w:tcBorders>
              <w:top w:val="nil"/>
              <w:left w:val="nil"/>
            </w:tcBorders>
            <w:vAlign w:val="top"/>
          </w:tcPr>
          <w:p>
            <w:pPr>
              <w:spacing w:line="120" w:lineRule="exact"/>
              <w:rPr>
                <w:rFonts w:ascii="Arial"/>
                <w:sz w:val="10"/>
              </w:rPr>
            </w:pPr>
          </w:p>
        </w:tc>
        <w:tc>
          <w:tcPr>
            <w:tcW w:w="8969" w:type="dxa"/>
            <w:tcBorders>
              <w:top w:val="nil"/>
              <w:right w:val="single" w:color="000000" w:sz="8" w:space="0"/>
            </w:tcBorders>
            <w:vAlign w:val="top"/>
          </w:tcPr>
          <w:p>
            <w:pPr>
              <w:spacing w:line="120" w:lineRule="exact"/>
              <w:rPr>
                <w:rFonts w:ascii="Arial"/>
                <w:sz w:val="10"/>
              </w:rPr>
            </w:pPr>
          </w:p>
        </w:tc>
        <w:tc>
          <w:tcPr>
            <w:tcW w:w="52" w:type="dxa"/>
            <w:tcBorders>
              <w:top w:val="nil"/>
              <w:right w:val="nil"/>
            </w:tcBorders>
            <w:vAlign w:val="top"/>
          </w:tcPr>
          <w:p>
            <w:pPr>
              <w:spacing w:line="120" w:lineRule="exact"/>
              <w:rPr>
                <w:rFonts w:ascii="Arial"/>
                <w:sz w:val="1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6" w:hRule="atLeast"/>
        </w:trPr>
        <w:tc>
          <w:tcPr>
            <w:tcW w:w="68" w:type="dxa"/>
            <w:tcBorders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69" w:type="dxa"/>
            <w:tcBorders>
              <w:right w:val="single" w:color="000000" w:sz="8" w:space="0"/>
            </w:tcBorders>
            <w:vAlign w:val="top"/>
          </w:tcPr>
          <w:p>
            <w:pPr>
              <w:spacing w:line="2315" w:lineRule="exact"/>
              <w:ind w:firstLine="3185"/>
            </w:pPr>
            <w:r>
              <w:rPr>
                <w:position w:val="-46"/>
              </w:rPr>
              <w:drawing>
                <wp:inline distT="0" distB="0" distL="0" distR="0">
                  <wp:extent cx="1513840" cy="147002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54" cy="147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" w:type="dxa"/>
            <w:tcBorders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68" w:type="dxa"/>
            <w:tcBorders>
              <w:left w:val="nil"/>
              <w:bottom w:val="nil"/>
            </w:tcBorders>
            <w:vAlign w:val="top"/>
          </w:tcPr>
          <w:p>
            <w:pPr>
              <w:spacing w:line="48" w:lineRule="exact"/>
              <w:rPr>
                <w:rFonts w:ascii="Arial"/>
                <w:sz w:val="4"/>
              </w:rPr>
            </w:pPr>
          </w:p>
        </w:tc>
        <w:tc>
          <w:tcPr>
            <w:tcW w:w="8969" w:type="dxa"/>
            <w:tcBorders>
              <w:bottom w:val="nil"/>
              <w:right w:val="single" w:color="000000" w:sz="8" w:space="0"/>
            </w:tcBorders>
            <w:vAlign w:val="top"/>
          </w:tcPr>
          <w:p>
            <w:pPr>
              <w:spacing w:line="48" w:lineRule="exact"/>
              <w:rPr>
                <w:rFonts w:ascii="Arial"/>
                <w:sz w:val="4"/>
              </w:rPr>
            </w:pPr>
          </w:p>
        </w:tc>
        <w:tc>
          <w:tcPr>
            <w:tcW w:w="52" w:type="dxa"/>
            <w:tcBorders>
              <w:bottom w:val="nil"/>
              <w:right w:val="nil"/>
            </w:tcBorders>
            <w:vAlign w:val="top"/>
          </w:tcPr>
          <w:p>
            <w:pPr>
              <w:spacing w:line="48" w:lineRule="exact"/>
              <w:rPr>
                <w:rFonts w:ascii="Arial"/>
                <w:sz w:val="4"/>
              </w:rPr>
            </w:pPr>
          </w:p>
        </w:tc>
      </w:tr>
    </w:tbl>
    <w:p>
      <w:pPr>
        <w:pStyle w:val="2"/>
        <w:spacing w:line="350" w:lineRule="auto"/>
      </w:pPr>
    </w:p>
    <w:p>
      <w:pPr>
        <w:pStyle w:val="2"/>
        <w:spacing w:line="2619" w:lineRule="exact"/>
      </w:pPr>
      <w:r>
        <w:rPr>
          <w:position w:val="-52"/>
        </w:rPr>
        <w:pict>
          <v:group id="_x0000_s1027" o:spid="_x0000_s1027" o:spt="203" style="height:130.95pt;width:454.5pt;" coordsize="9090,2618">
            <o:lock v:ext="edit"/>
            <v:shape id="_x0000_s1028" o:spid="_x0000_s1028" o:spt="75" type="#_x0000_t75" style="position:absolute;left:0;top:0;height:2618;width:909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29" o:spid="_x0000_s1029" o:spt="202" type="#_x0000_t202" style="position:absolute;left:-20;top:-20;height:2658;width:91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5" w:line="200" w:lineRule="auto"/>
                      <w:ind w:left="216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pacing w:val="-5"/>
                        <w:sz w:val="26"/>
                        <w:szCs w:val="26"/>
                      </w:rPr>
                      <w:t>National</w:t>
                    </w:r>
                    <w:r>
                      <w:rPr>
                        <w:rFonts w:ascii="Arial" w:hAnsi="Arial" w:eastAsia="Arial" w:cs="Arial"/>
                        <w:spacing w:val="1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sz w:val="26"/>
                        <w:szCs w:val="26"/>
                      </w:rPr>
                      <w:t>Higher Education</w:t>
                    </w:r>
                    <w:r>
                      <w:rPr>
                        <w:rFonts w:ascii="Arial" w:hAnsi="Arial" w:eastAsia="Arial" w:cs="Arial"/>
                        <w:spacing w:val="1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sz w:val="26"/>
                        <w:szCs w:val="26"/>
                      </w:rPr>
                      <w:t>Fun</w:t>
                    </w:r>
                    <w:r>
                      <w:rPr>
                        <w:rFonts w:ascii="Arial" w:hAnsi="Arial" w:eastAsia="Arial" w:cs="Arial"/>
                        <w:spacing w:val="-6"/>
                        <w:sz w:val="26"/>
                        <w:szCs w:val="26"/>
                      </w:rPr>
                      <w:t>d Corporation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19" w:lineRule="exact"/>
        <w:sectPr>
          <w:type w:val="continuous"/>
          <w:pgSz w:w="22379" w:h="31680"/>
          <w:pgMar w:top="400" w:right="112" w:bottom="1457" w:left="1417" w:header="0" w:footer="1089" w:gutter="0"/>
          <w:cols w:equalWidth="0" w:num="2">
            <w:col w:w="11636" w:space="100"/>
            <w:col w:w="9113"/>
          </w:cols>
        </w:sectPr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49" w:line="222" w:lineRule="auto"/>
        <w:ind w:left="6"/>
        <w:rPr>
          <w:rFonts w:ascii="宋体" w:hAnsi="宋体" w:eastAsia="宋体" w:cs="宋体"/>
          <w:sz w:val="46"/>
          <w:szCs w:val="46"/>
        </w:rPr>
      </w:pPr>
      <w:r>
        <w:rPr>
          <w:rFonts w:ascii="黑体" w:hAnsi="黑体" w:eastAsia="黑体" w:cs="黑体"/>
          <w:b/>
          <w:bCs/>
          <w:color w:val="F8C318"/>
          <w:spacing w:val="-12"/>
          <w:sz w:val="46"/>
          <w:szCs w:val="46"/>
        </w:rPr>
        <w:t>学制：</w:t>
      </w:r>
      <w:r>
        <w:rPr>
          <w:rFonts w:ascii="黑体" w:hAnsi="黑体" w:eastAsia="黑体" w:cs="黑体"/>
          <w:color w:val="F8C318"/>
          <w:spacing w:val="-100"/>
          <w:sz w:val="46"/>
          <w:szCs w:val="46"/>
        </w:rPr>
        <w:t xml:space="preserve"> </w:t>
      </w:r>
      <w:r>
        <w:rPr>
          <w:rFonts w:ascii="幼圆" w:hAnsi="幼圆" w:eastAsia="幼圆" w:cs="幼圆"/>
          <w:spacing w:val="-12"/>
          <w:sz w:val="46"/>
          <w:szCs w:val="46"/>
        </w:rPr>
        <w:t>1年；共40学分</w:t>
      </w:r>
      <w:r>
        <w:rPr>
          <w:rFonts w:ascii="宋体" w:hAnsi="宋体" w:eastAsia="宋体" w:cs="宋体"/>
          <w:spacing w:val="-12"/>
          <w:sz w:val="46"/>
          <w:szCs w:val="46"/>
        </w:rPr>
        <w:t>；</w:t>
      </w:r>
    </w:p>
    <w:p>
      <w:pPr>
        <w:spacing w:before="278" w:line="224" w:lineRule="auto"/>
        <w:ind w:left="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b/>
          <w:bCs/>
          <w:color w:val="F9BE00"/>
          <w:spacing w:val="-16"/>
          <w:sz w:val="41"/>
          <w:szCs w:val="41"/>
        </w:rPr>
        <w:t>作业及论文：</w:t>
      </w:r>
    </w:p>
    <w:p>
      <w:pPr>
        <w:spacing w:before="234" w:line="738" w:lineRule="exact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12"/>
          <w:position w:val="24"/>
          <w:sz w:val="41"/>
          <w:szCs w:val="41"/>
        </w:rPr>
        <w:t>1、完成每科3500-4000英文作业；</w:t>
      </w:r>
    </w:p>
    <w:p>
      <w:pPr>
        <w:spacing w:line="225" w:lineRule="auto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22"/>
          <w:sz w:val="43"/>
          <w:szCs w:val="43"/>
        </w:rPr>
        <w:t>2、2-3万字毕业论文(英文);</w:t>
      </w:r>
    </w:p>
    <w:p>
      <w:pPr>
        <w:spacing w:before="201" w:line="216" w:lineRule="auto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2"/>
          <w:sz w:val="43"/>
          <w:szCs w:val="43"/>
        </w:rPr>
        <w:t>3、无答辩，需要演讲。</w:t>
      </w:r>
    </w:p>
    <w:p>
      <w:pPr>
        <w:spacing w:before="260" w:line="216" w:lineRule="auto"/>
        <w:ind w:left="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b/>
          <w:bCs/>
          <w:color w:val="F9BE00"/>
          <w:spacing w:val="-26"/>
          <w:sz w:val="43"/>
          <w:szCs w:val="43"/>
        </w:rPr>
        <w:t>教学方法：</w:t>
      </w:r>
      <w:r>
        <w:rPr>
          <w:rFonts w:ascii="黑体" w:hAnsi="黑体" w:eastAsia="黑体" w:cs="黑体"/>
          <w:color w:val="F9BE00"/>
          <w:spacing w:val="-60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26"/>
          <w:sz w:val="43"/>
          <w:szCs w:val="43"/>
        </w:rPr>
        <w:t>授课，实践，讲座，作业，论文</w:t>
      </w:r>
    </w:p>
    <w:p>
      <w:pPr>
        <w:spacing w:before="282" w:line="780" w:lineRule="exact"/>
        <w:ind w:left="5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b/>
          <w:bCs/>
          <w:color w:val="F9BE00"/>
          <w:spacing w:val="-13"/>
          <w:position w:val="26"/>
          <w:sz w:val="43"/>
          <w:szCs w:val="43"/>
        </w:rPr>
        <w:t>授课方式：</w:t>
      </w:r>
      <w:r>
        <w:rPr>
          <w:rFonts w:ascii="黑体" w:hAnsi="黑体" w:eastAsia="黑体" w:cs="黑体"/>
          <w:color w:val="F9BE00"/>
          <w:spacing w:val="-13"/>
          <w:position w:val="26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13"/>
          <w:position w:val="26"/>
          <w:sz w:val="43"/>
          <w:szCs w:val="43"/>
        </w:rPr>
        <w:t>面授，总共三个学期，每学期</w:t>
      </w:r>
      <w:r>
        <w:rPr>
          <w:rFonts w:ascii="黑体" w:hAnsi="黑体" w:eastAsia="黑体" w:cs="黑体"/>
          <w:spacing w:val="-14"/>
          <w:position w:val="26"/>
          <w:sz w:val="43"/>
          <w:szCs w:val="43"/>
        </w:rPr>
        <w:t>出国学习2个月左右，累计出国6个月以上。</w:t>
      </w:r>
    </w:p>
    <w:p>
      <w:pPr>
        <w:spacing w:before="1" w:line="223" w:lineRule="auto"/>
        <w:ind w:left="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b/>
          <w:bCs/>
          <w:color w:val="F9BE00"/>
          <w:spacing w:val="5"/>
          <w:sz w:val="41"/>
          <w:szCs w:val="41"/>
        </w:rPr>
        <w:t>入学条件：</w:t>
      </w:r>
      <w:r>
        <w:rPr>
          <w:rFonts w:ascii="黑体" w:hAnsi="黑体" w:eastAsia="黑体" w:cs="黑体"/>
          <w:color w:val="F9BE00"/>
          <w:spacing w:val="5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5"/>
          <w:sz w:val="41"/>
          <w:szCs w:val="41"/>
        </w:rPr>
        <w:t>大学本科(一般应取得学士学位)及以上学历的</w:t>
      </w:r>
      <w:r>
        <w:rPr>
          <w:rFonts w:ascii="黑体" w:hAnsi="黑体" w:eastAsia="黑体" w:cs="黑体"/>
          <w:spacing w:val="4"/>
          <w:sz w:val="41"/>
          <w:szCs w:val="41"/>
        </w:rPr>
        <w:t>毕业生。需开具成绩单。</w:t>
      </w:r>
    </w:p>
    <w:p>
      <w:pPr>
        <w:spacing w:before="247" w:line="190" w:lineRule="auto"/>
        <w:ind w:left="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b/>
          <w:bCs/>
          <w:color w:val="F9BE00"/>
          <w:spacing w:val="7"/>
          <w:sz w:val="41"/>
          <w:szCs w:val="41"/>
        </w:rPr>
        <w:t>语言要求：</w:t>
      </w:r>
      <w:r>
        <w:rPr>
          <w:rFonts w:ascii="黑体" w:hAnsi="黑体" w:eastAsia="黑体" w:cs="黑体"/>
          <w:color w:val="F9BE00"/>
          <w:spacing w:val="7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7"/>
          <w:sz w:val="41"/>
          <w:szCs w:val="41"/>
        </w:rPr>
        <w:t>雅思6分或领思169以上。</w:t>
      </w:r>
    </w:p>
    <w:p>
      <w:pPr>
        <w:spacing w:line="190" w:lineRule="auto"/>
        <w:rPr>
          <w:rFonts w:ascii="黑体" w:hAnsi="黑体" w:eastAsia="黑体" w:cs="黑体"/>
          <w:sz w:val="41"/>
          <w:szCs w:val="41"/>
        </w:rPr>
        <w:sectPr>
          <w:type w:val="continuous"/>
          <w:pgSz w:w="22379" w:h="31680"/>
          <w:pgMar w:top="400" w:right="112" w:bottom="1457" w:left="1417" w:header="0" w:footer="1089" w:gutter="0"/>
          <w:cols w:equalWidth="0" w:num="1">
            <w:col w:w="20848"/>
          </w:cols>
        </w:sectPr>
      </w:pPr>
    </w:p>
    <w:p>
      <w:pPr>
        <w:spacing w:before="13"/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3822065</wp:posOffset>
            </wp:positionH>
            <wp:positionV relativeFrom="page">
              <wp:posOffset>2348230</wp:posOffset>
            </wp:positionV>
            <wp:extent cx="3019425" cy="278701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9212" cy="278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8851265</wp:posOffset>
            </wp:positionH>
            <wp:positionV relativeFrom="page">
              <wp:posOffset>6840855</wp:posOffset>
            </wp:positionV>
            <wp:extent cx="711200" cy="16891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1089" cy="169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ectPr>
          <w:headerReference r:id="rId8" w:type="default"/>
          <w:footerReference r:id="rId9" w:type="default"/>
          <w:pgSz w:w="22424" w:h="31680"/>
          <w:pgMar w:top="400" w:right="0" w:bottom="1440" w:left="0" w:header="0" w:footer="962" w:gutter="0"/>
          <w:cols w:equalWidth="0" w:num="1">
            <w:col w:w="22424"/>
          </w:cols>
        </w:sectPr>
      </w:pPr>
    </w:p>
    <w:p>
      <w:pPr>
        <w:pStyle w:val="2"/>
        <w:spacing w:line="4388" w:lineRule="exact"/>
        <w:ind w:firstLine="993"/>
      </w:pPr>
      <w:r>
        <w:rPr>
          <w:position w:val="-87"/>
        </w:rPr>
        <w:pict>
          <v:group id="_x0000_s1030" o:spid="_x0000_s1030" o:spt="203" style="height:219.45pt;width:240.45pt;" coordsize="4808,4388">
            <o:lock v:ext="edit"/>
            <v:shape id="_x0000_s1031" o:spid="_x0000_s1031" o:spt="75" type="#_x0000_t75" style="position:absolute;left:0;top:0;height:4388;width:4808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32" o:spid="_x0000_s1032" o:spt="202" type="#_x0000_t202" style="position:absolute;left:-20;top:-20;height:4428;width:48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2" w:line="467" w:lineRule="exact"/>
                      <w:ind w:left="1433"/>
                      <w:rPr>
                        <w:rFonts w:ascii="Arial" w:hAnsi="Arial" w:eastAsia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spacing w:val="-11"/>
                        <w:position w:val="-1"/>
                        <w:sz w:val="39"/>
                        <w:szCs w:val="39"/>
                      </w:rPr>
                      <w:t>E</w:t>
                    </w:r>
                    <w:r>
                      <w:rPr>
                        <w:rFonts w:ascii="Arial" w:hAnsi="Arial" w:eastAsia="Arial" w:cs="Arial"/>
                        <w:color w:val="977F5F"/>
                        <w:spacing w:val="-11"/>
                        <w:position w:val="-1"/>
                        <w:sz w:val="39"/>
                        <w:szCs w:val="39"/>
                      </w:rPr>
                      <w:t>R</w:t>
                    </w:r>
                    <w:r>
                      <w:rPr>
                        <w:rFonts w:ascii="Arial" w:hAnsi="Arial" w:eastAsia="Arial" w:cs="Arial"/>
                        <w:color w:val="977F5F"/>
                        <w:spacing w:val="1"/>
                        <w:position w:val="-1"/>
                        <w:sz w:val="39"/>
                        <w:szCs w:val="39"/>
                      </w:rPr>
                      <w:t xml:space="preserve">          </w:t>
                    </w:r>
                    <w:r>
                      <w:rPr>
                        <w:rFonts w:ascii="Arial" w:hAnsi="Arial" w:eastAsia="Arial" w:cs="Arial"/>
                        <w:spacing w:val="-11"/>
                        <w:position w:val="4"/>
                        <w:sz w:val="32"/>
                        <w:szCs w:val="32"/>
                      </w:rPr>
                      <w:t>A'</w:t>
                    </w:r>
                    <w:r>
                      <w:rPr>
                        <w:rFonts w:ascii="Arial" w:hAnsi="Arial" w:eastAsia="Arial" w:cs="Arial"/>
                        <w:spacing w:val="75"/>
                        <w:position w:val="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573B26"/>
                        <w:spacing w:val="-11"/>
                        <w:position w:val="4"/>
                        <w:sz w:val="34"/>
                        <w:szCs w:val="34"/>
                      </w:rPr>
                      <w:t>ION</w:t>
                    </w:r>
                  </w:p>
                  <w:p>
                    <w:pPr>
                      <w:spacing w:before="1" w:line="185" w:lineRule="auto"/>
                      <w:ind w:left="360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A18028"/>
                        <w:spacing w:val="-2"/>
                        <w:sz w:val="24"/>
                        <w:szCs w:val="24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1" w:lineRule="auto"/>
      </w:pPr>
    </w:p>
    <w:p>
      <w:pPr>
        <w:spacing w:line="4402" w:lineRule="exact"/>
        <w:ind w:firstLine="1007"/>
      </w:pPr>
      <w:r>
        <w:rPr>
          <w:position w:val="-88"/>
        </w:rPr>
        <w:drawing>
          <wp:inline distT="0" distB="0" distL="0" distR="0">
            <wp:extent cx="6207125" cy="279527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7586" cy="27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line="296" w:lineRule="auto"/>
      </w:pPr>
    </w:p>
    <w:p>
      <w:pPr>
        <w:spacing w:before="37" w:line="195" w:lineRule="auto"/>
        <w:ind w:left="148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b/>
          <w:bCs/>
          <w:color w:val="D07C00"/>
          <w:spacing w:val="1"/>
          <w:sz w:val="13"/>
          <w:szCs w:val="13"/>
        </w:rPr>
        <w:t>GLOBAL NETWORK</w:t>
      </w:r>
    </w:p>
    <w:p>
      <w:pPr>
        <w:pStyle w:val="2"/>
        <w:spacing w:before="75" w:line="204" w:lineRule="auto"/>
        <w:rPr>
          <w:sz w:val="20"/>
          <w:szCs w:val="20"/>
        </w:rPr>
      </w:pPr>
      <w:r>
        <w:rPr>
          <w:b/>
          <w:bCs/>
          <w:color w:val="D67900"/>
          <w:spacing w:val="2"/>
          <w:sz w:val="20"/>
          <w:szCs w:val="20"/>
        </w:rPr>
        <w:t>NORTH</w:t>
      </w:r>
      <w:r>
        <w:rPr>
          <w:b/>
          <w:bCs/>
          <w:color w:val="D67900"/>
          <w:spacing w:val="38"/>
          <w:sz w:val="20"/>
          <w:szCs w:val="20"/>
        </w:rPr>
        <w:t xml:space="preserve"> </w:t>
      </w:r>
      <w:r>
        <w:rPr>
          <w:b/>
          <w:bCs/>
          <w:color w:val="D67900"/>
          <w:spacing w:val="2"/>
          <w:sz w:val="20"/>
          <w:szCs w:val="20"/>
        </w:rPr>
        <w:t>BORNEO</w:t>
      </w:r>
    </w:p>
    <w:p>
      <w:pPr>
        <w:pStyle w:val="2"/>
        <w:spacing w:before="139" w:line="204" w:lineRule="auto"/>
        <w:rPr>
          <w:sz w:val="20"/>
          <w:szCs w:val="20"/>
        </w:rPr>
      </w:pPr>
      <w:r>
        <w:rPr>
          <w:b/>
          <w:bCs/>
          <w:color w:val="D07C00"/>
          <w:sz w:val="20"/>
          <w:szCs w:val="20"/>
        </w:rPr>
        <w:t>UNIVERSITY COLLEGE</w:t>
      </w:r>
    </w:p>
    <w:p>
      <w:pPr>
        <w:pStyle w:val="2"/>
        <w:spacing w:line="441" w:lineRule="auto"/>
      </w:pPr>
    </w:p>
    <w:p>
      <w:pPr>
        <w:spacing w:before="31" w:line="195" w:lineRule="auto"/>
        <w:ind w:left="76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b/>
          <w:bCs/>
          <w:color w:val="F9AF30"/>
          <w:spacing w:val="-4"/>
          <w:sz w:val="11"/>
          <w:szCs w:val="11"/>
        </w:rPr>
        <w:t>North Bo</w:t>
      </w:r>
    </w:p>
    <w:p>
      <w:pPr>
        <w:pStyle w:val="2"/>
        <w:spacing w:before="98" w:line="241" w:lineRule="auto"/>
        <w:ind w:left="148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pacing w:val="17"/>
          <w:sz w:val="13"/>
          <w:szCs w:val="13"/>
        </w:rPr>
        <w:t>3</w:t>
      </w:r>
      <w:r>
        <w:rPr>
          <w:spacing w:val="3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>netwokofcan</w:t>
      </w:r>
      <w:r>
        <w:rPr>
          <w:spacing w:val="6"/>
          <w:sz w:val="13"/>
          <w:szCs w:val="13"/>
        </w:rPr>
        <w:t xml:space="preserve">     </w:t>
      </w:r>
      <w:r>
        <w:rPr>
          <w:rFonts w:ascii="Times New Roman" w:hAnsi="Times New Roman" w:eastAsia="Times New Roman" w:cs="Times New Roman"/>
          <w:sz w:val="16"/>
          <w:szCs w:val="16"/>
        </w:rPr>
        <w:t>yaig</w:t>
      </w:r>
    </w:p>
    <w:p>
      <w:pPr>
        <w:spacing w:before="70" w:line="221" w:lineRule="auto"/>
        <w:ind w:left="148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2"/>
          <w:sz w:val="16"/>
          <w:szCs w:val="16"/>
        </w:rPr>
        <w:t>mingceateatiesote dentk</w:t>
      </w:r>
    </w:p>
    <w:p>
      <w:pPr>
        <w:spacing w:line="198" w:lineRule="auto"/>
        <w:ind w:left="148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pacing w:val="1"/>
          <w:sz w:val="13"/>
          <w:szCs w:val="13"/>
        </w:rPr>
        <w:t>lifcat</w:t>
      </w:r>
    </w:p>
    <w:p>
      <w:pPr>
        <w:spacing w:before="42" w:line="200" w:lineRule="auto"/>
        <w:ind w:left="415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1"/>
          <w:sz w:val="16"/>
          <w:szCs w:val="16"/>
        </w:rPr>
        <w:t>d and</w:t>
      </w:r>
      <w:r>
        <w:rPr>
          <w:rFonts w:ascii="Times New Roman" w:hAnsi="Times New Roman" w:eastAsia="Times New Roman" w:cs="Times New Roman"/>
          <w:spacing w:val="11"/>
          <w:w w:val="102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6"/>
          <w:szCs w:val="16"/>
        </w:rPr>
        <w:t>qualveoets</w:t>
      </w:r>
    </w:p>
    <w:p>
      <w:pPr>
        <w:pStyle w:val="2"/>
        <w:spacing w:line="351" w:lineRule="auto"/>
      </w:pPr>
    </w:p>
    <w:p>
      <w:pPr>
        <w:pStyle w:val="2"/>
        <w:spacing w:line="351" w:lineRule="auto"/>
      </w:pPr>
    </w:p>
    <w:p>
      <w:pPr>
        <w:spacing w:before="128" w:line="330" w:lineRule="exact"/>
        <w:ind w:left="5"/>
        <w:rPr>
          <w:rFonts w:ascii="宋体" w:hAnsi="宋体" w:eastAsia="宋体" w:cs="宋体"/>
          <w:sz w:val="39"/>
          <w:szCs w:val="39"/>
        </w:rPr>
      </w:pPr>
      <w:r>
        <w:rPr>
          <w:rFonts w:ascii="宋体" w:hAnsi="宋体" w:eastAsia="宋体" w:cs="宋体"/>
          <w:b/>
          <w:bCs/>
          <w:color w:val="E28000"/>
          <w:spacing w:val="-6"/>
          <w:position w:val="-4"/>
          <w:sz w:val="39"/>
          <w:szCs w:val="39"/>
        </w:rPr>
        <w:t>2006</w:t>
      </w:r>
    </w:p>
    <w:p>
      <w:pPr>
        <w:pStyle w:val="2"/>
        <w:spacing w:line="206" w:lineRule="auto"/>
        <w:ind w:left="1011"/>
        <w:rPr>
          <w:sz w:val="11"/>
          <w:szCs w:val="11"/>
        </w:rPr>
      </w:pPr>
      <w:r>
        <w:rPr>
          <w:b/>
          <w:bCs/>
          <w:spacing w:val="-1"/>
          <w:sz w:val="11"/>
          <w:szCs w:val="11"/>
        </w:rPr>
        <w:t>blished</w:t>
      </w:r>
    </w:p>
    <w:p>
      <w:pPr>
        <w:spacing w:before="258" w:line="184" w:lineRule="auto"/>
        <w:ind w:left="6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color w:val="E68200"/>
          <w:spacing w:val="-25"/>
          <w:sz w:val="48"/>
          <w:szCs w:val="48"/>
        </w:rPr>
        <w:t>6,500+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spacing w:line="5355" w:lineRule="exact"/>
      </w:pPr>
      <w:r>
        <w:rPr>
          <w:position w:val="-107"/>
        </w:rPr>
        <w:drawing>
          <wp:inline distT="0" distB="0" distL="0" distR="0">
            <wp:extent cx="4859655" cy="34004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0016" cy="34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3" w:lineRule="auto"/>
      </w:pPr>
    </w:p>
    <w:p>
      <w:pPr>
        <w:pStyle w:val="2"/>
        <w:spacing w:before="46" w:line="205" w:lineRule="auto"/>
        <w:ind w:left="113"/>
        <w:rPr>
          <w:sz w:val="16"/>
          <w:szCs w:val="16"/>
        </w:rPr>
      </w:pPr>
      <w:r>
        <w:rPr>
          <w:b/>
          <w:bCs/>
          <w:color w:val="CD8314"/>
          <w:spacing w:val="3"/>
          <w:sz w:val="16"/>
          <w:szCs w:val="16"/>
        </w:rPr>
        <w:t>LEARNING</w:t>
      </w:r>
      <w:r>
        <w:rPr>
          <w:b/>
          <w:bCs/>
          <w:color w:val="CD8314"/>
          <w:spacing w:val="30"/>
          <w:sz w:val="16"/>
          <w:szCs w:val="16"/>
        </w:rPr>
        <w:t xml:space="preserve"> </w:t>
      </w:r>
      <w:r>
        <w:rPr>
          <w:b/>
          <w:bCs/>
          <w:color w:val="CD8314"/>
          <w:spacing w:val="3"/>
          <w:sz w:val="16"/>
          <w:szCs w:val="16"/>
        </w:rPr>
        <w:t>&amp;EXECUTIVE</w:t>
      </w:r>
      <w:r>
        <w:rPr>
          <w:b/>
          <w:bCs/>
          <w:color w:val="CD8314"/>
          <w:spacing w:val="21"/>
          <w:w w:val="101"/>
          <w:sz w:val="16"/>
          <w:szCs w:val="16"/>
        </w:rPr>
        <w:t xml:space="preserve"> </w:t>
      </w:r>
      <w:r>
        <w:rPr>
          <w:b/>
          <w:bCs/>
          <w:color w:val="CD8314"/>
          <w:spacing w:val="3"/>
          <w:sz w:val="16"/>
          <w:szCs w:val="16"/>
        </w:rPr>
        <w:t>CENTRES</w:t>
      </w:r>
    </w:p>
    <w:p>
      <w:pPr>
        <w:pStyle w:val="2"/>
        <w:spacing w:before="252" w:line="184" w:lineRule="exact"/>
        <w:ind w:left="383"/>
        <w:rPr>
          <w:sz w:val="13"/>
          <w:szCs w:val="13"/>
        </w:rPr>
      </w:pPr>
      <w:r>
        <w:rPr>
          <w:color w:val="F5A123"/>
          <w:spacing w:val="1"/>
          <w:position w:val="2"/>
          <w:sz w:val="13"/>
          <w:szCs w:val="13"/>
        </w:rPr>
        <w:t>ning</w:t>
      </w:r>
      <w:r>
        <w:rPr>
          <w:color w:val="F5A123"/>
          <w:spacing w:val="13"/>
          <w:w w:val="101"/>
          <w:position w:val="2"/>
          <w:sz w:val="13"/>
          <w:szCs w:val="13"/>
        </w:rPr>
        <w:t xml:space="preserve">  </w:t>
      </w:r>
      <w:r>
        <w:rPr>
          <w:color w:val="F5A123"/>
          <w:spacing w:val="1"/>
          <w:position w:val="2"/>
          <w:sz w:val="13"/>
          <w:szCs w:val="13"/>
        </w:rPr>
        <w:t>Centre</w:t>
      </w:r>
    </w:p>
    <w:p>
      <w:pPr>
        <w:spacing w:before="155" w:line="215" w:lineRule="exact"/>
        <w:ind w:left="6208"/>
        <w:rPr>
          <w:rFonts w:ascii="Times New Roman" w:hAnsi="Times New Roman" w:eastAsia="Times New Roman" w:cs="Times New Roman"/>
          <w:sz w:val="32"/>
          <w:szCs w:val="32"/>
        </w:rPr>
      </w:pPr>
      <w:r>
        <w:pict>
          <v:shape id="_x0000_s1033" o:spid="_x0000_s1033" o:spt="202" type="#_x0000_t202" style="position:absolute;left:0pt;margin-left:87.25pt;margin-top:5.9pt;height:14.65pt;width:9.5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52" w:lineRule="exact"/>
                    <w:ind w:left="20"/>
                    <w:rPr>
                      <w:rFonts w:ascii="Times New Roman" w:hAnsi="Times New Roman" w:eastAsia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37"/>
                      <w:szCs w:val="37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  <w:position w:val="-1"/>
          <w:sz w:val="32"/>
          <w:szCs w:val="32"/>
        </w:rPr>
        <w:t>cae</w:t>
      </w:r>
    </w:p>
    <w:p>
      <w:pPr>
        <w:pStyle w:val="2"/>
        <w:spacing w:line="211" w:lineRule="auto"/>
        <w:ind w:left="257"/>
        <w:rPr>
          <w:sz w:val="11"/>
          <w:szCs w:val="11"/>
        </w:rPr>
      </w:pPr>
      <w:r>
        <w:rPr>
          <w:spacing w:val="-2"/>
          <w:sz w:val="11"/>
          <w:szCs w:val="11"/>
        </w:rPr>
        <w:t>meo</w:t>
      </w:r>
      <w:r>
        <w:rPr>
          <w:spacing w:val="22"/>
          <w:sz w:val="11"/>
          <w:szCs w:val="11"/>
        </w:rPr>
        <w:t xml:space="preserve"> </w:t>
      </w:r>
      <w:r>
        <w:rPr>
          <w:spacing w:val="-2"/>
          <w:sz w:val="11"/>
          <w:szCs w:val="11"/>
        </w:rPr>
        <w:t>Uriversity College.</w:t>
      </w:r>
    </w:p>
    <w:p>
      <w:pPr>
        <w:spacing w:before="146" w:line="202" w:lineRule="auto"/>
        <w:ind w:left="352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color w:val="E58A03"/>
          <w:spacing w:val="2"/>
          <w:sz w:val="11"/>
          <w:szCs w:val="11"/>
        </w:rPr>
        <w:t>cutive</w:t>
      </w:r>
      <w:r>
        <w:rPr>
          <w:rFonts w:ascii="Times New Roman" w:hAnsi="Times New Roman" w:eastAsia="Times New Roman" w:cs="Times New Roman"/>
          <w:color w:val="E58A03"/>
          <w:spacing w:val="3"/>
          <w:sz w:val="11"/>
          <w:szCs w:val="11"/>
        </w:rPr>
        <w:t xml:space="preserve">        </w:t>
      </w:r>
      <w:r>
        <w:rPr>
          <w:rFonts w:ascii="Times New Roman" w:hAnsi="Times New Roman" w:eastAsia="Times New Roman" w:cs="Times New Roman"/>
          <w:color w:val="E58A03"/>
          <w:spacing w:val="2"/>
          <w:sz w:val="11"/>
          <w:szCs w:val="11"/>
        </w:rPr>
        <w:t>Centn</w:t>
      </w:r>
    </w:p>
    <w:p>
      <w:pPr>
        <w:pStyle w:val="2"/>
        <w:spacing w:before="179" w:line="160" w:lineRule="exact"/>
        <w:ind w:left="307"/>
        <w:rPr>
          <w:sz w:val="11"/>
          <w:szCs w:val="11"/>
        </w:rPr>
      </w:pPr>
      <w:r>
        <w:rPr>
          <w:spacing w:val="-3"/>
          <w:position w:val="2"/>
          <w:sz w:val="11"/>
          <w:szCs w:val="11"/>
        </w:rPr>
        <w:t>rersity directly.</w:t>
      </w:r>
    </w:p>
    <w:p>
      <w:pPr>
        <w:spacing w:line="160" w:lineRule="exact"/>
        <w:rPr>
          <w:sz w:val="11"/>
          <w:szCs w:val="11"/>
        </w:rPr>
        <w:sectPr>
          <w:type w:val="continuous"/>
          <w:pgSz w:w="22424" w:h="31680"/>
          <w:pgMar w:top="400" w:right="0" w:bottom="1440" w:left="0" w:header="0" w:footer="962" w:gutter="0"/>
          <w:cols w:equalWidth="0" w:num="3">
            <w:col w:w="11266" w:space="100"/>
            <w:col w:w="2262" w:space="100"/>
            <w:col w:w="8697"/>
          </w:cols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134" w:line="221" w:lineRule="auto"/>
        <w:ind w:left="107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b/>
          <w:bCs/>
          <w:color w:val="F9BE00"/>
          <w:spacing w:val="-9"/>
          <w:sz w:val="41"/>
          <w:szCs w:val="41"/>
        </w:rPr>
        <w:t>办理流程：</w:t>
      </w:r>
    </w:p>
    <w:p>
      <w:pPr>
        <w:spacing w:before="256" w:line="213" w:lineRule="auto"/>
        <w:ind w:left="107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5"/>
          <w:sz w:val="41"/>
          <w:szCs w:val="41"/>
        </w:rPr>
        <w:t>●学生递交相关申请材料，填写申请表格并缴纳报名申请费</w:t>
      </w:r>
      <w:r>
        <w:rPr>
          <w:rFonts w:ascii="黑体" w:hAnsi="黑体" w:eastAsia="黑体" w:cs="黑体"/>
          <w:spacing w:val="150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5"/>
          <w:sz w:val="41"/>
          <w:szCs w:val="41"/>
        </w:rPr>
        <w:t>(该费用概不退还)</w:t>
      </w:r>
    </w:p>
    <w:p>
      <w:pPr>
        <w:spacing w:before="330" w:line="224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spacing w:val="36"/>
          <w:sz w:val="39"/>
          <w:szCs w:val="39"/>
        </w:rPr>
        <w:t>●学校审核材料并下发电子版录取通知书(约1-2周时间)</w:t>
      </w:r>
    </w:p>
    <w:p>
      <w:pPr>
        <w:spacing w:before="304" w:line="224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color w:val="FABF00"/>
          <w:spacing w:val="13"/>
          <w:sz w:val="39"/>
          <w:szCs w:val="39"/>
        </w:rPr>
        <w:t xml:space="preserve">● </w:t>
      </w:r>
      <w:r>
        <w:rPr>
          <w:rFonts w:ascii="黑体" w:hAnsi="黑体" w:eastAsia="黑体" w:cs="黑体"/>
          <w:spacing w:val="13"/>
          <w:sz w:val="39"/>
          <w:szCs w:val="39"/>
        </w:rPr>
        <w:t>学生获得通知书后缴纳学习费用</w:t>
      </w:r>
    </w:p>
    <w:p>
      <w:pPr>
        <w:spacing w:before="303" w:line="224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color w:val="FABF00"/>
          <w:spacing w:val="23"/>
          <w:sz w:val="39"/>
          <w:szCs w:val="39"/>
        </w:rPr>
        <w:t xml:space="preserve">● </w:t>
      </w:r>
      <w:r>
        <w:rPr>
          <w:rFonts w:ascii="黑体" w:hAnsi="黑体" w:eastAsia="黑体" w:cs="黑体"/>
          <w:spacing w:val="23"/>
          <w:sz w:val="39"/>
          <w:szCs w:val="39"/>
        </w:rPr>
        <w:t>办理签证约1-2周时间</w:t>
      </w:r>
    </w:p>
    <w:p>
      <w:pPr>
        <w:spacing w:before="254" w:line="221" w:lineRule="auto"/>
        <w:ind w:left="107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color w:val="FABF00"/>
          <w:spacing w:val="-8"/>
          <w:sz w:val="41"/>
          <w:szCs w:val="41"/>
        </w:rPr>
        <w:t xml:space="preserve">● </w:t>
      </w:r>
      <w:r>
        <w:rPr>
          <w:rFonts w:ascii="黑体" w:hAnsi="黑体" w:eastAsia="黑体" w:cs="黑体"/>
          <w:spacing w:val="-8"/>
          <w:sz w:val="41"/>
          <w:szCs w:val="41"/>
        </w:rPr>
        <w:t>学生赴学校进行学习</w:t>
      </w:r>
    </w:p>
    <w:p>
      <w:pPr>
        <w:spacing w:before="286" w:line="224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spacing w:val="27"/>
          <w:sz w:val="39"/>
          <w:szCs w:val="39"/>
        </w:rPr>
        <w:t>●学生进行注册并办理相关手续进行上课学习</w:t>
      </w:r>
    </w:p>
    <w:p>
      <w:pPr>
        <w:spacing w:before="195" w:line="225" w:lineRule="auto"/>
        <w:ind w:left="1075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b/>
          <w:bCs/>
          <w:color w:val="F9BE00"/>
          <w:spacing w:val="4"/>
          <w:sz w:val="39"/>
          <w:szCs w:val="39"/>
        </w:rPr>
        <w:t>递交材料：</w:t>
      </w:r>
      <w:r>
        <w:rPr>
          <w:rFonts w:ascii="黑体" w:hAnsi="黑体" w:eastAsia="黑体" w:cs="黑体"/>
          <w:color w:val="F9BE00"/>
          <w:spacing w:val="65"/>
          <w:sz w:val="39"/>
          <w:szCs w:val="39"/>
        </w:rPr>
        <w:t xml:space="preserve">  </w:t>
      </w:r>
      <w:r>
        <w:rPr>
          <w:rFonts w:ascii="黑体" w:hAnsi="黑体" w:eastAsia="黑体" w:cs="黑体"/>
          <w:b/>
          <w:bCs/>
          <w:color w:val="F9BE00"/>
          <w:spacing w:val="4"/>
          <w:sz w:val="39"/>
          <w:szCs w:val="39"/>
        </w:rPr>
        <w:t>(所有材料均为电子版或扫描件)</w:t>
      </w:r>
    </w:p>
    <w:p>
      <w:pPr>
        <w:spacing w:before="343" w:line="222" w:lineRule="auto"/>
        <w:ind w:left="107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28"/>
          <w:sz w:val="41"/>
          <w:szCs w:val="41"/>
        </w:rPr>
        <w:t>●护照照片页(二页全页)</w:t>
      </w:r>
    </w:p>
    <w:p>
      <w:pPr>
        <w:spacing w:before="220" w:line="225" w:lineRule="auto"/>
        <w:ind w:left="1070"/>
        <w:rPr>
          <w:rFonts w:ascii="宋体" w:hAnsi="宋体" w:eastAsia="宋体" w:cs="宋体"/>
          <w:sz w:val="39"/>
          <w:szCs w:val="39"/>
        </w:rPr>
      </w:pPr>
      <w:r>
        <w:rPr>
          <w:rFonts w:ascii="黑体" w:hAnsi="黑体" w:eastAsia="黑体" w:cs="黑体"/>
          <w:color w:val="FABF00"/>
          <w:spacing w:val="19"/>
          <w:sz w:val="39"/>
          <w:szCs w:val="39"/>
        </w:rPr>
        <w:t xml:space="preserve">● </w:t>
      </w:r>
      <w:r>
        <w:rPr>
          <w:rFonts w:ascii="黑体" w:hAnsi="黑体" w:eastAsia="黑体" w:cs="黑体"/>
          <w:spacing w:val="19"/>
          <w:sz w:val="39"/>
          <w:szCs w:val="39"/>
        </w:rPr>
        <w:t>护照型彩照(照片需清晰、白底、3.5</w:t>
      </w:r>
      <w:r>
        <w:rPr>
          <w:rFonts w:ascii="宋体" w:hAnsi="宋体" w:eastAsia="宋体" w:cs="宋体"/>
          <w:sz w:val="39"/>
          <w:szCs w:val="39"/>
        </w:rPr>
        <w:t>cmx</w:t>
      </w:r>
      <w:r>
        <w:rPr>
          <w:rFonts w:ascii="宋体" w:hAnsi="宋体" w:eastAsia="宋体" w:cs="宋体"/>
          <w:spacing w:val="19"/>
          <w:sz w:val="39"/>
          <w:szCs w:val="39"/>
        </w:rPr>
        <w:t>5</w:t>
      </w:r>
      <w:r>
        <w:rPr>
          <w:rFonts w:ascii="宋体" w:hAnsi="宋体" w:eastAsia="宋体" w:cs="宋体"/>
          <w:sz w:val="39"/>
          <w:szCs w:val="39"/>
        </w:rPr>
        <w:t>cm</w:t>
      </w:r>
      <w:r>
        <w:rPr>
          <w:rFonts w:ascii="宋体" w:hAnsi="宋体" w:eastAsia="宋体" w:cs="宋体"/>
          <w:spacing w:val="19"/>
          <w:sz w:val="39"/>
          <w:szCs w:val="39"/>
        </w:rPr>
        <w:t>)</w:t>
      </w:r>
    </w:p>
    <w:p>
      <w:pPr>
        <w:spacing w:before="302" w:line="223" w:lineRule="auto"/>
        <w:ind w:left="107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color w:val="FABF00"/>
          <w:spacing w:val="-12"/>
          <w:sz w:val="41"/>
          <w:szCs w:val="41"/>
        </w:rPr>
        <w:t xml:space="preserve">● </w:t>
      </w:r>
      <w:r>
        <w:rPr>
          <w:rFonts w:ascii="黑体" w:hAnsi="黑体" w:eastAsia="黑体" w:cs="黑体"/>
          <w:spacing w:val="-12"/>
          <w:sz w:val="41"/>
          <w:szCs w:val="41"/>
        </w:rPr>
        <w:t>本科毕业证书</w:t>
      </w:r>
    </w:p>
    <w:p>
      <w:pPr>
        <w:spacing w:before="204" w:line="216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spacing w:val="31"/>
          <w:sz w:val="39"/>
          <w:szCs w:val="39"/>
        </w:rPr>
        <w:t>●学信网学历证书电子注册备案表翻译件(需要英文版，</w:t>
      </w:r>
      <w:r>
        <w:rPr>
          <w:rFonts w:ascii="黑体" w:hAnsi="黑体" w:eastAsia="黑体" w:cs="黑体"/>
          <w:spacing w:val="30"/>
          <w:sz w:val="39"/>
          <w:szCs w:val="39"/>
        </w:rPr>
        <w:t>台湾或外国文凭不需要本项)</w:t>
      </w:r>
    </w:p>
    <w:p>
      <w:pPr>
        <w:spacing w:before="335" w:line="226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color w:val="FABF00"/>
          <w:spacing w:val="14"/>
          <w:sz w:val="39"/>
          <w:szCs w:val="39"/>
        </w:rPr>
        <w:t>●</w:t>
      </w:r>
      <w:r>
        <w:rPr>
          <w:rFonts w:ascii="黑体" w:hAnsi="黑体" w:eastAsia="黑体" w:cs="黑体"/>
          <w:color w:val="FABF00"/>
          <w:spacing w:val="-30"/>
          <w:sz w:val="39"/>
          <w:szCs w:val="39"/>
        </w:rPr>
        <w:t xml:space="preserve"> </w:t>
      </w:r>
      <w:r>
        <w:rPr>
          <w:rFonts w:ascii="黑体" w:hAnsi="黑体" w:eastAsia="黑体" w:cs="黑体"/>
          <w:spacing w:val="14"/>
          <w:sz w:val="39"/>
          <w:szCs w:val="39"/>
        </w:rPr>
        <w:t>与毕业证书匹配的成绩单</w:t>
      </w:r>
    </w:p>
    <w:p>
      <w:pPr>
        <w:spacing w:before="315" w:line="191" w:lineRule="auto"/>
        <w:ind w:left="1070"/>
        <w:rPr>
          <w:rFonts w:ascii="黑体" w:hAnsi="黑体" w:eastAsia="黑体" w:cs="黑体"/>
          <w:sz w:val="39"/>
          <w:szCs w:val="39"/>
        </w:rPr>
      </w:pPr>
      <w:r>
        <w:rPr>
          <w:rFonts w:ascii="黑体" w:hAnsi="黑体" w:eastAsia="黑体" w:cs="黑体"/>
          <w:color w:val="FABF00"/>
          <w:spacing w:val="-11"/>
          <w:sz w:val="39"/>
          <w:szCs w:val="39"/>
        </w:rPr>
        <w:t>●</w:t>
      </w:r>
      <w:r>
        <w:rPr>
          <w:rFonts w:ascii="黑体" w:hAnsi="黑体" w:eastAsia="黑体" w:cs="黑体"/>
          <w:color w:val="FABF00"/>
          <w:spacing w:val="51"/>
          <w:sz w:val="39"/>
          <w:szCs w:val="39"/>
        </w:rPr>
        <w:t xml:space="preserve"> </w:t>
      </w:r>
      <w:r>
        <w:rPr>
          <w:rFonts w:ascii="黑体" w:hAnsi="黑体" w:eastAsia="黑体" w:cs="黑体"/>
          <w:spacing w:val="-11"/>
          <w:sz w:val="39"/>
          <w:szCs w:val="39"/>
        </w:rPr>
        <w:t>入学申请表</w:t>
      </w:r>
    </w:p>
    <w:p>
      <w:pPr>
        <w:spacing w:line="191" w:lineRule="auto"/>
        <w:rPr>
          <w:rFonts w:ascii="黑体" w:hAnsi="黑体" w:eastAsia="黑体" w:cs="黑体"/>
          <w:sz w:val="39"/>
          <w:szCs w:val="39"/>
        </w:rPr>
        <w:sectPr>
          <w:type w:val="continuous"/>
          <w:pgSz w:w="22424" w:h="31680"/>
          <w:pgMar w:top="400" w:right="0" w:bottom="1440" w:left="0" w:header="0" w:footer="962" w:gutter="0"/>
          <w:cols w:equalWidth="0" w:num="1">
            <w:col w:w="22424"/>
          </w:cols>
        </w:sectPr>
      </w:pPr>
    </w:p>
    <w:p>
      <w:pPr>
        <w:pStyle w:val="2"/>
        <w:spacing w:line="251" w:lineRule="auto"/>
      </w:pPr>
      <w:r>
        <w:pict>
          <v:rect id="_x0000_s1034" o:spid="_x0000_s1034" o:spt="1" style="position:absolute;left:0pt;margin-left:0pt;margin-top:1446.05pt;height:0.95pt;width:1086pt;mso-position-horizontal-relative:page;mso-position-vertical-relative:page;z-index:25166848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8396" w:lineRule="exact"/>
        <w:ind w:firstLine="1463"/>
      </w:pPr>
      <w:r>
        <w:rPr>
          <w:position w:val="-167"/>
        </w:rPr>
        <w:pict>
          <v:group id="_x0000_s1035" o:spid="_x0000_s1035" o:spt="203" style="height:419.85pt;width:944.6pt;" coordsize="18891,8397">
            <o:lock v:ext="edit"/>
            <v:shape id="_x0000_s1036" o:spid="_x0000_s1036" o:spt="75" type="#_x0000_t75" style="position:absolute;left:0;top:0;height:7482;width:18879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37" o:spid="_x0000_s1037" o:spt="202" type="#_x0000_t202" style="position:absolute;left:740;top:905;height:7510;width:181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32" w:lineRule="auto"/>
                      <w:ind w:left="14267"/>
                      <w:rPr>
                        <w:rFonts w:ascii="华文新魏" w:hAnsi="华文新魏" w:eastAsia="华文新魏" w:cs="华文新魏"/>
                        <w:sz w:val="27"/>
                        <w:szCs w:val="27"/>
                      </w:rPr>
                    </w:pPr>
                    <w:r>
                      <w:rPr>
                        <w:rFonts w:ascii="华文新魏" w:hAnsi="华文新魏" w:eastAsia="华文新魏" w:cs="华文新魏"/>
                        <w:b/>
                        <w:bCs/>
                        <w:spacing w:val="-3"/>
                        <w:sz w:val="27"/>
                        <w:szCs w:val="27"/>
                      </w:rPr>
                      <w:t>教育部留学服务中心</w:t>
                    </w: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8" w:line="221" w:lineRule="auto"/>
                      <w:ind w:left="14334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1"/>
                        <w:szCs w:val="21"/>
                      </w:rPr>
                      <w:t>国外学历学位认证书</w:t>
                    </w:r>
                  </w:p>
                  <w:p>
                    <w:pPr>
                      <w:spacing w:line="3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5" w:line="218" w:lineRule="auto"/>
                      <w:ind w:left="14254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14"/>
                        <w:szCs w:val="14"/>
                      </w:rPr>
                      <w:t>在马米西亚北婆罗洲大学学院</w:t>
                    </w:r>
                    <w:r>
                      <w:rPr>
                        <w:rFonts w:ascii="Times New Roman" w:hAnsi="Times New Roman" w:eastAsia="Times New Roman" w:cs="Times New Roman"/>
                        <w:spacing w:val="2"/>
                        <w:sz w:val="14"/>
                        <w:szCs w:val="14"/>
                      </w:rPr>
                      <w:t>(</w:t>
                    </w:r>
                    <w:r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  <w:t>North</w:t>
                    </w:r>
                  </w:p>
                  <w:p>
                    <w:pPr>
                      <w:spacing w:line="32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2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6" w:line="225" w:lineRule="auto"/>
                      <w:ind w:left="13825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14"/>
                        <w:szCs w:val="14"/>
                      </w:rPr>
                      <w:t>经核查，北婆罗洲大学学院系马来两亚正规高等</w:t>
                    </w:r>
                  </w:p>
                  <w:p>
                    <w:pPr>
                      <w:spacing w:before="100" w:line="225" w:lineRule="auto"/>
                      <w:ind w:left="13573"/>
                      <w:rPr>
                        <w:rFonts w:ascii="宋体" w:hAnsi="宋体" w:eastAsia="宋体" w:cs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4"/>
                        <w:szCs w:val="14"/>
                      </w:rPr>
                      <w:t>学校。       所获管理学须士学位表明其具有相应的</w:t>
                    </w: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230" w:lineRule="auto"/>
                      <w:ind w:left="20"/>
                      <w:rPr>
                        <w:rFonts w:ascii="黑体" w:hAnsi="黑体" w:eastAsia="黑体" w:cs="黑体"/>
                        <w:sz w:val="46"/>
                        <w:szCs w:val="46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spacing w:val="16"/>
                        <w:sz w:val="46"/>
                        <w:szCs w:val="46"/>
                      </w:rPr>
                      <w:t>管理学硕士证书样本</w:t>
                    </w:r>
                    <w:r>
                      <w:rPr>
                        <w:rFonts w:ascii="黑体" w:hAnsi="黑体" w:eastAsia="黑体" w:cs="黑体"/>
                        <w:spacing w:val="16"/>
                        <w:sz w:val="46"/>
                        <w:szCs w:val="46"/>
                      </w:rPr>
                      <w:t xml:space="preserve">          </w:t>
                    </w:r>
                    <w:r>
                      <w:rPr>
                        <w:rFonts w:ascii="黑体" w:hAnsi="黑体" w:eastAsia="黑体" w:cs="黑体"/>
                        <w:spacing w:val="15"/>
                        <w:sz w:val="46"/>
                        <w:szCs w:val="46"/>
                      </w:rPr>
                      <w:t xml:space="preserve">  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spacing w:val="15"/>
                        <w:sz w:val="46"/>
                        <w:szCs w:val="46"/>
                      </w:rPr>
                      <w:t>成绩单样本</w:t>
                    </w:r>
                    <w:r>
                      <w:rPr>
                        <w:rFonts w:ascii="黑体" w:hAnsi="黑体" w:eastAsia="黑体" w:cs="黑体"/>
                        <w:spacing w:val="15"/>
                        <w:sz w:val="46"/>
                        <w:szCs w:val="46"/>
                      </w:rPr>
                      <w:t xml:space="preserve">         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spacing w:val="15"/>
                        <w:sz w:val="46"/>
                        <w:szCs w:val="46"/>
                      </w:rPr>
                      <w:t>中国留学服务中心认证样本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195" w:line="224" w:lineRule="auto"/>
        <w:ind w:left="1507"/>
        <w:rPr>
          <w:rFonts w:ascii="黑体" w:hAnsi="黑体" w:eastAsia="黑体" w:cs="黑体"/>
          <w:sz w:val="60"/>
          <w:szCs w:val="60"/>
        </w:rPr>
      </w:pPr>
      <w:r>
        <w:rPr>
          <w:rFonts w:ascii="黑体" w:hAnsi="黑体" w:eastAsia="黑体" w:cs="黑体"/>
          <w:b/>
          <w:bCs/>
          <w:color w:val="FABF00"/>
          <w:spacing w:val="67"/>
          <w:sz w:val="60"/>
          <w:szCs w:val="60"/>
        </w:rPr>
        <w:t>马来西亚留学的10大优势</w:t>
      </w:r>
    </w:p>
    <w:p>
      <w:pPr>
        <w:pStyle w:val="2"/>
        <w:spacing w:line="324" w:lineRule="auto"/>
      </w:pPr>
    </w:p>
    <w:p>
      <w:pPr>
        <w:spacing w:before="130" w:line="345" w:lineRule="auto"/>
        <w:ind w:left="1499" w:right="1865" w:firstLine="343"/>
        <w:jc w:val="both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9"/>
          <w:sz w:val="40"/>
          <w:szCs w:val="40"/>
        </w:rPr>
        <w:t>●优越的环境、稳定的政治——马来西亚社会稳定，治安良好，人民友善，自然环境优越，给学生们</w:t>
      </w:r>
      <w:r>
        <w:rPr>
          <w:rFonts w:ascii="黑体" w:hAnsi="黑体" w:eastAsia="黑体" w:cs="黑体"/>
          <w:spacing w:val="7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3"/>
          <w:sz w:val="40"/>
          <w:szCs w:val="40"/>
        </w:rPr>
        <w:t>提供了一个良好的学习和生活环境。马来西亚常年温度在</w:t>
      </w:r>
      <w:r>
        <w:rPr>
          <w:rFonts w:ascii="黑体" w:hAnsi="黑体" w:eastAsia="黑体" w:cs="黑体"/>
          <w:spacing w:val="155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3"/>
          <w:sz w:val="40"/>
          <w:szCs w:val="40"/>
        </w:rPr>
        <w:t>21-33℃之间，华人倍受重视，且掌握着全</w:t>
      </w:r>
      <w:r>
        <w:rPr>
          <w:rFonts w:ascii="黑体" w:hAnsi="黑体" w:eastAsia="黑体" w:cs="黑体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7"/>
          <w:sz w:val="40"/>
          <w:szCs w:val="40"/>
        </w:rPr>
        <w:t>国的经济命脉，使这个美丽富饶、气候宜人的国家在拥有西方文明</w:t>
      </w:r>
      <w:r>
        <w:rPr>
          <w:rFonts w:ascii="黑体" w:hAnsi="黑体" w:eastAsia="黑体" w:cs="黑体"/>
          <w:spacing w:val="16"/>
          <w:sz w:val="40"/>
          <w:szCs w:val="40"/>
        </w:rPr>
        <w:t>的同时，还拥有了一份浓郁的东方</w:t>
      </w:r>
    </w:p>
    <w:p>
      <w:pPr>
        <w:spacing w:line="222" w:lineRule="auto"/>
        <w:ind w:left="149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10"/>
          <w:sz w:val="40"/>
          <w:szCs w:val="40"/>
        </w:rPr>
        <w:t>文化氛围。马来西亚历史上很少出现纷争、地震、台风等灾难。</w:t>
      </w:r>
    </w:p>
    <w:p>
      <w:pPr>
        <w:spacing w:before="269" w:line="342" w:lineRule="auto"/>
        <w:ind w:left="1499" w:right="1843" w:firstLine="343"/>
        <w:jc w:val="both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28"/>
          <w:sz w:val="40"/>
          <w:szCs w:val="40"/>
        </w:rPr>
        <w:t>●政策支持，中马学历互认—1997年后，中、马两国政府正式签署教育合作备忘录，掀开了两国</w:t>
      </w:r>
      <w:r>
        <w:rPr>
          <w:rFonts w:ascii="黑体" w:hAnsi="黑体" w:eastAsia="黑体" w:cs="黑体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2"/>
          <w:sz w:val="40"/>
          <w:szCs w:val="40"/>
        </w:rPr>
        <w:t>之间教育合作的序幕。2003年9月中国教育部对于部分优秀马来西</w:t>
      </w:r>
      <w:r>
        <w:rPr>
          <w:rFonts w:ascii="黑体" w:hAnsi="黑体" w:eastAsia="黑体" w:cs="黑体"/>
          <w:spacing w:val="11"/>
          <w:sz w:val="40"/>
          <w:szCs w:val="40"/>
        </w:rPr>
        <w:t>亚的私立院校进行认证后，更是消除</w:t>
      </w:r>
    </w:p>
    <w:p>
      <w:pPr>
        <w:spacing w:before="2" w:line="221" w:lineRule="auto"/>
        <w:ind w:left="149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4"/>
          <w:sz w:val="40"/>
          <w:szCs w:val="40"/>
        </w:rPr>
        <w:t>了很多学生和家长的顾虑。</w:t>
      </w:r>
    </w:p>
    <w:p>
      <w:pPr>
        <w:spacing w:before="264" w:line="214" w:lineRule="auto"/>
        <w:ind w:left="1847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b/>
          <w:bCs/>
          <w:spacing w:val="6"/>
          <w:sz w:val="40"/>
          <w:szCs w:val="40"/>
        </w:rPr>
        <w:t>●高水准教育、国际国内公认文凭——马来</w:t>
      </w:r>
      <w:r>
        <w:rPr>
          <w:rFonts w:ascii="黑体" w:hAnsi="黑体" w:eastAsia="黑体" w:cs="黑体"/>
          <w:b/>
          <w:bCs/>
          <w:spacing w:val="5"/>
          <w:sz w:val="40"/>
          <w:szCs w:val="40"/>
        </w:rPr>
        <w:t>西亚政府非常重视教育，双联课程是马来西亚的特色教育</w:t>
      </w:r>
    </w:p>
    <w:p>
      <w:pPr>
        <w:spacing w:before="287" w:line="745" w:lineRule="exact"/>
        <w:ind w:left="149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17"/>
          <w:position w:val="26"/>
          <w:sz w:val="40"/>
          <w:szCs w:val="40"/>
        </w:rPr>
        <w:t>体制。即将国外如英、美、加、澳等国著名大学</w:t>
      </w:r>
      <w:r>
        <w:rPr>
          <w:rFonts w:ascii="黑体" w:hAnsi="黑体" w:eastAsia="黑体" w:cs="黑体"/>
          <w:spacing w:val="16"/>
          <w:position w:val="26"/>
          <w:sz w:val="40"/>
          <w:szCs w:val="40"/>
        </w:rPr>
        <w:t>的一些或全部课程移植马来西亚，使学生在马来西亚</w:t>
      </w:r>
    </w:p>
    <w:p>
      <w:pPr>
        <w:spacing w:before="2" w:line="213" w:lineRule="auto"/>
        <w:ind w:left="149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11"/>
          <w:sz w:val="40"/>
          <w:szCs w:val="40"/>
        </w:rPr>
        <w:t>就可以获得国外名校的教育文凭和学位，吸引和培养了大批人才。</w:t>
      </w:r>
    </w:p>
    <w:p>
      <w:pPr>
        <w:spacing w:before="343" w:line="336" w:lineRule="auto"/>
        <w:ind w:left="1499" w:right="1854" w:firstLine="343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10"/>
          <w:sz w:val="40"/>
          <w:szCs w:val="40"/>
        </w:rPr>
        <w:t>●无英语要求、全英文授课环境——马来西亚的推荐院校</w:t>
      </w:r>
      <w:r>
        <w:rPr>
          <w:rFonts w:ascii="黑体" w:hAnsi="黑体" w:eastAsia="黑体" w:cs="黑体"/>
          <w:spacing w:val="9"/>
          <w:sz w:val="40"/>
          <w:szCs w:val="40"/>
        </w:rPr>
        <w:t>全部是英文授课。中国的学生不需要提供英</w:t>
      </w:r>
      <w:r>
        <w:rPr>
          <w:rFonts w:ascii="黑体" w:hAnsi="黑体" w:eastAsia="黑体" w:cs="黑体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7"/>
          <w:sz w:val="40"/>
          <w:szCs w:val="40"/>
        </w:rPr>
        <w:t>语成绩就可以赴马来西亚留学。学生入学前，需要经过学校的英文测试，根据考试成绩安排英文学习</w:t>
      </w:r>
    </w:p>
    <w:p>
      <w:pPr>
        <w:spacing w:before="2" w:line="213" w:lineRule="auto"/>
        <w:ind w:left="149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3"/>
          <w:sz w:val="40"/>
          <w:szCs w:val="40"/>
        </w:rPr>
        <w:t>时间，可长可短。</w:t>
      </w:r>
    </w:p>
    <w:p>
      <w:pPr>
        <w:spacing w:before="297" w:line="352" w:lineRule="auto"/>
        <w:ind w:left="1499" w:right="1843" w:firstLine="343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7"/>
          <w:sz w:val="40"/>
          <w:szCs w:val="40"/>
        </w:rPr>
        <w:t>●低廉的学费、负担得起的生活费——在马来西亚留学平均费用要比美、英国家低得多，大约为英、</w:t>
      </w:r>
      <w:r>
        <w:rPr>
          <w:rFonts w:ascii="黑体" w:hAnsi="黑体" w:eastAsia="黑体" w:cs="黑体"/>
          <w:spacing w:val="13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26"/>
          <w:sz w:val="40"/>
          <w:szCs w:val="40"/>
        </w:rPr>
        <w:t>美的1/3,为澳大利亚、新西兰等国的1/2左右，在马来西亚修完学士学位只需人民币10-12 万元，</w:t>
      </w:r>
      <w:r>
        <w:rPr>
          <w:rFonts w:ascii="黑体" w:hAnsi="黑体" w:eastAsia="黑体" w:cs="黑体"/>
          <w:spacing w:val="13"/>
          <w:sz w:val="40"/>
          <w:szCs w:val="40"/>
        </w:rPr>
        <w:t xml:space="preserve"> </w:t>
      </w:r>
      <w:r>
        <w:rPr>
          <w:rFonts w:ascii="宋体" w:hAnsi="宋体" w:eastAsia="宋体" w:cs="宋体"/>
          <w:sz w:val="40"/>
          <w:szCs w:val="40"/>
        </w:rPr>
        <w:t>MBA</w:t>
      </w:r>
      <w:r>
        <w:rPr>
          <w:rFonts w:ascii="宋体" w:hAnsi="宋体" w:eastAsia="宋体" w:cs="宋体"/>
          <w:spacing w:val="194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9"/>
          <w:sz w:val="40"/>
          <w:szCs w:val="40"/>
        </w:rPr>
        <w:t>或其它硕士学位约需人民币7-9</w:t>
      </w:r>
      <w:r>
        <w:rPr>
          <w:rFonts w:ascii="黑体" w:hAnsi="黑体" w:eastAsia="黑体" w:cs="黑体"/>
          <w:spacing w:val="-48"/>
          <w:sz w:val="40"/>
          <w:szCs w:val="40"/>
        </w:rPr>
        <w:t xml:space="preserve"> </w:t>
      </w:r>
      <w:r>
        <w:rPr>
          <w:rFonts w:ascii="黑体" w:hAnsi="黑体" w:eastAsia="黑体" w:cs="黑体"/>
          <w:spacing w:val="19"/>
          <w:sz w:val="40"/>
          <w:szCs w:val="40"/>
        </w:rPr>
        <w:t>万元。马来西亚的生活费低廉，食宿等费用每年约</w:t>
      </w:r>
      <w:r>
        <w:rPr>
          <w:rFonts w:ascii="黑体" w:hAnsi="黑体" w:eastAsia="黑体" w:cs="黑体"/>
          <w:spacing w:val="18"/>
          <w:sz w:val="40"/>
          <w:szCs w:val="40"/>
        </w:rPr>
        <w:t>3-4万人民币</w:t>
      </w:r>
    </w:p>
    <w:p>
      <w:pPr>
        <w:spacing w:before="1" w:line="222" w:lineRule="auto"/>
        <w:ind w:left="149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3"/>
          <w:sz w:val="40"/>
          <w:szCs w:val="40"/>
        </w:rPr>
        <w:t>左右。</w:t>
      </w:r>
    </w:p>
    <w:p>
      <w:pPr>
        <w:spacing w:line="222" w:lineRule="auto"/>
        <w:rPr>
          <w:rFonts w:ascii="黑体" w:hAnsi="黑体" w:eastAsia="黑体" w:cs="黑体"/>
          <w:sz w:val="40"/>
          <w:szCs w:val="40"/>
        </w:rPr>
        <w:sectPr>
          <w:headerReference r:id="rId10" w:type="default"/>
          <w:footerReference r:id="rId11" w:type="default"/>
          <w:pgSz w:w="22379" w:h="31680"/>
          <w:pgMar w:top="400" w:right="659" w:bottom="1435" w:left="0" w:header="0" w:footer="1015" w:gutter="0"/>
          <w:cols w:space="720" w:num="1"/>
        </w:sectPr>
      </w:pPr>
    </w:p>
    <w:p>
      <w:pPr>
        <w:pStyle w:val="2"/>
        <w:spacing w:line="269" w:lineRule="auto"/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8919845</wp:posOffset>
            </wp:positionV>
            <wp:extent cx="3773170" cy="245173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73304" cy="245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3879215</wp:posOffset>
            </wp:positionH>
            <wp:positionV relativeFrom="page">
              <wp:posOffset>8910955</wp:posOffset>
            </wp:positionV>
            <wp:extent cx="3802380" cy="245427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02067" cy="245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12102465</wp:posOffset>
            </wp:positionH>
            <wp:positionV relativeFrom="page">
              <wp:posOffset>9754235</wp:posOffset>
            </wp:positionV>
            <wp:extent cx="1605915" cy="88011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05719" cy="8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spacing w:before="134" w:line="329" w:lineRule="auto"/>
        <w:ind w:left="1882" w:right="2028" w:firstLine="437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9"/>
          <w:sz w:val="41"/>
          <w:szCs w:val="41"/>
        </w:rPr>
        <w:t>●极其灵活的入学方式——免托福、无需考试、</w:t>
      </w:r>
      <w:r>
        <w:rPr>
          <w:rFonts w:ascii="黑体" w:hAnsi="黑体" w:eastAsia="黑体" w:cs="黑体"/>
          <w:spacing w:val="-10"/>
          <w:sz w:val="41"/>
          <w:szCs w:val="41"/>
        </w:rPr>
        <w:t>高三以上(包括中专、职高等同学历)都可以申请，部分</w:t>
      </w:r>
      <w:r>
        <w:rPr>
          <w:rFonts w:ascii="黑体" w:hAnsi="黑体" w:eastAsia="黑体" w:cs="黑体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14"/>
          <w:sz w:val="41"/>
          <w:szCs w:val="41"/>
        </w:rPr>
        <w:t>学生可免预科。各类大专生可根据具体情况减免学分插班入学。马来西亚学校一年3次开学，语言学</w:t>
      </w:r>
    </w:p>
    <w:p>
      <w:pPr>
        <w:spacing w:line="223" w:lineRule="auto"/>
        <w:ind w:left="1882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8"/>
          <w:sz w:val="41"/>
          <w:szCs w:val="41"/>
        </w:rPr>
        <w:t>校可随时入学。</w:t>
      </w:r>
    </w:p>
    <w:p>
      <w:pPr>
        <w:spacing w:before="231" w:line="781" w:lineRule="exact"/>
        <w:ind w:left="232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position w:val="28"/>
          <w:sz w:val="41"/>
          <w:szCs w:val="41"/>
        </w:rPr>
        <w:t>●转赴欧美的留学机会大——学生在马来西亚修读完部分课程后，有</w:t>
      </w:r>
      <w:r>
        <w:rPr>
          <w:rFonts w:ascii="黑体" w:hAnsi="黑体" w:eastAsia="黑体" w:cs="黑体"/>
          <w:spacing w:val="-1"/>
          <w:position w:val="28"/>
          <w:sz w:val="41"/>
          <w:szCs w:val="41"/>
        </w:rPr>
        <w:t>机会直接在马来西亚申请转赴英</w:t>
      </w:r>
    </w:p>
    <w:p>
      <w:pPr>
        <w:spacing w:line="223" w:lineRule="auto"/>
        <w:ind w:left="1882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1"/>
          <w:sz w:val="41"/>
          <w:szCs w:val="41"/>
        </w:rPr>
        <w:t>国、澳洲、加拿大、新西兰等国继续修读剩余课程。</w:t>
      </w:r>
    </w:p>
    <w:p>
      <w:pPr>
        <w:spacing w:before="230" w:line="788" w:lineRule="exact"/>
        <w:ind w:left="232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position w:val="28"/>
          <w:sz w:val="41"/>
          <w:szCs w:val="41"/>
        </w:rPr>
        <w:t>●无需经济担保——马来西亚由于学费和生活费很低</w:t>
      </w:r>
      <w:r>
        <w:rPr>
          <w:rFonts w:ascii="黑体" w:hAnsi="黑体" w:eastAsia="黑体" w:cs="黑体"/>
          <w:spacing w:val="-1"/>
          <w:position w:val="28"/>
          <w:sz w:val="41"/>
          <w:szCs w:val="41"/>
        </w:rPr>
        <w:t>，所以在办理学校申请和签证申请不需要提供任</w:t>
      </w:r>
    </w:p>
    <w:p>
      <w:pPr>
        <w:spacing w:line="224" w:lineRule="auto"/>
        <w:ind w:left="1882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13"/>
          <w:sz w:val="41"/>
          <w:szCs w:val="41"/>
        </w:rPr>
        <w:t>何经济担保。</w:t>
      </w:r>
    </w:p>
    <w:p>
      <w:pPr>
        <w:spacing w:before="203" w:line="345" w:lineRule="auto"/>
        <w:ind w:left="1882" w:right="2030" w:firstLine="437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2"/>
          <w:sz w:val="41"/>
          <w:szCs w:val="41"/>
        </w:rPr>
        <w:t>●无年龄限制，签证率高</w:t>
      </w:r>
      <w:r>
        <w:rPr>
          <w:rFonts w:ascii="黑体" w:hAnsi="黑体" w:eastAsia="黑体" w:cs="黑体"/>
          <w:spacing w:val="2"/>
          <w:sz w:val="41"/>
          <w:szCs w:val="41"/>
          <w:u w:val="single" w:color="auto"/>
        </w:rPr>
        <w:t xml:space="preserve">   </w:t>
      </w:r>
      <w:r>
        <w:rPr>
          <w:rFonts w:ascii="黑体" w:hAnsi="黑体" w:eastAsia="黑体" w:cs="黑体"/>
          <w:spacing w:val="-186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2"/>
          <w:sz w:val="41"/>
          <w:szCs w:val="41"/>
        </w:rPr>
        <w:t>高中毕业或</w:t>
      </w:r>
      <w:r>
        <w:rPr>
          <w:rFonts w:ascii="黑体" w:hAnsi="黑体" w:eastAsia="黑体" w:cs="黑体"/>
          <w:spacing w:val="1"/>
          <w:sz w:val="41"/>
          <w:szCs w:val="41"/>
        </w:rPr>
        <w:t>同等学历即可申请去马来西亚读大学或专业学校。大专生、</w:t>
      </w:r>
      <w:r>
        <w:rPr>
          <w:rFonts w:ascii="黑体" w:hAnsi="黑体" w:eastAsia="黑体" w:cs="黑体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10"/>
          <w:sz w:val="41"/>
          <w:szCs w:val="41"/>
        </w:rPr>
        <w:t>大学毕业生也可申请去读马来西亚的研究生。马来西亚的签证率</w:t>
      </w:r>
      <w:r>
        <w:rPr>
          <w:rFonts w:ascii="黑体" w:hAnsi="黑体" w:eastAsia="黑体" w:cs="黑体"/>
          <w:spacing w:val="9"/>
          <w:sz w:val="41"/>
          <w:szCs w:val="41"/>
        </w:rPr>
        <w:t>高是其他国家无法比拟的，在马来西</w:t>
      </w:r>
    </w:p>
    <w:p>
      <w:pPr>
        <w:spacing w:before="1" w:line="223" w:lineRule="auto"/>
        <w:ind w:left="1882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4"/>
          <w:sz w:val="41"/>
          <w:szCs w:val="41"/>
        </w:rPr>
        <w:t>亚办理转读第三国的签证非常容易。</w:t>
      </w:r>
    </w:p>
    <w:p>
      <w:pPr>
        <w:spacing w:before="249" w:line="786" w:lineRule="exact"/>
        <w:ind w:left="2320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9"/>
          <w:position w:val="28"/>
          <w:sz w:val="41"/>
          <w:szCs w:val="41"/>
        </w:rPr>
        <w:t>●便捷的交通，没有时差——与我国相距并不远，交通方便快捷，多地均有飞往马来西亚</w:t>
      </w:r>
      <w:r>
        <w:rPr>
          <w:rFonts w:ascii="黑体" w:hAnsi="黑体" w:eastAsia="黑体" w:cs="黑体"/>
          <w:spacing w:val="8"/>
          <w:position w:val="28"/>
          <w:sz w:val="41"/>
          <w:szCs w:val="41"/>
        </w:rPr>
        <w:t>的直航班</w:t>
      </w:r>
    </w:p>
    <w:p>
      <w:pPr>
        <w:spacing w:line="223" w:lineRule="auto"/>
        <w:ind w:left="1882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4"/>
          <w:sz w:val="41"/>
          <w:szCs w:val="41"/>
        </w:rPr>
        <w:t>机。便于学生和家长就读与互相看望。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1" w:line="3865" w:lineRule="exact"/>
        <w:ind w:firstLine="12227"/>
      </w:pPr>
      <w:r>
        <w:rPr>
          <w:position w:val="-77"/>
        </w:rPr>
        <w:drawing>
          <wp:inline distT="0" distB="0" distL="0" distR="0">
            <wp:extent cx="3836035" cy="24536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36383" cy="24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206" w:line="224" w:lineRule="auto"/>
        <w:ind w:left="1891"/>
        <w:rPr>
          <w:sz w:val="63"/>
          <w:szCs w:val="63"/>
        </w:rPr>
      </w:pPr>
      <w:bookmarkStart w:id="0" w:name="_GoBack"/>
      <w:r>
        <w:rPr>
          <w:rFonts w:ascii="黑体" w:hAnsi="黑体" w:eastAsia="黑体" w:cs="黑体"/>
          <w:b/>
          <w:bCs/>
          <w:color w:val="F8BE00"/>
          <w:spacing w:val="-20"/>
          <w:sz w:val="63"/>
          <w:szCs w:val="63"/>
        </w:rPr>
        <w:t>为什么选择</w:t>
      </w:r>
      <w:r>
        <w:rPr>
          <w:b/>
          <w:bCs/>
          <w:color w:val="F8BE00"/>
          <w:spacing w:val="-20"/>
          <w:sz w:val="63"/>
          <w:szCs w:val="63"/>
        </w:rPr>
        <w:t>NBUC?</w: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spacing w:before="133" w:line="215" w:lineRule="auto"/>
        <w:ind w:left="264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1"/>
          <w:sz w:val="41"/>
          <w:szCs w:val="41"/>
        </w:rPr>
        <w:t>作为我们的学生，我们致力于为您提供优质的服务，</w:t>
      </w:r>
      <w:r>
        <w:rPr>
          <w:rFonts w:ascii="黑体" w:hAnsi="黑体" w:eastAsia="黑体" w:cs="黑体"/>
          <w:sz w:val="41"/>
          <w:szCs w:val="41"/>
        </w:rPr>
        <w:t>并努力超越您的所有期望。</w:t>
      </w:r>
    </w:p>
    <w:p>
      <w:pPr>
        <w:spacing w:before="267" w:line="745" w:lineRule="exact"/>
        <w:ind w:left="264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1"/>
          <w:position w:val="25"/>
          <w:sz w:val="41"/>
          <w:szCs w:val="41"/>
        </w:rPr>
        <w:t>我们关心您，并通过为您提供实现目标的积极和支持性环境来把您的需求放在</w:t>
      </w:r>
      <w:r>
        <w:rPr>
          <w:rFonts w:ascii="黑体" w:hAnsi="黑体" w:eastAsia="黑体" w:cs="黑体"/>
          <w:position w:val="25"/>
          <w:sz w:val="41"/>
          <w:szCs w:val="41"/>
        </w:rPr>
        <w:t>首位。</w:t>
      </w:r>
    </w:p>
    <w:p>
      <w:pPr>
        <w:spacing w:before="1" w:line="215" w:lineRule="auto"/>
        <w:ind w:left="264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4"/>
          <w:sz w:val="41"/>
          <w:szCs w:val="41"/>
        </w:rPr>
        <w:t>我们会倾听您的意见，对您的学业成绩的反馈是</w:t>
      </w:r>
      <w:r>
        <w:rPr>
          <w:rFonts w:ascii="宋体" w:hAnsi="宋体" w:eastAsia="宋体" w:cs="宋体"/>
          <w:sz w:val="41"/>
          <w:szCs w:val="41"/>
        </w:rPr>
        <w:t>NBUC</w:t>
      </w:r>
      <w:r>
        <w:rPr>
          <w:rFonts w:ascii="宋体" w:hAnsi="宋体" w:eastAsia="宋体" w:cs="宋体"/>
          <w:spacing w:val="173"/>
          <w:sz w:val="41"/>
          <w:szCs w:val="41"/>
        </w:rPr>
        <w:t xml:space="preserve"> </w:t>
      </w:r>
      <w:r>
        <w:rPr>
          <w:rFonts w:ascii="黑体" w:hAnsi="黑体" w:eastAsia="黑体" w:cs="黑体"/>
          <w:spacing w:val="4"/>
          <w:sz w:val="41"/>
          <w:szCs w:val="41"/>
        </w:rPr>
        <w:t>教学方法的基</w:t>
      </w:r>
      <w:r>
        <w:rPr>
          <w:rFonts w:ascii="黑体" w:hAnsi="黑体" w:eastAsia="黑体" w:cs="黑体"/>
          <w:spacing w:val="3"/>
          <w:sz w:val="41"/>
          <w:szCs w:val="41"/>
        </w:rPr>
        <w:t>本要素。</w:t>
      </w:r>
    </w:p>
    <w:p>
      <w:pPr>
        <w:spacing w:before="267" w:line="215" w:lineRule="auto"/>
        <w:ind w:left="264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-1"/>
          <w:sz w:val="41"/>
          <w:szCs w:val="41"/>
        </w:rPr>
        <w:t>我们高度评价创新，因此我们一直在寻找新的方法来做得更好。</w:t>
      </w:r>
    </w:p>
    <w:p>
      <w:pPr>
        <w:spacing w:before="267" w:line="786" w:lineRule="exact"/>
        <w:ind w:left="264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1"/>
          <w:position w:val="28"/>
          <w:sz w:val="41"/>
          <w:szCs w:val="41"/>
        </w:rPr>
        <w:t>我们是开放和诚实的，我们有开放的政策来创建一个易于接受的环境，您可以在其中发展，贡献和繁荣。</w:t>
      </w:r>
    </w:p>
    <w:p>
      <w:pPr>
        <w:spacing w:before="1" w:line="215" w:lineRule="auto"/>
        <w:ind w:left="2645"/>
        <w:rPr>
          <w:rFonts w:ascii="黑体" w:hAnsi="黑体" w:eastAsia="黑体" w:cs="黑体"/>
          <w:sz w:val="41"/>
          <w:szCs w:val="41"/>
        </w:rPr>
      </w:pPr>
      <w:r>
        <w:rPr>
          <w:rFonts w:ascii="黑体" w:hAnsi="黑体" w:eastAsia="黑体" w:cs="黑体"/>
          <w:spacing w:val="2"/>
          <w:sz w:val="41"/>
          <w:szCs w:val="41"/>
        </w:rPr>
        <w:t>我们的员工致力于增强个人和专业发展，这</w:t>
      </w:r>
      <w:r>
        <w:rPr>
          <w:rFonts w:ascii="黑体" w:hAnsi="黑体" w:eastAsia="黑体" w:cs="黑体"/>
          <w:spacing w:val="1"/>
          <w:sz w:val="41"/>
          <w:szCs w:val="41"/>
        </w:rPr>
        <w:t>将确保您在北婆罗洲大学学院有丰富的学习经验。</w:t>
      </w:r>
    </w:p>
    <w:p>
      <w:pPr>
        <w:spacing w:line="215" w:lineRule="auto"/>
        <w:rPr>
          <w:rFonts w:ascii="黑体" w:hAnsi="黑体" w:eastAsia="黑体" w:cs="黑体"/>
          <w:sz w:val="41"/>
          <w:szCs w:val="41"/>
        </w:rPr>
        <w:sectPr>
          <w:headerReference r:id="rId12" w:type="default"/>
          <w:footerReference r:id="rId13" w:type="default"/>
          <w:pgSz w:w="22424" w:h="31680"/>
          <w:pgMar w:top="2713" w:right="45" w:bottom="1440" w:left="0" w:header="2691" w:footer="1008" w:gutter="0"/>
          <w:cols w:space="720" w:num="1"/>
        </w:sectPr>
      </w:pPr>
    </w:p>
    <w:bookmarkEnd w:id="0"/>
    <w:p>
      <w:pPr>
        <w:spacing w:line="31667" w:lineRule="exact"/>
      </w:pPr>
      <w:r>
        <w:rPr>
          <w:position w:val="-633"/>
        </w:rPr>
        <w:drawing>
          <wp:inline distT="0" distB="0" distL="0" distR="0">
            <wp:extent cx="14210030" cy="2010854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10213" cy="201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4" w:type="default"/>
      <w:footerReference r:id="rId15" w:type="default"/>
      <w:pgSz w:w="22379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8" w:lineRule="auto"/>
      <w:ind w:left="546"/>
      <w:rPr>
        <w:rFonts w:ascii="宋体" w:hAnsi="宋体" w:eastAsia="宋体" w:cs="宋体"/>
        <w:sz w:val="37"/>
        <w:szCs w:val="37"/>
      </w:rPr>
    </w:pPr>
    <w:r>
      <w:rPr>
        <w:rFonts w:ascii="宋体" w:hAnsi="宋体" w:eastAsia="宋体" w:cs="宋体"/>
        <w:color w:val="AC8300"/>
        <w:spacing w:val="-5"/>
        <w:sz w:val="37"/>
        <w:szCs w:val="37"/>
      </w:rPr>
      <w:t>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20287"/>
      <w:rPr>
        <w:rFonts w:ascii="宋体" w:hAnsi="宋体" w:eastAsia="宋体" w:cs="宋体"/>
        <w:sz w:val="48"/>
        <w:szCs w:val="48"/>
      </w:rPr>
    </w:pPr>
    <w:r>
      <w:rPr>
        <w:rFonts w:ascii="宋体" w:hAnsi="宋体" w:eastAsia="宋体" w:cs="宋体"/>
        <w:color w:val="F8BE00"/>
        <w:spacing w:val="-5"/>
        <w:sz w:val="48"/>
        <w:szCs w:val="48"/>
      </w:rPr>
      <w:t>02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" w:line="179" w:lineRule="auto"/>
      <w:ind w:left="2009"/>
      <w:rPr>
        <w:rFonts w:ascii="宋体" w:hAnsi="宋体" w:eastAsia="宋体" w:cs="宋体"/>
        <w:sz w:val="42"/>
        <w:szCs w:val="42"/>
      </w:rPr>
    </w:pPr>
    <w:r>
      <w:rPr>
        <w:rFonts w:ascii="宋体" w:hAnsi="宋体" w:eastAsia="宋体" w:cs="宋体"/>
        <w:spacing w:val="-4"/>
        <w:sz w:val="42"/>
        <w:szCs w:val="42"/>
      </w:rPr>
      <w:t>03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20296"/>
      <w:rPr>
        <w:rFonts w:ascii="宋体" w:hAnsi="宋体" w:eastAsia="宋体" w:cs="宋体"/>
        <w:sz w:val="43"/>
        <w:szCs w:val="43"/>
      </w:rPr>
    </w:pPr>
    <w:r>
      <w:rPr>
        <w:rFonts w:ascii="宋体" w:hAnsi="宋体" w:eastAsia="宋体" w:cs="宋体"/>
        <w:color w:val="F0B800"/>
        <w:spacing w:val="-4"/>
        <w:sz w:val="43"/>
        <w:szCs w:val="43"/>
      </w:rPr>
      <w:t>04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4238605" cy="2011680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8885" cy="201167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30" w:lineRule="auto"/>
      <w:rPr>
        <w:sz w:val="2"/>
      </w:rPr>
    </w:pPr>
    <w:r>
      <w:pict>
        <v:rect id="_x0000_s2049" o:spid="_x0000_s2049" o:spt="1" style="position:absolute;left:0pt;margin-left:0pt;margin-top:134.55pt;height:1.15pt;width:1118.95pt;mso-position-horizontal-relative:page;mso-position-vertical-relative:page;z-index:251660288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7882B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jpeg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jpeg"/><Relationship Id="rId34" Type="http://schemas.openxmlformats.org/officeDocument/2006/relationships/image" Target="media/image19.pn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footnotes" Target="footnotes.xml"/><Relationship Id="rId29" Type="http://schemas.openxmlformats.org/officeDocument/2006/relationships/image" Target="media/image14.jpeg"/><Relationship Id="rId28" Type="http://schemas.openxmlformats.org/officeDocument/2006/relationships/image" Target="media/image13.pn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jpeg"/><Relationship Id="rId17" Type="http://schemas.openxmlformats.org/officeDocument/2006/relationships/image" Target="media/image2.png"/><Relationship Id="rId16" Type="http://schemas.openxmlformats.org/officeDocument/2006/relationships/theme" Target="theme/theme1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3"/>
    <customShpInfo spid="_x0000_s1034"/>
    <customShpInfo spid="_x0000_s1036"/>
    <customShpInfo spid="_x0000_s1037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2023-11-16T20:44:00Z</dcterms:created>
  <dc:creator>Kingsoft-PDF</dc:creator>
  <cp:lastModifiedBy>冰冰⊙▽⊙＊</cp:lastModifiedBy>
  <dcterms:modified xsi:type="dcterms:W3CDTF">2023-11-16T12:52:08Z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2023-11-16T20:44:32Z</vt:filetime>
  </property>
  <property fmtid="{D5CDD505-2E9C-101B-9397-08002B2CF9AE}" pid="4" name="UsrData">
    <vt:lpwstr>65560e8d18a472001fba9a3dwl</vt:lpwstr>
  </property>
  <property fmtid="{D5CDD505-2E9C-101B-9397-08002B2CF9AE}" pid="5" name="KSOProductBuildVer">
    <vt:lpwstr>2052-12.1.0.15374</vt:lpwstr>
  </property>
  <property fmtid="{D5CDD505-2E9C-101B-9397-08002B2CF9AE}" pid="6" name="ICV">
    <vt:lpwstr>F5150944D9A345399585C42F78A99713_13</vt:lpwstr>
  </property>
</Properties>
</file>