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11899" w:h="14741" w:wrap="notBeside" w:vAnchor="text" w:hAnchor="text" w:y="1"/>
        <w:widowControl w:val="0"/>
        <w:rPr>
          <w:sz w:val="2"/>
          <w:szCs w:val="2"/>
        </w:rPr>
      </w:pPr>
      <w:r>
        <w:drawing>
          <wp:inline distT="0" distB="0" distL="114300" distR="114300">
            <wp:extent cx="7559040" cy="9363710"/>
            <wp:effectExtent l="0" t="0" r="3810" b="889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36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052" w:right="0" w:bottom="847" w:left="0" w:header="624" w:footer="419" w:gutter="0"/>
          <w:pgNumType w:start="1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0" distB="0" distL="0" distR="4453255" simplePos="0" relativeHeight="251660288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6473825</wp:posOffset>
                </wp:positionV>
                <wp:extent cx="3102610" cy="155130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1551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2F3058"/>
                                <w:spacing w:val="0"/>
                                <w:w w:val="100"/>
                                <w:position w:val="0"/>
                                <w:sz w:val="80"/>
                                <w:szCs w:val="80"/>
                              </w:rPr>
                              <w:t>韩国信韩大学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2F3058"/>
                                <w:spacing w:val="0"/>
                                <w:w w:val="100"/>
                                <w:position w:val="0"/>
                                <w:sz w:val="80"/>
                                <w:szCs w:val="80"/>
                              </w:rPr>
                              <w:t>—年制专升本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1026" o:spt="202" type="#_x0000_t202" style="position:absolute;left:0pt;margin-left:308.15pt;margin-top:509.75pt;height:122.15pt;width:244.3pt;mso-wrap-distance-bottom:0pt;mso-wrap-distance-top:0pt;z-index:251660288;mso-width-relative:page;mso-height-relative:page;" filled="f" stroked="f" coordsize="21600,21600" o:gfxdata="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KId0QtsAAAAOAQAA&#10;DwAAAAAAAAABACAAAAAiAAAAZHJzL2Rvd25yZXYueG1sUEsBAhQAFAAAAAgAh07iQE3wAwGkAQAA&#10;ZQ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color w:val="2F3058"/>
                          <w:spacing w:val="0"/>
                          <w:w w:val="100"/>
                          <w:position w:val="0"/>
                          <w:sz w:val="80"/>
                          <w:szCs w:val="80"/>
                        </w:rPr>
                        <w:t>韩国信韩大学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color w:val="2F3058"/>
                          <w:spacing w:val="0"/>
                          <w:w w:val="100"/>
                          <w:position w:val="0"/>
                          <w:sz w:val="80"/>
                          <w:szCs w:val="80"/>
                        </w:rPr>
                        <w:t>—年制专升本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424930" simplePos="0" relativeHeight="251660288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8348345</wp:posOffset>
                </wp:positionV>
                <wp:extent cx="1130935" cy="24384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免语言录取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1026" o:spt="202" type="#_x0000_t202" style="position:absolute;left:0pt;margin-left:125.75pt;margin-top:657.35pt;height:19.2pt;width:89.05pt;mso-wrap-distance-bottom:0pt;mso-wrap-distance-top:0pt;z-index:251660288;mso-width-relative:page;mso-height-relative:page;" filled="f" stroked="f" coordsize="21600,21600" o:gfxdata="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Dpk2PbAAAADQEA&#10;AA8AAAAAAAAAAQAgAAAAIgAAAGRycy9kb3ducmV2LnhtbFBLAQIUABQAAAAIAIdO4kAbaBSHpQEA&#10;AGQ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免语言录取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434455" simplePos="0" relativeHeight="251660288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8354695</wp:posOffset>
                </wp:positionV>
                <wp:extent cx="1121410" cy="24384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多语种授课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1026" o:spt="202" type="#_x0000_t202" style="position:absolute;left:0pt;margin-left:244.3pt;margin-top:657.85pt;height:19.2pt;width:88.3pt;mso-wrap-distance-bottom:0pt;mso-wrap-distance-top:0pt;z-index:251660288;mso-width-relative:page;mso-height-relative:page;" filled="f" stroked="f" coordsize="21600,21600" o:gfxdata="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E+Av69sAAAANAQAA&#10;DwAAAAAAAAABACAAAAAiAAAAZHJzL2Rvd25yZXYueG1sUEsBAhQAFAAAAAgAh07iQG24XqukAQAA&#10;ZA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多语种授课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424930" simplePos="0" relativeHeight="251660288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8348345</wp:posOffset>
                </wp:positionV>
                <wp:extent cx="1130935" cy="24384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教育部认证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1026" o:spt="202" type="#_x0000_t202" style="position:absolute;left:0pt;margin-left:360.95pt;margin-top:657.35pt;height:19.2pt;width:89.05pt;mso-wrap-distance-bottom:0pt;mso-wrap-distance-top:0pt;z-index:251660288;mso-width-relative:page;mso-height-relative:page;" filled="f" stroked="f" coordsize="21600,21600" o:gfxdata="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j50ENtoAAAANAQAA&#10;DwAAAAAAAAABACAAAAAiAAAAZHJzL2Rvd25yZXYueG1sUEsBAhQAFAAAAAgAh07iQFPTBI6lAQAA&#10;ZA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教育部认证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431280" simplePos="0" relativeHeight="251660288" behindDoc="0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8351520</wp:posOffset>
                </wp:positionV>
                <wp:extent cx="1124585" cy="24384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享海归待遇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26" o:spt="202" type="#_x0000_t202" style="position:absolute;left:0pt;margin-left:479.05pt;margin-top:657.6pt;height:19.2pt;width:88.55pt;mso-wrap-distance-bottom:0pt;mso-wrap-distance-top:0pt;z-index:251660288;mso-width-relative:page;mso-height-relative:page;" filled="f" stroked="f" coordsize="21600,21600" o:gfxdata="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7ngED9oAAAAOAQAA&#10;DwAAAAAAAAABACAAAAAiAAAAZHJzL2Rvd25yZXYueG1sUEsBAhQAFAAAAAgAh07iQNpTL6ulAQAA&#10;Zg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享海归待遇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7559040" cy="5059680"/>
            <wp:effectExtent l="0" t="0" r="3810" b="762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ut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37" w:right="0" w:firstLine="0"/>
        <w:jc w:val="left"/>
        <w:rPr>
          <w:color w:val="000000"/>
          <w:spacing w:val="0"/>
          <w:w w:val="100"/>
          <w:position w:val="0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  <w:sz w:val="32"/>
          <w:szCs w:val="32"/>
          <w:shd w:val="clear" w:color="auto" w:fill="FFFFFF"/>
        </w:rPr>
        <w:t>学校概况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37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中国教育部涉外监管网推荐大学，韩国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SW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综合中心大学，韩国教育部重点发展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综合性大学之一。信韩大学始建于1960年，拥有2个校区，培养超过200000余名学生，有来自全球各地的国际生1000余名。学校有八个学院、7个学系、12个学科,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66个本科专业以及六个研究生院，6个国家一级专业博士点，其中以汽车工学、美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容健康学、齿技工学、齿卫生学、全球通商经营、全球观光经营、护理学、公演艺 术、设计学等专业为特色。我校与韩国国内现代、起亚及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BMWs Nissan、Volvo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bookmark1"/>
      <w:bookmarkStart w:id="1" w:name="bookmark2"/>
      <w:bookmarkStart w:id="2" w:name="bookmark0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Koreas Audi Korea、Benz Korea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等诸多业内一流汽车集团产学协力合作，学生入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学即签署就业协议。据此我校连续8年在2014年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-2022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年韩国本国高中毕业生招生 季中取得了全国195所四年制大学报名及录取竞争率第一的优良成绩，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2015-2020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年的综合报名竞争率稳居韩国前三位。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本校目前已与中国、美国、俄罗斯，加拿大、日本等70多个国家及地区，近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400所高校签订了友好协议，达成了国际交流、双学位、交换、等各方面的合作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default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639445</wp:posOffset>
            </wp:positionH>
            <wp:positionV relativeFrom="margin">
              <wp:posOffset>1435100</wp:posOffset>
            </wp:positionV>
            <wp:extent cx="3218815" cy="4145280"/>
            <wp:effectExtent l="0" t="0" r="635" b="762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ap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学校优势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  <w:sectPr>
          <w:footnotePr>
            <w:numFmt w:val="decimal"/>
          </w:footnotePr>
          <w:pgSz w:w="11900" w:h="16840"/>
          <w:pgMar w:top="1057" w:right="764" w:bottom="1057" w:left="2410" w:header="629" w:footer="629" w:gutter="0"/>
          <w:cols w:space="720" w:num="1"/>
          <w:rtlGutter w:val="0"/>
          <w:docGrid w:linePitch="360" w:charSpace="0"/>
        </w:sect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3846195</wp:posOffset>
            </wp:positionH>
            <wp:positionV relativeFrom="margin">
              <wp:posOffset>1459865</wp:posOffset>
            </wp:positionV>
            <wp:extent cx="3200400" cy="4145280"/>
            <wp:effectExtent l="0" t="0" r="0" b="762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hape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0" w:right="907" w:bottom="2818" w:left="768" w:header="5966" w:footer="2387" w:gutter="0"/>
          <w:paperSrc/>
          <w:cols w:space="0" w:num="1"/>
          <w:rtlGutter w:val="0"/>
          <w:docGrid w:linePitch="360" w:charSpace="0"/>
        </w:sectPr>
      </w:pPr>
    </w:p>
    <w:p>
      <w:pPr>
        <w:widowControl w:val="0"/>
        <w:spacing w:before="67" w:after="67" w:line="240" w:lineRule="exact"/>
        <w:rPr>
          <w:sz w:val="19"/>
          <w:szCs w:val="19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/>
        </w:rPr>
      </w:pPr>
      <w:r>
        <w:rPr>
          <w:rFonts w:hint="eastAsia"/>
        </w:rPr>
        <w:t>国际化排名全韩前五，与清华、浙财、成大、川师等高校均有交换生、双学位等战略合作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  <w:shd w:val="clear" w:color="auto" w:fill="FFFFFF"/>
        </w:rPr>
        <w:t>升学模式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/>
        </w:rPr>
      </w:pPr>
      <w:r>
        <w:rPr>
          <w:rFonts w:hint="eastAsia"/>
        </w:rPr>
        <w:t>国内全日制统招专科+一年本科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  <w:shd w:val="clear" w:color="auto" w:fill="FFFFFF"/>
        </w:rPr>
        <w:t>专业选择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512945" cy="1198245"/>
            <wp:effectExtent l="0" t="0" r="1905" b="1905"/>
            <wp:docPr id="22" name="图片 22" descr="166658098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66658098554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294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eastAsia="宋体"/>
          <w:lang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t>专业对照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lang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财务管理、国际经济与贸易、物流管理、金融学、工商管理、市场营销 会计学、人力资源管理、电子商务、物联网工程、数据科学与大数据技术 金融工程、国际商务、经济学、公共事业管理、审计学、金融科技 大数据与财务管理、大数据与会计、行政管理、城市管理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eastAsia="宋体"/>
          <w:lang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color w:val="2C3665"/>
          <w:spacing w:val="0"/>
          <w:w w:val="100"/>
          <w:position w:val="0"/>
        </w:rPr>
      </w:pPr>
      <w:r>
        <w:rPr>
          <w:b/>
          <w:bCs/>
          <w:color w:val="2C3665"/>
          <w:spacing w:val="0"/>
          <w:w w:val="100"/>
          <w:position w:val="0"/>
        </w:rPr>
        <w:t>备注：</w:t>
      </w:r>
      <w:r>
        <w:rPr>
          <w:color w:val="2C3665"/>
          <w:spacing w:val="0"/>
          <w:w w:val="100"/>
          <w:position w:val="0"/>
        </w:rPr>
        <w:t>专科是以上专业的均可申请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b/>
          <w:bCs/>
          <w:color w:val="2C3665"/>
          <w:spacing w:val="0"/>
          <w:w w:val="100"/>
          <w:position w:val="0"/>
        </w:rPr>
      </w:pP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3460" w:firstLine="0"/>
        <w:jc w:val="left"/>
        <w:rPr>
          <w:b/>
          <w:bCs/>
          <w:color w:val="000000"/>
          <w:spacing w:val="0"/>
          <w:w w:val="100"/>
          <w:position w:val="0"/>
        </w:rPr>
      </w:pPr>
      <w:bookmarkStart w:id="3" w:name="bookmark6"/>
      <w:bookmarkStart w:id="4" w:name="bookmark7"/>
      <w:bookmarkStart w:id="5" w:name="bookmark8"/>
      <w:r>
        <w:rPr>
          <w:b/>
          <w:bCs/>
          <w:color w:val="000000"/>
          <w:spacing w:val="0"/>
          <w:w w:val="100"/>
          <w:position w:val="0"/>
        </w:rPr>
        <w:t>申请条件</w:t>
      </w:r>
      <w:bookmarkEnd w:id="3"/>
      <w:bookmarkEnd w:id="4"/>
      <w:bookmarkEnd w:id="5"/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3460" w:firstLine="0"/>
        <w:jc w:val="left"/>
        <w:rPr>
          <w:rFonts w:hint="eastAsia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</w:rPr>
        <w:t>•申请人与父母均为非韩国籍的外国人</w:t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3460" w:firstLine="0"/>
        <w:jc w:val="left"/>
        <w:rPr>
          <w:rFonts w:hint="eastAsia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</w:rPr>
        <w:t>•国内三年全日制专科生（取得毕业证）</w:t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3460" w:firstLine="0"/>
        <w:jc w:val="left"/>
        <w:rPr>
          <w:rFonts w:hint="eastAsia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</w:rPr>
        <w:t>•材料真实，通过学校的入学考试</w:t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3460" w:firstLine="0"/>
        <w:jc w:val="left"/>
        <w:rPr>
          <w:rFonts w:hint="eastAsia"/>
          <w:b/>
          <w:bCs/>
          <w:color w:val="000000"/>
          <w:spacing w:val="0"/>
          <w:w w:val="100"/>
          <w:position w:val="0"/>
        </w:rPr>
      </w:pP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3460" w:firstLine="0"/>
        <w:jc w:val="left"/>
        <w:rPr>
          <w:rFonts w:hint="eastAsia"/>
          <w:b/>
          <w:bCs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lang w:val="en-US" w:eastAsia="zh-CN"/>
        </w:rPr>
        <w:t>毕业要求</w:t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3460" w:firstLine="0"/>
        <w:jc w:val="left"/>
        <w:rPr>
          <w:rFonts w:hint="default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</w:rPr>
        <w:t>•修满规定学分（本科四年共130学分）</w:t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3460" w:firstLine="0"/>
        <w:jc w:val="left"/>
        <w:rPr>
          <w:rFonts w:hint="eastAsia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</w:rPr>
        <w:t>•达到TOPIK4级（可用毕业韩国语成绩代替）</w:t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3460" w:firstLine="0"/>
        <w:jc w:val="left"/>
        <w:rPr>
          <w:rFonts w:hint="eastAsia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</w:rPr>
        <w:t>•论文（中文编辑，翻译韩文不要求发表）</w:t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3460" w:firstLine="0"/>
        <w:jc w:val="left"/>
        <w:rPr>
          <w:rFonts w:hint="eastAsia"/>
          <w:color w:val="000000"/>
          <w:spacing w:val="0"/>
          <w:w w:val="100"/>
          <w:position w:val="0"/>
        </w:rPr>
      </w:pP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3460" w:firstLine="0"/>
        <w:jc w:val="left"/>
        <w:rPr>
          <w:rFonts w:hint="eastAsia"/>
          <w:color w:val="000000"/>
          <w:spacing w:val="0"/>
          <w:w w:val="100"/>
          <w:position w:val="0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费用标准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■学费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350万韩币/学期（约2万人民币）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■住宿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两人间，约7000人民币/学期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■伙食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13-18元/餐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国内学习院校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■北京文理研修学院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国内收费标准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■韩语培训费∶15800元/期（4个月）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住宿费∶3200元/期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申请服务费∶50000元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申请服务费包含∶国际生管理费、入学资料的创作/翻译/指导/公证/认证、报名申请服务、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入学面试处理、入学资料的文案指导、留学签证下达及代办、协助学生后期升学、中留服学位认证指导。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报到地址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■北京市昌平区东关路10号学知楼。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/>
          <w:color w:val="2C3665"/>
          <w:spacing w:val="0"/>
          <w:w w:val="100"/>
          <w:position w:val="0"/>
          <w:lang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/>
          <w:b/>
          <w:bCs/>
          <w:color w:val="2C3665"/>
          <w:spacing w:val="0"/>
          <w:w w:val="100"/>
          <w:position w:val="0"/>
          <w:lang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color w:val="2C3665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2C3665"/>
          <w:spacing w:val="0"/>
          <w:w w:val="100"/>
          <w:position w:val="0"/>
          <w:sz w:val="24"/>
          <w:szCs w:val="24"/>
          <w:lang w:eastAsia="zh-CN"/>
        </w:rPr>
        <w:t>韩国留学优势</w:t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bookmarkStart w:id="6" w:name="bookmark33"/>
      <w:bookmarkStart w:id="7" w:name="bookmark35"/>
      <w:bookmarkStart w:id="8" w:name="bookmark34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u w:val="single"/>
        </w:rPr>
        <w:t>地理优势及文化因素</w:t>
      </w:r>
      <w:bookmarkEnd w:id="6"/>
      <w:bookmarkEnd w:id="7"/>
      <w:bookmarkEnd w:id="8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中韩两国文化相近，同根同源，同为儒家文化圈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地理相近，2小时空中航程，同属于东北亚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韩流、韩范、无论是在生活还是教育上, 皆影响巨大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</w:pP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" w:name="bookmark36"/>
      <w:bookmarkStart w:id="10" w:name="bookmark37"/>
      <w:bookmarkStart w:id="11" w:name="bookmark38"/>
      <w:r>
        <w:rPr>
          <w:color w:val="000000"/>
          <w:spacing w:val="0"/>
          <w:w w:val="100"/>
          <w:position w:val="0"/>
          <w:u w:val="single"/>
        </w:rPr>
        <w:t>经济实力</w:t>
      </w:r>
      <w:bookmarkEnd w:id="9"/>
      <w:bookmarkEnd w:id="10"/>
      <w:bookmarkEnd w:id="11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亚洲四小龙之一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亚洲经济体重要成员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世界第十一大经济体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数十家企业入围世界500强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在中国有数万家韩企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电子、经济、汽车、造船、IT、网游等名列世界前列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</w:pP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41"/>
      <w:bookmarkStart w:id="13" w:name="bookmark39"/>
      <w:bookmarkStart w:id="14" w:name="bookmark40"/>
      <w:r>
        <w:rPr>
          <w:color w:val="000000"/>
          <w:spacing w:val="0"/>
          <w:w w:val="100"/>
          <w:position w:val="0"/>
          <w:u w:val="single"/>
        </w:rPr>
        <w:t>经济成本低廉</w:t>
      </w:r>
      <w:bookmarkEnd w:id="12"/>
      <w:bookmarkEnd w:id="13"/>
      <w:bookmarkEnd w:id="14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学费经济实惠</w:t>
      </w:r>
      <w:r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（4-8</w:t>
      </w:r>
      <w:r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万人民币/年，含生活费）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外国学生享受奖学金（本科一般享受30%-70%左右奖学金，硕士40-100%）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交通费用便宜，空中和海上航线多（每周近1000个航班连接国内主要大中城市， 国际游轮也较多）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.打工机会多，起薪高，兼职薪水约</w:t>
      </w:r>
      <w:r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8000-10000</w:t>
      </w:r>
      <w:r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人民币每月（每周20个小时合法打工）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5" w:name="bookmark44"/>
      <w:bookmarkStart w:id="16" w:name="bookmark42"/>
      <w:bookmarkStart w:id="17" w:name="bookmark43"/>
      <w:r>
        <w:rPr>
          <w:color w:val="000000"/>
          <w:spacing w:val="0"/>
          <w:w w:val="100"/>
          <w:position w:val="0"/>
          <w:u w:val="single"/>
        </w:rPr>
        <w:t>国际化程度高</w:t>
      </w:r>
      <w:bookmarkEnd w:id="15"/>
      <w:bookmarkEnd w:id="16"/>
      <w:bookmarkEnd w:id="17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•教育理念国际化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•师资国际化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•教材国际化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•与欧美等国家交换生项目最多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u w:val="single"/>
        </w:rPr>
      </w:pPr>
      <w:bookmarkStart w:id="18" w:name="bookmark45"/>
      <w:bookmarkStart w:id="19" w:name="bookmark47"/>
      <w:bookmarkStart w:id="20" w:name="bookmark46"/>
      <w:r>
        <w:rPr>
          <w:color w:val="000000"/>
          <w:spacing w:val="0"/>
          <w:w w:val="100"/>
          <w:position w:val="0"/>
          <w:u w:val="single"/>
        </w:rPr>
        <w:t>教育质量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>高</w:t>
      </w:r>
      <w:r>
        <w:rPr>
          <w:color w:val="000000"/>
          <w:spacing w:val="0"/>
          <w:w w:val="100"/>
          <w:position w:val="0"/>
          <w:u w:val="single"/>
        </w:rPr>
        <w:t>，名校多</w:t>
      </w:r>
      <w:bookmarkEnd w:id="18"/>
      <w:bookmarkEnd w:id="19"/>
      <w:bookmarkEnd w:id="20"/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u w:val="none"/>
        </w:rPr>
        <w:t>•完全美式教育体系，2020年QS世界 500强院校，韩国占近2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u w:val="none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u w:val="none"/>
        </w:rPr>
        <w:t>所</w:t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u w:val="none"/>
        </w:rPr>
        <w:t>•师资素质高：高校教师全部博士以上, 大部分在欧美取得博士学位</w:t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u w:val="none"/>
        </w:rPr>
        <w:t>•IT、物流、电子、高铁、网游、动画、 设计、美容、汽车、建筑专业水平高</w:t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u w:val="none"/>
        </w:rPr>
        <w:t>•文凭获得全世界认可</w:t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u w:val="none"/>
        </w:rPr>
      </w:pP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1380" w:right="0" w:firstLine="0"/>
        <w:jc w:val="left"/>
        <w:sectPr>
          <w:footnotePr>
            <w:numFmt w:val="decimal"/>
          </w:footnotePr>
          <w:type w:val="continuous"/>
          <w:pgSz w:w="11900" w:h="16840"/>
          <w:pgMar w:top="2379" w:right="1334" w:bottom="845" w:left="909" w:header="1951" w:footer="417" w:gutter="0"/>
          <w:cols w:space="720" w:num="1"/>
          <w:rtlGutter w:val="0"/>
          <w:docGrid w:linePitch="360" w:charSpace="0"/>
        </w:sectPr>
      </w:pPr>
      <w:bookmarkStart w:id="21" w:name="bookmark49"/>
      <w:bookmarkStart w:id="22" w:name="bookmark50"/>
      <w:bookmarkStart w:id="23" w:name="bookmark48"/>
      <w:r>
        <w:rPr>
          <w:color w:val="000000"/>
          <w:spacing w:val="0"/>
          <w:w w:val="100"/>
          <w:position w:val="0"/>
        </w:rPr>
        <w:t>学历认证</w:t>
      </w:r>
      <w:bookmarkEnd w:id="21"/>
      <w:bookmarkEnd w:id="22"/>
      <w:bookmarkEnd w:id="23"/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u w:val="none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u w:val="none"/>
          <w:lang w:eastAsia="zh-CN"/>
        </w:rPr>
        <w:drawing>
          <wp:inline distT="0" distB="0" distL="114300" distR="114300">
            <wp:extent cx="4513580" cy="2058035"/>
            <wp:effectExtent l="0" t="0" r="1270" b="18415"/>
            <wp:docPr id="23" name="图片 23" descr="1666581368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66658136828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358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u w:val="no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韩国信韩大学地址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校园1-【11644】京畿道义市市Hoam-ro 95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校园2-【11340】韩国京畿道东豆川市Bulmadeul40beon-gil30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官方网站∶http∶//www.shinhan.ac.kr</w:t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u w:val="none"/>
          <w:lang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bookmarkStart w:id="24" w:name="_GoBack"/>
      <w:bookmarkEnd w:id="24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/>
          <w:color w:val="2C3665"/>
          <w:spacing w:val="0"/>
          <w:w w:val="100"/>
          <w:position w:val="0"/>
          <w:lang w:eastAsia="zh-CN"/>
        </w:rPr>
      </w:pPr>
    </w:p>
    <w:sectPr>
      <w:footnotePr>
        <w:numFmt w:val="decimal"/>
      </w:footnotePr>
      <w:type w:val="continuous"/>
      <w:pgSz w:w="11900" w:h="16840"/>
      <w:pgMar w:top="2379" w:right="3170" w:bottom="845" w:left="1618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itka Display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egoe UI Variable Tex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Segoe UI Variable Small 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itka Small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Subheading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31B230AD"/>
    <w:rsid w:val="31B230AD"/>
    <w:rsid w:val="6F6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icture caption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after="24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after="240"/>
      <w:outlineLvl w:val="0"/>
    </w:pPr>
    <w:rPr>
      <w:sz w:val="26"/>
      <w:szCs w:val="26"/>
      <w:u w:val="none"/>
      <w:shd w:val="clear" w:color="auto" w:fill="auto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after="24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qFormat/>
    <w:uiPriority w:val="0"/>
    <w:pPr>
      <w:widowControl w:val="0"/>
      <w:shd w:val="clear" w:color="auto" w:fill="auto"/>
      <w:outlineLvl w:val="1"/>
    </w:pPr>
    <w:rPr>
      <w:rFonts w:ascii="宋体" w:hAnsi="宋体" w:eastAsia="宋体" w:cs="宋体"/>
      <w:sz w:val="32"/>
      <w:szCs w:val="32"/>
      <w:u w:val="none"/>
      <w:shd w:val="clear" w:color="auto" w:fill="FFFFFF"/>
      <w:lang w:val="zh-TW" w:eastAsia="zh-TW" w:bidi="zh-TW"/>
    </w:rPr>
  </w:style>
  <w:style w:type="paragraph" w:customStyle="1" w:styleId="11">
    <w:name w:val="Body text|2"/>
    <w:basedOn w:val="1"/>
    <w:qFormat/>
    <w:uiPriority w:val="0"/>
    <w:pPr>
      <w:widowControl w:val="0"/>
      <w:shd w:val="clear" w:color="auto" w:fill="auto"/>
      <w:spacing w:after="40"/>
    </w:pPr>
    <w:rPr>
      <w:b/>
      <w:bCs/>
      <w:color w:val="626467"/>
      <w:sz w:val="9"/>
      <w:szCs w:val="9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2022-10-24T03:04:00Z</dcterms:created>
  <dc:creator>冰冰⊙▽⊙＊</dc:creator>
  <cp:lastModifiedBy>冰冰⊙▽⊙＊</cp:lastModifiedBy>
  <dcterms:modified xsi:type="dcterms:W3CDTF">2022-10-24T03:33:42Z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DBC3591EA9EC4D29AFE78FEAAE535E84</vt:lpwstr>
  </property>
</Properties>
</file>