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b/>
          <w:color w:val="FF0000"/>
          <w:sz w:val="36"/>
          <w:szCs w:val="36"/>
        </w:rPr>
      </w:pPr>
      <w:r>
        <w:rPr>
          <w:rFonts w:hint="eastAsia" w:ascii="宋体" w:hAnsi="宋体" w:eastAsia="宋体"/>
          <w:b/>
          <w:color w:val="FF0000"/>
          <w:sz w:val="36"/>
          <w:szCs w:val="36"/>
        </w:rPr>
        <w:t>菲律宾女子大学音乐博士民族音乐招生简章</w:t>
      </w:r>
    </w:p>
    <w:p>
      <w:pPr>
        <w:rPr>
          <w:rFonts w:ascii="宋体" w:hAnsi="宋体" w:eastAsia="宋体"/>
          <w:b/>
          <w:color w:val="4E2CAE"/>
          <w:sz w:val="28"/>
          <w:szCs w:val="28"/>
        </w:rPr>
      </w:pPr>
      <w:r>
        <w:rPr>
          <w:rFonts w:hint="eastAsia" w:ascii="宋体" w:hAnsi="宋体" w:eastAsia="宋体"/>
          <w:b/>
          <w:color w:val="4E2CAE"/>
          <w:sz w:val="28"/>
          <w:szCs w:val="28"/>
        </w:rPr>
        <w:t>【学校简介】</w:t>
      </w:r>
    </w:p>
    <w:p>
      <w:pPr>
        <w:spacing w:line="500" w:lineRule="exact"/>
        <w:rPr>
          <w:rFonts w:asciiTheme="minorEastAsia" w:hAnsiTheme="minorEastAsia"/>
          <w:sz w:val="24"/>
          <w:szCs w:val="24"/>
        </w:rPr>
      </w:pPr>
      <w:r>
        <w:rPr>
          <w:rFonts w:hint="eastAsia" w:asciiTheme="minorEastAsia" w:hAnsiTheme="minorEastAsia"/>
          <w:sz w:val="24"/>
          <w:szCs w:val="24"/>
        </w:rPr>
        <w:t>该校是一群有远见的菲律宾女士们在</w:t>
      </w:r>
      <w:r>
        <w:rPr>
          <w:rFonts w:asciiTheme="minorEastAsia" w:hAnsiTheme="minorEastAsia"/>
          <w:sz w:val="24"/>
          <w:szCs w:val="24"/>
        </w:rPr>
        <w:t>1919年建立，是一所非宗教性质的大学。以培养学生的领导能力和服务能力，在建校13后的1932年菲律宾女子学院正式被政府承认，更名为菲律宾女子大学（The Philippine Women’s University ）。在1933-1938期间，PWU拥有数门精品学科，该校拥有一流的教学质量，社会道德培训，和文化底蕴。二战后PWU在全国其他城市设立分校领域扩展到南部。PWU是菲律宾大学和学院协会，菲律宾教育机构评价学会，评价委员会，国际综合学会，和国际校长学会的一员。</w:t>
      </w:r>
    </w:p>
    <w:p>
      <w:pPr>
        <w:spacing w:line="500" w:lineRule="exact"/>
        <w:rPr>
          <w:rFonts w:asciiTheme="minorEastAsia" w:hAnsiTheme="minorEastAsia"/>
          <w:sz w:val="24"/>
          <w:szCs w:val="24"/>
        </w:rPr>
      </w:pPr>
      <w:r>
        <w:rPr>
          <w:rFonts w:hint="eastAsia" w:asciiTheme="minorEastAsia" w:hAnsiTheme="minorEastAsia"/>
          <w:sz w:val="24"/>
          <w:szCs w:val="24"/>
        </w:rPr>
        <w:t>目前学校对于男女生同时招生，在马尼拉，亏松，卡丽瑞亚，达沃各个校区开设，从托儿所，到博士的课程，作为大学，</w:t>
      </w:r>
      <w:r>
        <w:rPr>
          <w:rFonts w:asciiTheme="minorEastAsia" w:hAnsiTheme="minorEastAsia"/>
          <w:sz w:val="24"/>
          <w:szCs w:val="24"/>
        </w:rPr>
        <w:t>PWU开始延伸教学领域，如社会公民培训、PWU在菲律宾其他地方扩大教学，特别是前菲律宾女子学院（iloilo），菲律宾女子学院（davao），同时也延伸到菲律宾南部地区。迄今为止菲律宾女子大学 仍旧继续它的倡导创新性的先驱地位，并在资源不确定和缺乏的情况下充满着热情和精力达到在全球中引起不同凡响的理想。该校在新世纪的目标为建立高质量的教育、科学和技术综合大学，通过对学生的全面系统教育，使学生珍惜文化遗产</w:t>
      </w:r>
      <w:r>
        <w:rPr>
          <w:rFonts w:hint="eastAsia" w:asciiTheme="minorEastAsia" w:hAnsiTheme="minorEastAsia"/>
          <w:sz w:val="24"/>
          <w:szCs w:val="24"/>
        </w:rPr>
        <w:t>并懂得个人正直、家庭团结、社会合作和所选领域中的领导能力的重要性，成为一位对社会有用的人。</w:t>
      </w:r>
    </w:p>
    <w:p>
      <w:pPr>
        <w:rPr>
          <w:rFonts w:ascii="宋体" w:hAnsi="宋体" w:eastAsia="宋体"/>
          <w:b/>
          <w:color w:val="4E2CAE"/>
          <w:sz w:val="28"/>
          <w:szCs w:val="28"/>
        </w:rPr>
      </w:pPr>
    </w:p>
    <w:p>
      <w:pPr>
        <w:rPr>
          <w:rFonts w:ascii="宋体" w:hAnsi="宋体" w:eastAsia="宋体"/>
          <w:b/>
          <w:color w:val="4E2CAE"/>
          <w:sz w:val="28"/>
          <w:szCs w:val="28"/>
        </w:rPr>
      </w:pPr>
      <w:r>
        <w:rPr>
          <w:rFonts w:hint="eastAsia" w:ascii="宋体" w:hAnsi="宋体" w:eastAsia="宋体"/>
          <w:b/>
          <w:color w:val="4E2CAE"/>
          <w:sz w:val="28"/>
          <w:szCs w:val="28"/>
        </w:rPr>
        <w:t>【项目优势】</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美式教育: </w:t>
      </w:r>
      <w:r>
        <w:rPr>
          <w:rFonts w:hint="eastAsia" w:asciiTheme="minorEastAsia" w:hAnsiTheme="minorEastAsia" w:eastAsiaTheme="minorEastAsia"/>
          <w:color w:val="333333"/>
        </w:rPr>
        <w:t>其高等教育在亚洲处于领先地位，参与性强，可以充分发挥学生的自主学习能力;</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英语环境：</w:t>
      </w:r>
      <w:r>
        <w:rPr>
          <w:rFonts w:hint="eastAsia" w:asciiTheme="minorEastAsia" w:hAnsiTheme="minorEastAsia" w:eastAsiaTheme="minorEastAsia"/>
          <w:color w:val="333333"/>
        </w:rPr>
        <w:t>菲律宾是世界第三大英语国家，在英语语言学习上有着良好的语言环境和特色的教学方式；</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环境优美：</w:t>
      </w:r>
      <w:r>
        <w:rPr>
          <w:rFonts w:hint="eastAsia" w:asciiTheme="minorEastAsia" w:hAnsiTheme="minorEastAsia" w:eastAsiaTheme="minorEastAsia"/>
          <w:color w:val="333333"/>
        </w:rPr>
        <w:t>菲律宾由七千多个岛屿组成，蓝海、沙滩随处可见，长滩岛、海豚湾等举世闻名，是世界著名的旅游国家。学校位于菲律宾首都马尼拉大都会区域，风景优美、气候凉爽，年均气温26℃，当地物价相对便宜，学习度假两相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轻松入学：</w:t>
      </w:r>
      <w:r>
        <w:rPr>
          <w:rFonts w:hint="eastAsia" w:asciiTheme="minorEastAsia" w:hAnsiTheme="minorEastAsia" w:eastAsiaTheme="minorEastAsia"/>
          <w:color w:val="333333"/>
        </w:rPr>
        <w:t>无需雅思或托福成绩，仅需最高学历证书和成绩证明，免试入学。免经济担保，手续办理快捷，与中国要求工作经验不同，应往届硕士毕业生都可直接攻读博士学位；应往届本科毕业生都可直接攻读硕士学位；</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费用低廉：</w:t>
      </w:r>
      <w:r>
        <w:rPr>
          <w:rFonts w:hint="eastAsia" w:asciiTheme="minorEastAsia" w:hAnsiTheme="minorEastAsia" w:eastAsiaTheme="minorEastAsia"/>
          <w:color w:val="333333"/>
        </w:rPr>
        <w:t>学费及生活费仅相当于美国、加拿大、英国的10%；</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交通便利：</w:t>
      </w:r>
      <w:r>
        <w:rPr>
          <w:rFonts w:hint="eastAsia" w:asciiTheme="minorEastAsia" w:hAnsiTheme="minorEastAsia" w:eastAsiaTheme="minorEastAsia"/>
          <w:color w:val="333333"/>
        </w:rPr>
        <w:t>菲律宾交通便利，马尼拉与中国的北京、上海、 广州、厦门、深圳、港澳等都有直飞航班，飞行时间仅2-4小时，手续便捷、成本低廉；</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超短学制：</w:t>
      </w:r>
      <w:r>
        <w:rPr>
          <w:rFonts w:hint="eastAsia" w:asciiTheme="minorEastAsia" w:hAnsiTheme="minorEastAsia" w:eastAsiaTheme="minorEastAsia"/>
          <w:color w:val="333333"/>
        </w:rPr>
        <w:t>学习2-3年取得博士学位，在菲累计呆满一年，学位可直接获得中国教育部学历认证，解决职称和晋升问题，享受海归政策，购车创业免税，落户北京、上海等大城市。</w:t>
      </w:r>
      <w:r>
        <w:rPr>
          <w:rStyle w:val="9"/>
          <w:rFonts w:hint="eastAsia" w:asciiTheme="minorEastAsia" w:hAnsiTheme="minorEastAsia" w:eastAsiaTheme="minorEastAsia"/>
          <w:b w:val="0"/>
          <w:color w:val="333333"/>
        </w:rPr>
        <w:t>亚洲名校：</w:t>
      </w:r>
      <w:r>
        <w:rPr>
          <w:rFonts w:hint="eastAsia"/>
        </w:rPr>
        <w:t>女子大学</w:t>
      </w:r>
      <w:r>
        <w:rPr>
          <w:rFonts w:hint="eastAsia" w:asciiTheme="minorEastAsia" w:hAnsiTheme="minorEastAsia" w:eastAsiaTheme="minorEastAsia"/>
          <w:color w:val="333333"/>
        </w:rPr>
        <w:t>是菲律宾最知名的高等学府之一；</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正规留学：</w:t>
      </w:r>
      <w:r>
        <w:rPr>
          <w:rFonts w:hint="eastAsia" w:asciiTheme="minorEastAsia" w:hAnsiTheme="minorEastAsia" w:eastAsiaTheme="minorEastAsia"/>
          <w:color w:val="333333"/>
        </w:rPr>
        <w:t>全日制注册，正式海外留学生身份，在中国驻菲律宾大使馆办理留学生备案；真正一步到位留学，没有任何中间环节；</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最大特色：</w:t>
      </w:r>
      <w:r>
        <w:rPr>
          <w:rFonts w:hint="eastAsia" w:asciiTheme="minorEastAsia" w:hAnsiTheme="minorEastAsia" w:eastAsiaTheme="minorEastAsia"/>
          <w:color w:val="333333"/>
        </w:rPr>
        <w:t>配置专职班主任全程跟踪服务，包括注册、学习、住宿、论文和答辩等等事务，为学员获得学位提供切实保障；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文凭认可：</w:t>
      </w:r>
      <w:r>
        <w:rPr>
          <w:rFonts w:hint="eastAsia" w:asciiTheme="minorEastAsia" w:hAnsiTheme="minorEastAsia" w:eastAsiaTheme="minorEastAsia"/>
          <w:color w:val="333333"/>
        </w:rPr>
        <w:t>继承欧美教育体系，学位通行于欧美等发达国家；2009年我国与菲律宾政府签署了高等教育文凭互认协议，中菲两国学历互认，高等教育文凭可获得中国教育部认证通过，享受海归落户、创业等优惠政策，同时也为职称评定创造了有利条件；</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海归待遇：</w:t>
      </w:r>
      <w:r>
        <w:rPr>
          <w:rFonts w:hint="eastAsia" w:asciiTheme="minorEastAsia" w:hAnsiTheme="minorEastAsia" w:eastAsiaTheme="minorEastAsia"/>
          <w:color w:val="333333"/>
        </w:rPr>
        <w:t>为落户北京上海提供了基本条件、购买减免车价20%左右的免税车、创业免税和房租、并可申请政府资金支持，优先购买政策房等政策。</w:t>
      </w:r>
    </w:p>
    <w:p>
      <w:pPr>
        <w:rPr>
          <w:rFonts w:ascii="微软雅黑" w:hAnsi="微软雅黑" w:eastAsia="微软雅黑"/>
        </w:rPr>
      </w:pPr>
      <w:r>
        <w:rPr>
          <w:rFonts w:hint="eastAsia" w:ascii="宋体" w:hAnsi="宋体" w:eastAsia="宋体"/>
          <w:b/>
          <w:color w:val="4E2CAE"/>
          <w:sz w:val="28"/>
          <w:szCs w:val="28"/>
        </w:rPr>
        <w:t>【申请条件】</w:t>
      </w:r>
      <w:r>
        <w:rPr>
          <w:rFonts w:ascii="宋体" w:hAnsi="宋体" w:eastAsia="宋体"/>
          <w:b/>
          <w:color w:val="4E2CAE"/>
          <w:sz w:val="28"/>
          <w:szCs w:val="28"/>
        </w:rPr>
        <w:t xml:space="preserve">    </w:t>
      </w:r>
      <w:r>
        <w:rPr>
          <w:rFonts w:ascii="微软雅黑" w:hAnsi="微软雅黑" w:eastAsia="微软雅黑"/>
        </w:rPr>
        <w:t xml:space="preserve">  </w:t>
      </w:r>
    </w:p>
    <w:tbl>
      <w:tblPr>
        <w:tblStyle w:val="6"/>
        <w:tblW w:w="8214" w:type="dxa"/>
        <w:tblInd w:w="0" w:type="dxa"/>
        <w:tblLayout w:type="fixed"/>
        <w:tblCellMar>
          <w:top w:w="0" w:type="dxa"/>
          <w:left w:w="0" w:type="dxa"/>
          <w:bottom w:w="0" w:type="dxa"/>
          <w:right w:w="0" w:type="dxa"/>
        </w:tblCellMar>
      </w:tblPr>
      <w:tblGrid>
        <w:gridCol w:w="1268"/>
        <w:gridCol w:w="1222"/>
        <w:gridCol w:w="930"/>
        <w:gridCol w:w="1392"/>
        <w:gridCol w:w="1276"/>
        <w:gridCol w:w="2126"/>
      </w:tblGrid>
      <w:tr>
        <w:tblPrEx>
          <w:tblCellMar>
            <w:top w:w="0" w:type="dxa"/>
            <w:left w:w="0" w:type="dxa"/>
            <w:bottom w:w="0" w:type="dxa"/>
            <w:right w:w="0" w:type="dxa"/>
          </w:tblCellMar>
        </w:tblPrEx>
        <w:trPr>
          <w:trHeight w:val="553" w:hRule="atLeast"/>
        </w:trPr>
        <w:tc>
          <w:tcPr>
            <w:tcW w:w="126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项目名称</w:t>
            </w:r>
          </w:p>
        </w:tc>
        <w:tc>
          <w:tcPr>
            <w:tcW w:w="122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学习形式</w:t>
            </w:r>
          </w:p>
        </w:tc>
        <w:tc>
          <w:tcPr>
            <w:tcW w:w="9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人数</w:t>
            </w:r>
          </w:p>
        </w:tc>
        <w:tc>
          <w:tcPr>
            <w:tcW w:w="139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学历要求</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语言要求</w:t>
            </w:r>
          </w:p>
        </w:tc>
        <w:tc>
          <w:tcPr>
            <w:tcW w:w="212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学习时间</w:t>
            </w:r>
          </w:p>
        </w:tc>
      </w:tr>
      <w:tr>
        <w:tblPrEx>
          <w:tblCellMar>
            <w:top w:w="0" w:type="dxa"/>
            <w:left w:w="0" w:type="dxa"/>
            <w:bottom w:w="0" w:type="dxa"/>
            <w:right w:w="0" w:type="dxa"/>
          </w:tblCellMar>
        </w:tblPrEx>
        <w:tc>
          <w:tcPr>
            <w:tcW w:w="12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keepNext/>
              <w:widowControl/>
              <w:ind w:firstLine="240" w:firstLineChars="1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博士</w:t>
            </w:r>
          </w:p>
        </w:tc>
        <w:tc>
          <w:tcPr>
            <w:tcW w:w="122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在职（全日制注册）</w:t>
            </w:r>
          </w:p>
        </w:tc>
        <w:tc>
          <w:tcPr>
            <w:tcW w:w="9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15人</w:t>
            </w:r>
          </w:p>
        </w:tc>
        <w:tc>
          <w:tcPr>
            <w:tcW w:w="13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具有硕士学位或同等学历</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无雅思、托福要求</w:t>
            </w:r>
          </w:p>
        </w:tc>
        <w:tc>
          <w:tcPr>
            <w:tcW w:w="212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学制2年内累计出入境学习时间6个月</w:t>
            </w:r>
          </w:p>
        </w:tc>
      </w:tr>
    </w:tbl>
    <w:p>
      <w:pPr>
        <w:spacing w:beforeLines="50" w:afterLines="50" w:line="360" w:lineRule="auto"/>
        <w:ind w:firstLine="480" w:firstLineChars="200"/>
        <w:jc w:val="center"/>
        <w:rPr>
          <w:rFonts w:ascii="宋体" w:hAnsi="宋体" w:eastAsia="宋体"/>
          <w:sz w:val="24"/>
          <w:szCs w:val="24"/>
        </w:rPr>
      </w:pPr>
      <w:r>
        <w:rPr>
          <w:rFonts w:hint="eastAsia" w:ascii="宋体" w:hAnsi="宋体" w:eastAsia="宋体"/>
          <w:sz w:val="24"/>
          <w:szCs w:val="24"/>
        </w:rPr>
        <w:t>硕士未撰写论文者，需补修论文写作课程六学分</w:t>
      </w:r>
    </w:p>
    <w:p>
      <w:pPr>
        <w:rPr>
          <w:rFonts w:ascii="宋体" w:hAnsi="宋体" w:eastAsia="宋体"/>
          <w:b/>
          <w:color w:val="4E2CAE"/>
          <w:sz w:val="28"/>
          <w:szCs w:val="28"/>
        </w:rPr>
      </w:pPr>
      <w:r>
        <w:rPr>
          <w:rFonts w:hint="eastAsia" w:ascii="宋体" w:hAnsi="宋体" w:eastAsia="宋体"/>
          <w:b/>
          <w:color w:val="4E2CAE"/>
          <w:sz w:val="28"/>
          <w:szCs w:val="28"/>
        </w:rPr>
        <w:t>【专业设置】</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67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中文名称</w:t>
            </w:r>
          </w:p>
        </w:tc>
        <w:tc>
          <w:tcPr>
            <w:tcW w:w="567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英文名称</w:t>
            </w:r>
          </w:p>
        </w:tc>
        <w:tc>
          <w:tcPr>
            <w:tcW w:w="93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color w:val="000000" w:themeColor="text1"/>
                <w:kern w:val="0"/>
                <w:sz w:val="24"/>
                <w:szCs w:val="24"/>
              </w:rPr>
              <w:t>音乐博士民族音乐</w:t>
            </w:r>
          </w:p>
        </w:tc>
        <w:tc>
          <w:tcPr>
            <w:tcW w:w="5670" w:type="dxa"/>
          </w:tcPr>
          <w:p>
            <w:pPr>
              <w:widowControl/>
              <w:spacing w:line="375" w:lineRule="atLeast"/>
              <w:rPr>
                <w:rFonts w:ascii="微软雅黑" w:hAnsi="微软雅黑" w:eastAsia="微软雅黑" w:cs="宋体"/>
                <w:bCs/>
                <w:color w:val="000000" w:themeColor="text1"/>
                <w:kern w:val="0"/>
                <w:sz w:val="24"/>
                <w:szCs w:val="24"/>
              </w:rPr>
            </w:pPr>
            <w:r>
              <w:rPr>
                <w:rFonts w:ascii="微软雅黑" w:hAnsi="微软雅黑" w:eastAsia="微软雅黑" w:cs="宋体"/>
                <w:bCs/>
                <w:color w:val="000000" w:themeColor="text1"/>
                <w:kern w:val="0"/>
                <w:sz w:val="24"/>
                <w:szCs w:val="24"/>
              </w:rPr>
              <w:t>Doctor of Philosophy (Ph.D.) in Music major in</w:t>
            </w:r>
          </w:p>
          <w:p>
            <w:pPr>
              <w:widowControl/>
              <w:spacing w:line="375" w:lineRule="atLeast"/>
              <w:rPr>
                <w:rFonts w:ascii="微软雅黑" w:hAnsi="微软雅黑" w:eastAsia="微软雅黑" w:cs="宋体"/>
                <w:bCs/>
                <w:color w:val="000000" w:themeColor="text1"/>
                <w:kern w:val="0"/>
                <w:sz w:val="24"/>
                <w:szCs w:val="24"/>
              </w:rPr>
            </w:pPr>
            <w:r>
              <w:rPr>
                <w:rFonts w:ascii="微软雅黑" w:hAnsi="微软雅黑" w:eastAsia="微软雅黑" w:cs="宋体"/>
                <w:bCs/>
                <w:color w:val="000000" w:themeColor="text1"/>
                <w:kern w:val="0"/>
                <w:sz w:val="24"/>
                <w:szCs w:val="24"/>
              </w:rPr>
              <w:t>Ethnomusicology</w:t>
            </w:r>
          </w:p>
        </w:tc>
        <w:tc>
          <w:tcPr>
            <w:tcW w:w="9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60</w:t>
            </w:r>
          </w:p>
        </w:tc>
      </w:tr>
    </w:tbl>
    <w:p>
      <w:pPr>
        <w:spacing w:beforeLines="50" w:afterLines="50" w:line="360" w:lineRule="auto"/>
        <w:rPr>
          <w:rFonts w:ascii="宋体" w:hAnsi="宋体" w:eastAsia="宋体"/>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【授课方式】</w:t>
      </w:r>
    </w:p>
    <w:p>
      <w:pPr>
        <w:widowControl/>
        <w:spacing w:line="300" w:lineRule="exact"/>
        <w:jc w:val="left"/>
        <w:rPr>
          <w:rFonts w:cs="Arial" w:asciiTheme="minorEastAsia" w:hAnsiTheme="minorEastAsia"/>
          <w:color w:val="191919"/>
          <w:sz w:val="24"/>
          <w:szCs w:val="24"/>
          <w:shd w:val="clear" w:color="auto" w:fill="FFFFFF"/>
        </w:rPr>
      </w:pPr>
      <w:r>
        <w:rPr>
          <w:rFonts w:cs="Arial" w:asciiTheme="minorEastAsia" w:hAnsiTheme="minorEastAsia"/>
          <w:color w:val="191919"/>
          <w:sz w:val="24"/>
          <w:szCs w:val="24"/>
          <w:shd w:val="clear" w:color="auto" w:fill="FFFFFF"/>
        </w:rPr>
        <w:t>全部课程学习均在菲律宾完成，</w:t>
      </w:r>
      <w:r>
        <w:rPr>
          <w:rStyle w:val="9"/>
          <w:rFonts w:cs="Arial" w:asciiTheme="minorEastAsia" w:hAnsiTheme="minorEastAsia"/>
          <w:color w:val="191919"/>
          <w:sz w:val="24"/>
          <w:szCs w:val="24"/>
          <w:shd w:val="clear" w:color="auto" w:fill="FFFFFF"/>
        </w:rPr>
        <w:t>疫情期间为网络授课</w:t>
      </w:r>
      <w:r>
        <w:rPr>
          <w:rFonts w:cs="Arial" w:asciiTheme="minorEastAsia" w:hAnsiTheme="minorEastAsia"/>
          <w:color w:val="191919"/>
          <w:sz w:val="24"/>
          <w:szCs w:val="24"/>
          <w:shd w:val="clear" w:color="auto" w:fill="FFFFFF"/>
        </w:rPr>
        <w:t>。</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采用集中授课，一年两次，每次</w:t>
      </w:r>
      <w:r>
        <w:rPr>
          <w:rFonts w:hint="eastAsia" w:asciiTheme="minorEastAsia" w:hAnsiTheme="minorEastAsia" w:eastAsiaTheme="minorEastAsia"/>
          <w:color w:val="121212"/>
        </w:rPr>
        <w:t>2个月左右授课时间；</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每学期四门课</w:t>
      </w:r>
      <w:r>
        <w:rPr>
          <w:rFonts w:hint="eastAsia" w:asciiTheme="minorEastAsia" w:hAnsiTheme="minorEastAsia" w:eastAsiaTheme="minorEastAsia"/>
          <w:color w:val="121212"/>
        </w:rPr>
        <w:t>12个学分，博士每门课54个学时；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专班授课及论文答辩时提供中文翻译辅助；</w:t>
      </w:r>
    </w:p>
    <w:p>
      <w:pPr>
        <w:rPr>
          <w:rFonts w:ascii="宋体" w:hAnsi="宋体" w:eastAsia="宋体"/>
          <w:b/>
          <w:color w:val="4E2CAE"/>
          <w:sz w:val="28"/>
          <w:szCs w:val="28"/>
        </w:rPr>
      </w:pPr>
      <w:r>
        <w:rPr>
          <w:rFonts w:hint="eastAsia" w:ascii="宋体" w:hAnsi="宋体" w:eastAsia="宋体"/>
          <w:b/>
          <w:color w:val="4E2CAE"/>
          <w:sz w:val="28"/>
          <w:szCs w:val="28"/>
        </w:rPr>
        <w:t>【毕业条件】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修完规定学分，</w:t>
      </w:r>
      <w:r>
        <w:rPr>
          <w:rFonts w:hint="eastAsia" w:asciiTheme="minorEastAsia" w:hAnsiTheme="minorEastAsia" w:eastAsiaTheme="minorEastAsia"/>
          <w:color w:val="121212"/>
        </w:rPr>
        <w:t>博士60学分；</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论文写作并通过公开答辩，英文不好的同学可用中文写作，然后翻译成英文，公开答辩现场有</w:t>
      </w:r>
      <w:r>
        <w:rPr>
          <w:rFonts w:hint="eastAsia" w:asciiTheme="minorEastAsia" w:hAnsiTheme="minorEastAsia" w:eastAsiaTheme="minorEastAsia"/>
          <w:color w:val="121212"/>
        </w:rPr>
        <w:t>5位导师，3:2通过；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学校鼓励学生发表</w:t>
      </w:r>
      <w:r>
        <w:rPr>
          <w:rFonts w:hint="eastAsia" w:asciiTheme="minorEastAsia" w:hAnsiTheme="minorEastAsia" w:eastAsiaTheme="minorEastAsia"/>
          <w:color w:val="121212"/>
        </w:rPr>
        <w:t>1-2篇论文；</w:t>
      </w:r>
    </w:p>
    <w:p>
      <w:pPr>
        <w:widowControl/>
        <w:spacing w:line="375" w:lineRule="atLeast"/>
        <w:jc w:val="left"/>
        <w:rPr>
          <w:rFonts w:ascii="微软雅黑" w:hAnsi="微软雅黑" w:eastAsia="微软雅黑" w:cs="宋体"/>
          <w:b/>
          <w:bCs/>
          <w:color w:val="003E00"/>
          <w:kern w:val="0"/>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【课程安排】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1337"/>
        <w:gridCol w:w="4401"/>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菲律宾女子</w:t>
            </w:r>
            <w:r>
              <w:rPr>
                <w:rFonts w:hint="eastAsia" w:ascii="微软雅黑" w:hAnsi="微软雅黑" w:eastAsia="微软雅黑" w:cs="宋体"/>
                <w:color w:val="000000" w:themeColor="text1"/>
                <w:kern w:val="0"/>
                <w:sz w:val="24"/>
                <w:szCs w:val="24"/>
              </w:rPr>
              <w:t>音乐博士民族音乐</w:t>
            </w:r>
            <w:r>
              <w:rPr>
                <w:rFonts w:hint="eastAsia" w:ascii="微软雅黑" w:hAnsi="微软雅黑" w:eastAsia="微软雅黑" w:cs="宋体"/>
                <w:bCs/>
                <w:color w:val="000000" w:themeColor="text1"/>
                <w:kern w:val="0"/>
                <w:sz w:val="24"/>
                <w:szCs w:val="24"/>
              </w:rPr>
              <w:t>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专业名称</w:t>
            </w:r>
          </w:p>
        </w:tc>
        <w:tc>
          <w:tcPr>
            <w:tcW w:w="5738" w:type="dxa"/>
            <w:gridSpan w:val="2"/>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课程组成</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spacing w:line="375" w:lineRule="atLeast"/>
              <w:jc w:val="center"/>
              <w:rPr>
                <w:rFonts w:ascii="微软雅黑" w:hAnsi="微软雅黑" w:eastAsia="微软雅黑" w:cs="宋体"/>
                <w:color w:val="000000" w:themeColor="text1"/>
                <w:kern w:val="0"/>
                <w:sz w:val="24"/>
                <w:szCs w:val="24"/>
              </w:rPr>
            </w:pPr>
          </w:p>
          <w:p>
            <w:pPr>
              <w:spacing w:line="375" w:lineRule="atLeast"/>
              <w:jc w:val="center"/>
              <w:rPr>
                <w:rFonts w:ascii="微软雅黑" w:hAnsi="微软雅黑" w:eastAsia="微软雅黑" w:cs="宋体"/>
                <w:color w:val="000000" w:themeColor="text1"/>
                <w:kern w:val="0"/>
                <w:sz w:val="24"/>
                <w:szCs w:val="24"/>
              </w:rPr>
            </w:pPr>
          </w:p>
          <w:p>
            <w:pPr>
              <w:spacing w:line="375" w:lineRule="atLeast"/>
              <w:jc w:val="center"/>
              <w:rPr>
                <w:rFonts w:ascii="微软雅黑" w:hAnsi="微软雅黑" w:eastAsia="微软雅黑" w:cs="宋体"/>
                <w:color w:val="000000" w:themeColor="text1"/>
                <w:kern w:val="0"/>
                <w:sz w:val="24"/>
                <w:szCs w:val="24"/>
              </w:rPr>
            </w:pPr>
          </w:p>
          <w:p>
            <w:pPr>
              <w:spacing w:line="375" w:lineRule="atLeast"/>
              <w:jc w:val="center"/>
              <w:rPr>
                <w:rFonts w:ascii="微软雅黑" w:hAnsi="微软雅黑" w:eastAsia="微软雅黑" w:cs="宋体"/>
                <w:color w:val="000000" w:themeColor="text1"/>
                <w:kern w:val="0"/>
                <w:sz w:val="24"/>
                <w:szCs w:val="24"/>
              </w:rPr>
            </w:pPr>
          </w:p>
          <w:p>
            <w:pPr>
              <w:spacing w:line="375" w:lineRule="atLeast"/>
              <w:jc w:val="center"/>
              <w:rPr>
                <w:rFonts w:ascii="微软雅黑" w:hAnsi="微软雅黑" w:eastAsia="微软雅黑" w:cs="宋体"/>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color w:val="000000" w:themeColor="text1"/>
                <w:kern w:val="0"/>
                <w:sz w:val="24"/>
                <w:szCs w:val="24"/>
              </w:rPr>
              <w:t>音乐博士民族音乐</w:t>
            </w:r>
          </w:p>
        </w:tc>
        <w:tc>
          <w:tcPr>
            <w:tcW w:w="1337"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学分课程</w:t>
            </w:r>
          </w:p>
          <w:p>
            <w:pPr>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 xml:space="preserve"> MUC 501 音乐学简介</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tabs>
                <w:tab w:val="left" w:pos="2610"/>
              </w:tabs>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MUC 605 十六、十七世纪西方音乐史</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MUC 401 民族音乐学</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MUC 607 十八、十九世纪西方音乐史</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MUC 305 二十世纪西方音乐史</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337"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专业课程</w:t>
            </w: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MUT 401 高级音乐学理论</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MUP 510 应用音乐课程1</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MUP 520 应用音乐课程2</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MUE 500 应用音乐教学</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MUP 530 应用音乐课程3</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MUP 540 应用音乐课程4</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MUP 560 公共测试</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337"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论文</w:t>
            </w: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MUC 400 毕业论文</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12</w:t>
            </w:r>
          </w:p>
        </w:tc>
      </w:tr>
    </w:tbl>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课程仅供参考，具体详细课程以实际为准</w:t>
      </w:r>
    </w:p>
    <w:p>
      <w:pPr>
        <w:rPr>
          <w:rFonts w:ascii="宋体" w:hAnsi="宋体" w:eastAsia="宋体"/>
          <w:b/>
          <w:color w:val="4E2CAE"/>
          <w:sz w:val="28"/>
          <w:szCs w:val="28"/>
        </w:rPr>
      </w:pPr>
      <w:r>
        <w:rPr>
          <w:rFonts w:hint="eastAsia" w:ascii="宋体" w:hAnsi="宋体" w:eastAsia="宋体"/>
          <w:b/>
          <w:color w:val="4E2CAE"/>
          <w:sz w:val="28"/>
          <w:szCs w:val="28"/>
        </w:rPr>
        <w:t>【申请流程】</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申请资料</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◆填写入学申请表</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◆护照首页扫描件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◆身份证正反面扫描件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◆最高学历、学位证书及成绩单扫描件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◆白底证件照2寸4张及电子版</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申请程序</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◆报名申请：填写报名申请表，提交个人信息及相关资料并缴纳报名费。</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◆资格审查：提交的所有资料均由项目管理中心协助资格审查，含初审、面试两个环节。</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◆录取缴费：资格审查通过后，由项目办公室发放电子版录取通知书和缴费通知单。</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◆签证赴菲：缴纳全部费用后，由项目办公室协助学生办理第一次赴菲签证、机票等事宜。</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◆抵达注册: 学生抵达女子大学并在研究生院注册部办理注册手续，正式成为全日制博士留学生并办理学生证。</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◆学生签证：学生递交详细的证明材料（公证、认证等）、填写移民局表格、体检、压指膜，申请正式留学生签证以及菲律宾居留身份卡（I-CARD），在中国驻菲律宾大使馆办理留学生登记注册手续。</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◆开学典礼：在女子大学举行开学典礼，正式进入课程学习阶段。</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【项目费用】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项目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数目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博士班学费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w:t>
            </w:r>
            <w:r>
              <w:rPr>
                <w:rFonts w:hint="eastAsia" w:cs="宋体" w:asciiTheme="minorEastAsia" w:hAnsiTheme="minorEastAsia"/>
                <w:bCs/>
                <w:color w:val="000000" w:themeColor="text1"/>
                <w:kern w:val="0"/>
                <w:sz w:val="24"/>
                <w:szCs w:val="24"/>
                <w:lang w:val="en-US" w:eastAsia="zh-CN"/>
              </w:rPr>
              <w:t>6</w:t>
            </w:r>
            <w:bookmarkStart w:id="0" w:name="_GoBack"/>
            <w:bookmarkEnd w:id="0"/>
            <w:r>
              <w:rPr>
                <w:rFonts w:hint="eastAsia" w:cs="宋体" w:asciiTheme="minorEastAsia" w:hAnsiTheme="minorEastAsia"/>
                <w:bCs/>
                <w:color w:val="000000" w:themeColor="text1"/>
                <w:kern w:val="0"/>
                <w:sz w:val="24"/>
                <w:szCs w:val="24"/>
              </w:rPr>
              <w:t>.8万全部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全日制班学制2年</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学分制班学制2-5年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住宿费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1.4万/年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标准2人间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伙食费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6000/年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自己做饭更省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出国材料费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835*3=2505</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成绩单、毕业证、无犯罪</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记录外事及领事双认证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出境签证费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1个月有效期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学生签证及居留手续费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2900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菲律宾境内办理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往返机票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广州-马尼拉，时价</w:t>
            </w:r>
          </w:p>
        </w:tc>
      </w:tr>
    </w:tbl>
    <w:p>
      <w:pPr>
        <w:widowControl/>
        <w:spacing w:line="375" w:lineRule="atLeast"/>
        <w:jc w:val="left"/>
        <w:rPr>
          <w:rFonts w:cs="宋体" w:asciiTheme="minorEastAsia" w:hAnsiTheme="minorEastAsia"/>
          <w:b/>
          <w:bCs/>
          <w:color w:val="003E00"/>
          <w:kern w:val="0"/>
          <w:sz w:val="24"/>
          <w:szCs w:val="24"/>
        </w:rPr>
      </w:pPr>
    </w:p>
    <w:p>
      <w:pPr>
        <w:widowControl/>
        <w:spacing w:line="375"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【报名及开学时间】</w:t>
      </w:r>
    </w:p>
    <w:p>
      <w:pPr>
        <w:widowControl/>
        <w:tabs>
          <w:tab w:val="left" w:pos="5970"/>
        </w:tabs>
        <w:spacing w:line="420" w:lineRule="atLeast"/>
        <w:ind w:firstLine="240" w:firstLineChars="1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第一学期：3月  第二学期：7月  第三学期：11月</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【权威认证】</w:t>
      </w:r>
    </w:p>
    <w:tbl>
      <w:tblPr>
        <w:tblStyle w:val="7"/>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8"/>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◆中国教育部涉外监管网</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http://www.jsj.edu.cn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◆中国教育部留学服务中心</w:t>
            </w:r>
          </w:p>
        </w:tc>
        <w:tc>
          <w:tcPr>
            <w:tcW w:w="4536" w:type="dxa"/>
            <w:vAlign w:val="center"/>
          </w:tcPr>
          <w:p>
            <w:pPr>
              <w:keepNext/>
              <w:spacing w:beforeLines="50" w:afterLines="50" w:line="360" w:lineRule="auto"/>
              <w:rPr>
                <w:rFonts w:ascii="宋体" w:hAnsi="宋体" w:eastAsia="宋体"/>
                <w:sz w:val="24"/>
                <w:szCs w:val="24"/>
              </w:rPr>
            </w:pPr>
            <w:r>
              <w:rPr>
                <w:rFonts w:hint="eastAsia" w:ascii="宋体" w:hAnsi="宋体" w:eastAsia="宋体"/>
                <w:sz w:val="24"/>
                <w:szCs w:val="24"/>
              </w:rPr>
              <w:t>http://www.cscse.edu.cn/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◆菲律宾高等教育委员会</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http://www.ched.gov.ph/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◆中国驻菲律宾大使馆</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http://www.fmprc.gov.cn/ce/ceph/chn/</w:t>
            </w:r>
          </w:p>
        </w:tc>
      </w:tr>
    </w:tbl>
    <w:p>
      <w:pPr>
        <w:widowControl/>
        <w:spacing w:line="375" w:lineRule="atLeast"/>
        <w:jc w:val="left"/>
        <w:rPr>
          <w:rFonts w:cs="宋体" w:asciiTheme="minorEastAsia" w:hAnsiTheme="minorEastAsia"/>
          <w:color w:val="333333"/>
          <w:kern w:val="0"/>
          <w:szCs w:val="21"/>
        </w:rPr>
      </w:pPr>
    </w:p>
    <w:p>
      <w:pPr>
        <w:widowControl/>
        <w:spacing w:line="360"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【所获博士学位待遇】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档案入国家人事部人才流动中心专业人才库（可网上查询），可作为应聘、晋升、职称评审等的重要依据；</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持有者申请国外移民时可享受学历加分待遇；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大力提升个人形象，为机构上市、商务谈判、个人职业发展等带来方便；</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海归留学生可办理中国教育部留学生服务中心国外学历学位认证，享受海归待遇；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取得《国外学历学位认证书》后，以海外留学生归国人员身份，享受在国内就业、创业、优先申请北京市户口以及投资方面的特殊优惠政策（以北京为例，2000年北京出台了《北京市鼓励留学人员来京创业工作的若干规定》）。</w:t>
      </w:r>
    </w:p>
    <w:sectPr>
      <w:headerReference r:id="rId3"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B1"/>
    <w:rsid w:val="000145BD"/>
    <w:rsid w:val="00014CE7"/>
    <w:rsid w:val="00025E25"/>
    <w:rsid w:val="00025FE7"/>
    <w:rsid w:val="000271FF"/>
    <w:rsid w:val="00030AE7"/>
    <w:rsid w:val="00032A1F"/>
    <w:rsid w:val="000429FA"/>
    <w:rsid w:val="000579F7"/>
    <w:rsid w:val="00057B9E"/>
    <w:rsid w:val="00083259"/>
    <w:rsid w:val="00090B88"/>
    <w:rsid w:val="000A768F"/>
    <w:rsid w:val="000E149D"/>
    <w:rsid w:val="00113AD2"/>
    <w:rsid w:val="001447C6"/>
    <w:rsid w:val="00152FBC"/>
    <w:rsid w:val="00154D41"/>
    <w:rsid w:val="00156763"/>
    <w:rsid w:val="00161893"/>
    <w:rsid w:val="00170539"/>
    <w:rsid w:val="00176CA1"/>
    <w:rsid w:val="00180A54"/>
    <w:rsid w:val="001947BD"/>
    <w:rsid w:val="001A1203"/>
    <w:rsid w:val="001A1676"/>
    <w:rsid w:val="001B355D"/>
    <w:rsid w:val="001C1397"/>
    <w:rsid w:val="001D6443"/>
    <w:rsid w:val="001F076E"/>
    <w:rsid w:val="00204A63"/>
    <w:rsid w:val="00213439"/>
    <w:rsid w:val="00236F68"/>
    <w:rsid w:val="00240D53"/>
    <w:rsid w:val="002432F8"/>
    <w:rsid w:val="002466B5"/>
    <w:rsid w:val="00251714"/>
    <w:rsid w:val="002665EB"/>
    <w:rsid w:val="0027521C"/>
    <w:rsid w:val="002938CC"/>
    <w:rsid w:val="002942B6"/>
    <w:rsid w:val="00296472"/>
    <w:rsid w:val="002A3903"/>
    <w:rsid w:val="002A60F0"/>
    <w:rsid w:val="002B0285"/>
    <w:rsid w:val="002B4473"/>
    <w:rsid w:val="002B7867"/>
    <w:rsid w:val="002C1A19"/>
    <w:rsid w:val="002C2E8B"/>
    <w:rsid w:val="002E266F"/>
    <w:rsid w:val="002E6FBD"/>
    <w:rsid w:val="002F24D3"/>
    <w:rsid w:val="002F38F4"/>
    <w:rsid w:val="002F7A3E"/>
    <w:rsid w:val="00300FDE"/>
    <w:rsid w:val="003015AF"/>
    <w:rsid w:val="00310C53"/>
    <w:rsid w:val="00315C8E"/>
    <w:rsid w:val="00316EE3"/>
    <w:rsid w:val="00317358"/>
    <w:rsid w:val="00341D54"/>
    <w:rsid w:val="003500F7"/>
    <w:rsid w:val="00357C20"/>
    <w:rsid w:val="003616A3"/>
    <w:rsid w:val="00364176"/>
    <w:rsid w:val="00375FA2"/>
    <w:rsid w:val="00393843"/>
    <w:rsid w:val="003A5A45"/>
    <w:rsid w:val="003A792F"/>
    <w:rsid w:val="003B1B5D"/>
    <w:rsid w:val="003C5793"/>
    <w:rsid w:val="0044352C"/>
    <w:rsid w:val="00451A71"/>
    <w:rsid w:val="00456363"/>
    <w:rsid w:val="00462CDF"/>
    <w:rsid w:val="00463F36"/>
    <w:rsid w:val="00466CFA"/>
    <w:rsid w:val="004675D3"/>
    <w:rsid w:val="0049622B"/>
    <w:rsid w:val="004A158F"/>
    <w:rsid w:val="004A1FA6"/>
    <w:rsid w:val="004C17D8"/>
    <w:rsid w:val="004C7DA8"/>
    <w:rsid w:val="004F17A5"/>
    <w:rsid w:val="0054010E"/>
    <w:rsid w:val="00542600"/>
    <w:rsid w:val="00550385"/>
    <w:rsid w:val="005559A1"/>
    <w:rsid w:val="00565DE4"/>
    <w:rsid w:val="00567FED"/>
    <w:rsid w:val="005727BA"/>
    <w:rsid w:val="005749D6"/>
    <w:rsid w:val="005750CE"/>
    <w:rsid w:val="005870EA"/>
    <w:rsid w:val="005954D0"/>
    <w:rsid w:val="005B0DB5"/>
    <w:rsid w:val="005F6D4E"/>
    <w:rsid w:val="00600D10"/>
    <w:rsid w:val="00602F7E"/>
    <w:rsid w:val="006071EA"/>
    <w:rsid w:val="00610FE1"/>
    <w:rsid w:val="00617828"/>
    <w:rsid w:val="00620C05"/>
    <w:rsid w:val="006243DE"/>
    <w:rsid w:val="0063515F"/>
    <w:rsid w:val="00636319"/>
    <w:rsid w:val="00640068"/>
    <w:rsid w:val="00647A27"/>
    <w:rsid w:val="0065086A"/>
    <w:rsid w:val="00660CBA"/>
    <w:rsid w:val="0066517C"/>
    <w:rsid w:val="00677C3D"/>
    <w:rsid w:val="00696C79"/>
    <w:rsid w:val="006979BA"/>
    <w:rsid w:val="006B7076"/>
    <w:rsid w:val="006D55CA"/>
    <w:rsid w:val="006F1859"/>
    <w:rsid w:val="006F21D7"/>
    <w:rsid w:val="007030D4"/>
    <w:rsid w:val="00703EAC"/>
    <w:rsid w:val="00705C5C"/>
    <w:rsid w:val="007148CA"/>
    <w:rsid w:val="00716583"/>
    <w:rsid w:val="00722187"/>
    <w:rsid w:val="0072498B"/>
    <w:rsid w:val="007344BA"/>
    <w:rsid w:val="00734C9F"/>
    <w:rsid w:val="00747DA3"/>
    <w:rsid w:val="00754F09"/>
    <w:rsid w:val="00766550"/>
    <w:rsid w:val="007770F7"/>
    <w:rsid w:val="007C016B"/>
    <w:rsid w:val="007C4ECC"/>
    <w:rsid w:val="007D1273"/>
    <w:rsid w:val="007D2B55"/>
    <w:rsid w:val="007D64FD"/>
    <w:rsid w:val="007F3057"/>
    <w:rsid w:val="00803A6D"/>
    <w:rsid w:val="0082123B"/>
    <w:rsid w:val="00822F8F"/>
    <w:rsid w:val="00825E3A"/>
    <w:rsid w:val="00880AA1"/>
    <w:rsid w:val="0088186D"/>
    <w:rsid w:val="008873F7"/>
    <w:rsid w:val="008A3D91"/>
    <w:rsid w:val="008C1FE5"/>
    <w:rsid w:val="008D161F"/>
    <w:rsid w:val="008D1829"/>
    <w:rsid w:val="00901336"/>
    <w:rsid w:val="009046BA"/>
    <w:rsid w:val="00927369"/>
    <w:rsid w:val="00944242"/>
    <w:rsid w:val="00950E72"/>
    <w:rsid w:val="009578E9"/>
    <w:rsid w:val="009620B1"/>
    <w:rsid w:val="009665C4"/>
    <w:rsid w:val="00967E76"/>
    <w:rsid w:val="0097650A"/>
    <w:rsid w:val="00984ED7"/>
    <w:rsid w:val="00985762"/>
    <w:rsid w:val="009A47CD"/>
    <w:rsid w:val="009B5985"/>
    <w:rsid w:val="009B5B52"/>
    <w:rsid w:val="009C0684"/>
    <w:rsid w:val="009C72BC"/>
    <w:rsid w:val="009C7C8F"/>
    <w:rsid w:val="009D0AF3"/>
    <w:rsid w:val="009D62BE"/>
    <w:rsid w:val="009E5F9C"/>
    <w:rsid w:val="009E7AF9"/>
    <w:rsid w:val="009F00F1"/>
    <w:rsid w:val="009F444D"/>
    <w:rsid w:val="009F5489"/>
    <w:rsid w:val="00A0360B"/>
    <w:rsid w:val="00A07F51"/>
    <w:rsid w:val="00A136BA"/>
    <w:rsid w:val="00A2201A"/>
    <w:rsid w:val="00A31545"/>
    <w:rsid w:val="00A36290"/>
    <w:rsid w:val="00A50F08"/>
    <w:rsid w:val="00A51201"/>
    <w:rsid w:val="00A73077"/>
    <w:rsid w:val="00A83060"/>
    <w:rsid w:val="00A91D3E"/>
    <w:rsid w:val="00A9261E"/>
    <w:rsid w:val="00AA0A03"/>
    <w:rsid w:val="00AA10B4"/>
    <w:rsid w:val="00AA1562"/>
    <w:rsid w:val="00AA21C2"/>
    <w:rsid w:val="00AB096B"/>
    <w:rsid w:val="00AD22D1"/>
    <w:rsid w:val="00AD4690"/>
    <w:rsid w:val="00AE3FC3"/>
    <w:rsid w:val="00AF06FD"/>
    <w:rsid w:val="00AF1069"/>
    <w:rsid w:val="00AF1CED"/>
    <w:rsid w:val="00B158F2"/>
    <w:rsid w:val="00B213FB"/>
    <w:rsid w:val="00B37AEF"/>
    <w:rsid w:val="00B41D26"/>
    <w:rsid w:val="00B57FF5"/>
    <w:rsid w:val="00B60F5D"/>
    <w:rsid w:val="00B76919"/>
    <w:rsid w:val="00B928BA"/>
    <w:rsid w:val="00BA07BB"/>
    <w:rsid w:val="00BA21C0"/>
    <w:rsid w:val="00BB58E4"/>
    <w:rsid w:val="00BC4F83"/>
    <w:rsid w:val="00BD51E4"/>
    <w:rsid w:val="00BE3E25"/>
    <w:rsid w:val="00C04AF8"/>
    <w:rsid w:val="00C11E7A"/>
    <w:rsid w:val="00C133D6"/>
    <w:rsid w:val="00C216C7"/>
    <w:rsid w:val="00C24493"/>
    <w:rsid w:val="00C301C2"/>
    <w:rsid w:val="00C36737"/>
    <w:rsid w:val="00C46CA1"/>
    <w:rsid w:val="00C62071"/>
    <w:rsid w:val="00C62F20"/>
    <w:rsid w:val="00C77F0D"/>
    <w:rsid w:val="00C878A2"/>
    <w:rsid w:val="00C9445C"/>
    <w:rsid w:val="00CA1D84"/>
    <w:rsid w:val="00CC0E89"/>
    <w:rsid w:val="00CC2012"/>
    <w:rsid w:val="00CE18DB"/>
    <w:rsid w:val="00CE7318"/>
    <w:rsid w:val="00D01CA8"/>
    <w:rsid w:val="00D1702A"/>
    <w:rsid w:val="00D26BEB"/>
    <w:rsid w:val="00D37870"/>
    <w:rsid w:val="00D46C28"/>
    <w:rsid w:val="00D46F61"/>
    <w:rsid w:val="00D757FB"/>
    <w:rsid w:val="00D75FEF"/>
    <w:rsid w:val="00D930E7"/>
    <w:rsid w:val="00DC1A6A"/>
    <w:rsid w:val="00DE1EDD"/>
    <w:rsid w:val="00DE4D93"/>
    <w:rsid w:val="00DF1AFB"/>
    <w:rsid w:val="00DF5158"/>
    <w:rsid w:val="00E0063C"/>
    <w:rsid w:val="00E20163"/>
    <w:rsid w:val="00E20FE9"/>
    <w:rsid w:val="00E22D37"/>
    <w:rsid w:val="00E4612C"/>
    <w:rsid w:val="00E51F41"/>
    <w:rsid w:val="00E53ED9"/>
    <w:rsid w:val="00E554FB"/>
    <w:rsid w:val="00E56FDF"/>
    <w:rsid w:val="00E57C03"/>
    <w:rsid w:val="00E64AAA"/>
    <w:rsid w:val="00E71453"/>
    <w:rsid w:val="00EC7E2C"/>
    <w:rsid w:val="00EE1957"/>
    <w:rsid w:val="00EF0860"/>
    <w:rsid w:val="00F02563"/>
    <w:rsid w:val="00F11391"/>
    <w:rsid w:val="00F536EC"/>
    <w:rsid w:val="00F6705A"/>
    <w:rsid w:val="00F720EF"/>
    <w:rsid w:val="00FA002A"/>
    <w:rsid w:val="00FA1DDA"/>
    <w:rsid w:val="00FA5734"/>
    <w:rsid w:val="00FA7626"/>
    <w:rsid w:val="00FD219A"/>
    <w:rsid w:val="00FD5937"/>
    <w:rsid w:val="00FD6544"/>
    <w:rsid w:val="00FE73A6"/>
    <w:rsid w:val="00FE7DDD"/>
    <w:rsid w:val="00FF4E70"/>
    <w:rsid w:val="094E39C6"/>
    <w:rsid w:val="0A7A4453"/>
    <w:rsid w:val="3CEE3610"/>
    <w:rsid w:val="41047CE2"/>
    <w:rsid w:val="5978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 w:type="character" w:customStyle="1" w:styleId="15">
    <w:name w:val="Unresolved Mention"/>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ADD8B-7493-4078-80AC-19A8D17184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480</Words>
  <Characters>2740</Characters>
  <Lines>22</Lines>
  <Paragraphs>6</Paragraphs>
  <TotalTime>354</TotalTime>
  <ScaleCrop>false</ScaleCrop>
  <LinksUpToDate>false</LinksUpToDate>
  <CharactersWithSpaces>3214</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2020-12-12T07:37:00Z</dcterms:created>
  <dc:creator>一站式留学管家</dc:creator>
  <cp:lastModifiedBy>Administrator</cp:lastModifiedBy>
  <cp:lastPrinted>2018-05-31T02:06:00Z</cp:lastPrinted>
  <dcterms:modified xsi:type="dcterms:W3CDTF">2021-05-31T08:37:56Z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