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Arial"/>
          <w:color w:val="333333"/>
          <w:sz w:val="18"/>
          <w:szCs w:val="18"/>
          <w:shd w:val="clear" w:color="auto" w:fill="FFFFFF"/>
        </w:rPr>
      </w:pPr>
    </w:p>
    <w:p>
      <w:pPr>
        <w:jc w:val="center"/>
        <w:rPr>
          <w:rFonts w:ascii="微软雅黑" w:hAnsi="微软雅黑" w:eastAsia="微软雅黑" w:cs="Arial"/>
          <w:color w:val="333333"/>
          <w:sz w:val="18"/>
          <w:szCs w:val="18"/>
          <w:shd w:val="clear" w:color="auto" w:fill="FFFFFF"/>
        </w:rPr>
      </w:pPr>
      <w:r>
        <w:drawing>
          <wp:inline distT="0" distB="0" distL="0" distR="0">
            <wp:extent cx="1422400" cy="12763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1422473" cy="1276416"/>
                    </a:xfrm>
                    <a:prstGeom prst="rect">
                      <a:avLst/>
                    </a:prstGeom>
                  </pic:spPr>
                </pic:pic>
              </a:graphicData>
            </a:graphic>
          </wp:inline>
        </w:drawing>
      </w:r>
    </w:p>
    <w:p>
      <w:pPr>
        <w:jc w:val="center"/>
        <w:rPr>
          <w:rFonts w:ascii="微软雅黑" w:hAnsi="微软雅黑" w:eastAsia="微软雅黑" w:cs="Arial"/>
          <w:color w:val="333333"/>
          <w:sz w:val="18"/>
          <w:szCs w:val="18"/>
          <w:shd w:val="clear" w:color="auto" w:fill="FFFFFF"/>
        </w:rPr>
      </w:pPr>
    </w:p>
    <w:p>
      <w:pPr>
        <w:jc w:val="center"/>
        <w:rPr>
          <w:rFonts w:ascii="微软雅黑" w:hAnsi="微软雅黑" w:eastAsia="微软雅黑" w:cs="Arial"/>
          <w:color w:val="333333"/>
          <w:sz w:val="18"/>
          <w:szCs w:val="18"/>
          <w:shd w:val="clear" w:color="auto" w:fill="FFFFFF"/>
        </w:rPr>
      </w:pPr>
    </w:p>
    <w:p>
      <w:pPr>
        <w:spacing w:before="312" w:beforeLines="100" w:after="312" w:afterLines="100"/>
        <w:jc w:val="center"/>
        <w:rPr>
          <w:rFonts w:ascii="宋体" w:hAnsi="宋体" w:eastAsia="宋体" w:cs="Arial"/>
          <w:b/>
          <w:bCs/>
          <w:color w:val="C00000"/>
          <w:sz w:val="48"/>
          <w:szCs w:val="48"/>
          <w:shd w:val="clear" w:color="auto" w:fill="FFFFFF"/>
        </w:rPr>
      </w:pPr>
      <w:r>
        <w:rPr>
          <w:rFonts w:hint="eastAsia" w:ascii="宋体" w:hAnsi="宋体" w:eastAsia="宋体" w:cs="Arial"/>
          <w:b/>
          <w:bCs/>
          <w:color w:val="C00000"/>
          <w:sz w:val="48"/>
          <w:szCs w:val="48"/>
          <w:shd w:val="clear" w:color="auto" w:fill="FFFFFF"/>
        </w:rPr>
        <w:t>费尔菲尔德大学多兰商学院M</w:t>
      </w:r>
      <w:r>
        <w:rPr>
          <w:rFonts w:ascii="宋体" w:hAnsi="宋体" w:eastAsia="宋体" w:cs="Arial"/>
          <w:b/>
          <w:bCs/>
          <w:color w:val="C00000"/>
          <w:sz w:val="48"/>
          <w:szCs w:val="48"/>
          <w:shd w:val="clear" w:color="auto" w:fill="FFFFFF"/>
        </w:rPr>
        <w:t>BA</w:t>
      </w:r>
    </w:p>
    <w:p>
      <w:pPr>
        <w:jc w:val="center"/>
        <w:rPr>
          <w:rFonts w:ascii="微软雅黑" w:hAnsi="微软雅黑" w:eastAsia="微软雅黑" w:cs="Arial"/>
          <w:color w:val="333333"/>
          <w:sz w:val="18"/>
          <w:szCs w:val="18"/>
          <w:shd w:val="clear" w:color="auto" w:fill="FFFFFF"/>
        </w:rPr>
      </w:pPr>
    </w:p>
    <w:p>
      <w:pPr>
        <w:rPr>
          <w:rFonts w:ascii="微软雅黑" w:hAnsi="微软雅黑" w:eastAsia="微软雅黑" w:cs="Arial"/>
          <w:color w:val="333333"/>
          <w:sz w:val="18"/>
          <w:szCs w:val="18"/>
          <w:shd w:val="clear" w:color="auto" w:fill="FFFFFF"/>
        </w:rPr>
      </w:pPr>
    </w:p>
    <w:p>
      <w:pPr>
        <w:rPr>
          <w:rFonts w:ascii="微软雅黑" w:hAnsi="微软雅黑" w:eastAsia="微软雅黑" w:cs="Arial"/>
          <w:color w:val="333333"/>
          <w:sz w:val="18"/>
          <w:szCs w:val="18"/>
          <w:shd w:val="clear" w:color="auto" w:fill="FFFFFF"/>
        </w:rPr>
      </w:pPr>
      <w:r>
        <w:drawing>
          <wp:inline distT="0" distB="0" distL="0" distR="0">
            <wp:extent cx="6479540" cy="3467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b="19742"/>
                    <a:stretch>
                      <a:fillRect/>
                    </a:stretch>
                  </pic:blipFill>
                  <pic:spPr>
                    <a:xfrm>
                      <a:off x="0" y="0"/>
                      <a:ext cx="6479540" cy="3467100"/>
                    </a:xfrm>
                    <a:prstGeom prst="rect">
                      <a:avLst/>
                    </a:prstGeom>
                    <a:noFill/>
                    <a:ln>
                      <a:noFill/>
                    </a:ln>
                  </pic:spPr>
                </pic:pic>
              </a:graphicData>
            </a:graphic>
          </wp:inline>
        </w:drawing>
      </w:r>
      <w:bookmarkStart w:id="0" w:name="_GoBack"/>
      <w:bookmarkEnd w:id="0"/>
    </w:p>
    <w:p>
      <w:pPr>
        <w:rPr>
          <w:rFonts w:ascii="微软雅黑" w:hAnsi="微软雅黑" w:eastAsia="微软雅黑" w:cs="Arial"/>
          <w:color w:val="333333"/>
          <w:sz w:val="18"/>
          <w:szCs w:val="18"/>
          <w:shd w:val="clear" w:color="auto" w:fill="FFFFFF"/>
        </w:rPr>
      </w:pPr>
    </w:p>
    <w:p>
      <w:pPr>
        <w:rPr>
          <w:rFonts w:ascii="宋体" w:hAnsi="宋体" w:eastAsia="宋体" w:cs="Arial"/>
          <w:b/>
          <w:bCs/>
          <w:color w:val="FF0000"/>
          <w:sz w:val="28"/>
          <w:szCs w:val="28"/>
          <w:shd w:val="clear" w:color="auto" w:fill="FFFFFF"/>
        </w:rPr>
      </w:pPr>
      <w:r>
        <w:rPr>
          <w:rFonts w:hint="eastAsia" w:ascii="宋体" w:hAnsi="宋体" w:eastAsia="宋体" w:cs="Arial"/>
          <w:b/>
          <w:bCs/>
          <w:color w:val="FF0000"/>
          <w:sz w:val="28"/>
          <w:szCs w:val="28"/>
          <w:shd w:val="clear" w:color="auto" w:fill="FFFFFF"/>
        </w:rPr>
        <w:t>◢ 学校介绍</w:t>
      </w:r>
    </w:p>
    <w:p>
      <w:pPr>
        <w:ind w:firstLine="360" w:firstLineChars="200"/>
        <w:rPr>
          <w:rFonts w:ascii="微软雅黑 Light" w:hAnsi="微软雅黑 Light" w:eastAsia="微软雅黑 Light"/>
          <w:sz w:val="18"/>
          <w:szCs w:val="18"/>
        </w:rPr>
      </w:pPr>
      <w:r>
        <w:rPr>
          <w:rFonts w:hint="eastAsia" w:ascii="微软雅黑 Light" w:hAnsi="微软雅黑 Light" w:eastAsia="微软雅黑 Light" w:cs="Arial"/>
          <w:color w:val="333333"/>
          <w:sz w:val="18"/>
          <w:szCs w:val="18"/>
          <w:shd w:val="clear" w:color="auto" w:fill="FFFFFF"/>
        </w:rPr>
        <w:t>费尔菲尔德大学（</w:t>
      </w:r>
      <w:r>
        <w:rPr>
          <w:rFonts w:ascii="微软雅黑 Light" w:hAnsi="微软雅黑 Light" w:eastAsia="微软雅黑 Light" w:cs="Arial"/>
          <w:color w:val="333333"/>
          <w:sz w:val="18"/>
          <w:szCs w:val="18"/>
          <w:shd w:val="clear" w:color="auto" w:fill="FFFFFF"/>
        </w:rPr>
        <w:t>Fairfield University）成立于1942年，位于康涅狄格州西南部，在美国北部地区大学排名第一，是一所综合类私立大学，也是美国最老牌的学术荣誉协会Phi Beta Kappa会员</w:t>
      </w:r>
      <w:r>
        <w:rPr>
          <w:rFonts w:hint="eastAsia" w:ascii="微软雅黑 Light" w:hAnsi="微软雅黑 Light" w:eastAsia="微软雅黑 Light" w:cs="Arial"/>
          <w:color w:val="333333"/>
          <w:sz w:val="18"/>
          <w:szCs w:val="18"/>
          <w:shd w:val="clear" w:color="auto" w:fill="FFFFFF"/>
        </w:rPr>
        <w:t>（全美只有</w:t>
      </w:r>
      <w:r>
        <w:rPr>
          <w:rFonts w:ascii="微软雅黑 Light" w:hAnsi="微软雅黑 Light" w:eastAsia="微软雅黑 Light" w:cs="Arial"/>
          <w:color w:val="333333"/>
          <w:sz w:val="18"/>
          <w:szCs w:val="18"/>
          <w:shd w:val="clear" w:color="auto" w:fill="FFFFFF"/>
        </w:rPr>
        <w:t>10% 的学校隶属于此协会）。</w:t>
      </w:r>
      <w:r>
        <w:rPr>
          <w:rFonts w:ascii="微软雅黑 Light" w:hAnsi="微软雅黑 Light" w:eastAsia="微软雅黑 Light"/>
          <w:sz w:val="18"/>
          <w:szCs w:val="18"/>
        </w:rPr>
        <w:t>费尔菲尔德大学拥有6个独立学院，经过美国高等教育认证委员会认证，</w:t>
      </w:r>
      <w:r>
        <w:rPr>
          <w:rFonts w:ascii="微软雅黑 Light" w:hAnsi="微软雅黑 Light" w:eastAsia="微软雅黑 Light" w:cs="Arial"/>
          <w:color w:val="333333"/>
          <w:sz w:val="18"/>
          <w:szCs w:val="18"/>
          <w:shd w:val="clear" w:color="auto" w:fill="FFFFFF"/>
        </w:rPr>
        <w:t>费尔菲尔德大学办校成就突出，被《美国新闻与世界报道》誉为是美国北部地区顶级高等学府</w:t>
      </w:r>
      <w:r>
        <w:rPr>
          <w:rFonts w:hint="eastAsia" w:ascii="微软雅黑 Light" w:hAnsi="微软雅黑 Light" w:eastAsia="微软雅黑 Light" w:cs="Arial"/>
          <w:color w:val="333333"/>
          <w:sz w:val="18"/>
          <w:szCs w:val="18"/>
          <w:shd w:val="clear" w:color="auto" w:fill="FFFFFF"/>
        </w:rPr>
        <w:t>，至今已授予4</w:t>
      </w:r>
      <w:r>
        <w:rPr>
          <w:rFonts w:ascii="微软雅黑 Light" w:hAnsi="微软雅黑 Light" w:eastAsia="微软雅黑 Light" w:cs="Arial"/>
          <w:color w:val="333333"/>
          <w:sz w:val="18"/>
          <w:szCs w:val="18"/>
          <w:shd w:val="clear" w:color="auto" w:fill="FFFFFF"/>
        </w:rPr>
        <w:t>5000</w:t>
      </w:r>
      <w:r>
        <w:rPr>
          <w:rFonts w:hint="eastAsia" w:ascii="微软雅黑 Light" w:hAnsi="微软雅黑 Light" w:eastAsia="微软雅黑 Light" w:cs="Arial"/>
          <w:color w:val="333333"/>
          <w:sz w:val="18"/>
          <w:szCs w:val="18"/>
          <w:shd w:val="clear" w:color="auto" w:fill="FFFFFF"/>
        </w:rPr>
        <w:t>多个学位。</w:t>
      </w:r>
      <w:r>
        <w:rPr>
          <w:rFonts w:hint="eastAsia" w:ascii="微软雅黑 Light" w:hAnsi="微软雅黑 Light" w:eastAsia="微软雅黑 Light"/>
          <w:sz w:val="18"/>
          <w:szCs w:val="18"/>
        </w:rPr>
        <w:t>根据</w:t>
      </w:r>
      <w:r>
        <w:rPr>
          <w:rFonts w:ascii="微软雅黑 Light" w:hAnsi="微软雅黑 Light" w:eastAsia="微软雅黑 Light"/>
          <w:sz w:val="18"/>
          <w:szCs w:val="18"/>
        </w:rPr>
        <w:t>SmartAsset 统计，学校毕业生就业起薪居全美第2，仅次于耶鲁大学。</w:t>
      </w:r>
      <w:r>
        <w:rPr>
          <w:rFonts w:ascii="微软雅黑 Light" w:hAnsi="微软雅黑 Light" w:eastAsia="微软雅黑 Light" w:cs="Arial"/>
          <w:b/>
          <w:bCs/>
          <w:color w:val="333333"/>
          <w:sz w:val="18"/>
          <w:szCs w:val="18"/>
          <w:shd w:val="clear" w:color="auto" w:fill="FFFFFF"/>
        </w:rPr>
        <w:t>学校距离纽约仅一个小时车程</w:t>
      </w:r>
      <w:r>
        <w:rPr>
          <w:rFonts w:ascii="微软雅黑 Light" w:hAnsi="微软雅黑 Light" w:eastAsia="微软雅黑 Light" w:cs="Arial"/>
          <w:color w:val="333333"/>
          <w:sz w:val="18"/>
          <w:szCs w:val="18"/>
          <w:shd w:val="clear" w:color="auto" w:fill="FFFFFF"/>
        </w:rPr>
        <w:t>，使得该校的学生能够很方便去纽约寻求实习或工作机会。</w:t>
      </w:r>
    </w:p>
    <w:p>
      <w:pPr>
        <w:ind w:firstLine="360" w:firstLineChars="200"/>
        <w:rPr>
          <w:rFonts w:ascii="微软雅黑 Light" w:hAnsi="微软雅黑 Light" w:eastAsia="微软雅黑 Light"/>
          <w:sz w:val="18"/>
          <w:szCs w:val="18"/>
        </w:rPr>
      </w:pPr>
      <w:r>
        <w:rPr>
          <w:rFonts w:hint="eastAsia" w:ascii="微软雅黑 Light" w:hAnsi="微软雅黑 Light" w:eastAsia="微软雅黑 Light"/>
          <w:sz w:val="18"/>
          <w:szCs w:val="18"/>
        </w:rPr>
        <w:t>康涅狄格州（</w:t>
      </w:r>
      <w:r>
        <w:rPr>
          <w:rFonts w:ascii="微软雅黑 Light" w:hAnsi="微软雅黑 Light" w:eastAsia="微软雅黑 Light"/>
          <w:sz w:val="18"/>
          <w:szCs w:val="18"/>
        </w:rPr>
        <w:t>Connecticut），美国东北部新英格兰地区6个州之一，北接马萨诸塞州，东接罗得岛州，西接纽约州，学校距离纽约仅一个小时车程。</w:t>
      </w:r>
      <w:r>
        <w:rPr>
          <w:rFonts w:hint="eastAsia" w:ascii="微软雅黑 Light" w:hAnsi="微软雅黑 Light" w:eastAsia="微软雅黑 Light"/>
          <w:sz w:val="18"/>
          <w:szCs w:val="18"/>
        </w:rPr>
        <w:t>康涅狄格州工业经济发达，条件优越，世界级大公司如</w:t>
      </w:r>
      <w:r>
        <w:rPr>
          <w:rFonts w:ascii="微软雅黑 Light" w:hAnsi="微软雅黑 Light" w:eastAsia="微软雅黑 Light"/>
          <w:sz w:val="18"/>
          <w:szCs w:val="18"/>
        </w:rPr>
        <w:t>G.E.（中文名：通用电气公司）公司总部设在本州。</w:t>
      </w:r>
    </w:p>
    <w:p>
      <w:pPr>
        <w:ind w:firstLine="360" w:firstLineChars="200"/>
        <w:rPr>
          <w:rFonts w:ascii="微软雅黑 Light" w:hAnsi="微软雅黑 Light" w:eastAsia="微软雅黑 Light"/>
          <w:sz w:val="18"/>
          <w:szCs w:val="18"/>
        </w:rPr>
      </w:pPr>
      <w:r>
        <w:rPr>
          <w:rFonts w:hint="eastAsia" w:ascii="微软雅黑 Light" w:hAnsi="微软雅黑 Light" w:eastAsia="微软雅黑 Light"/>
          <w:sz w:val="18"/>
          <w:szCs w:val="18"/>
        </w:rPr>
        <w:t>康涅狄格州教育资源丰富，约有</w:t>
      </w:r>
      <w:r>
        <w:rPr>
          <w:rFonts w:ascii="微软雅黑 Light" w:hAnsi="微软雅黑 Light" w:eastAsia="微软雅黑 Light"/>
          <w:sz w:val="18"/>
          <w:szCs w:val="18"/>
        </w:rPr>
        <w:t>25所大学和15所社区学院。重要高等学府有</w:t>
      </w:r>
      <w:r>
        <w:rPr>
          <w:rFonts w:hint="eastAsia" w:ascii="微软雅黑 Light" w:hAnsi="微软雅黑 Light" w:eastAsia="微软雅黑 Light"/>
          <w:sz w:val="18"/>
          <w:szCs w:val="18"/>
        </w:rPr>
        <w:t>：</w:t>
      </w:r>
      <w:r>
        <w:rPr>
          <w:rFonts w:ascii="微软雅黑 Light" w:hAnsi="微软雅黑 Light" w:eastAsia="微软雅黑 Light"/>
          <w:sz w:val="18"/>
          <w:szCs w:val="18"/>
        </w:rPr>
        <w:t>著名的</w:t>
      </w:r>
      <w:r>
        <w:rPr>
          <w:rFonts w:ascii="微软雅黑 Light" w:hAnsi="微软雅黑 Light" w:eastAsia="微软雅黑 Light"/>
          <w:b/>
          <w:bCs/>
          <w:sz w:val="18"/>
          <w:szCs w:val="18"/>
        </w:rPr>
        <w:t>耶鲁大学</w:t>
      </w:r>
      <w:r>
        <w:rPr>
          <w:rFonts w:hint="eastAsia" w:ascii="微软雅黑 Light" w:hAnsi="微软雅黑 Light" w:eastAsia="微软雅黑 Light"/>
          <w:sz w:val="18"/>
          <w:szCs w:val="18"/>
        </w:rPr>
        <w:t>（2</w:t>
      </w:r>
      <w:r>
        <w:rPr>
          <w:rFonts w:ascii="微软雅黑 Light" w:hAnsi="微软雅黑 Light" w:eastAsia="微软雅黑 Light"/>
          <w:sz w:val="18"/>
          <w:szCs w:val="18"/>
        </w:rPr>
        <w:t>021</w:t>
      </w:r>
      <w:r>
        <w:rPr>
          <w:rFonts w:hint="eastAsia" w:ascii="微软雅黑 Light" w:hAnsi="微软雅黑 Light" w:eastAsia="微软雅黑 Light"/>
          <w:sz w:val="18"/>
          <w:szCs w:val="18"/>
        </w:rPr>
        <w:t>年Q</w:t>
      </w:r>
      <w:r>
        <w:rPr>
          <w:rFonts w:ascii="微软雅黑 Light" w:hAnsi="微软雅黑 Light" w:eastAsia="微软雅黑 Light"/>
          <w:sz w:val="18"/>
          <w:szCs w:val="18"/>
        </w:rPr>
        <w:t>S</w:t>
      </w:r>
      <w:r>
        <w:rPr>
          <w:rFonts w:hint="eastAsia" w:ascii="微软雅黑 Light" w:hAnsi="微软雅黑 Light" w:eastAsia="微软雅黑 Light"/>
          <w:sz w:val="18"/>
          <w:szCs w:val="18"/>
        </w:rPr>
        <w:t>排名第1</w:t>
      </w:r>
      <w:r>
        <w:rPr>
          <w:rFonts w:ascii="微软雅黑 Light" w:hAnsi="微软雅黑 Light" w:eastAsia="微软雅黑 Light"/>
          <w:sz w:val="18"/>
          <w:szCs w:val="18"/>
        </w:rPr>
        <w:t>7</w:t>
      </w:r>
      <w:r>
        <w:rPr>
          <w:rFonts w:hint="eastAsia" w:ascii="微软雅黑 Light" w:hAnsi="微软雅黑 Light" w:eastAsia="微软雅黑 Light"/>
          <w:sz w:val="18"/>
          <w:szCs w:val="18"/>
        </w:rPr>
        <w:t>位）</w:t>
      </w:r>
      <w:r>
        <w:rPr>
          <w:rFonts w:ascii="微软雅黑 Light" w:hAnsi="微软雅黑 Light" w:eastAsia="微软雅黑 Light"/>
          <w:sz w:val="18"/>
          <w:szCs w:val="18"/>
        </w:rPr>
        <w:t>，康涅狄格州立大学</w:t>
      </w:r>
      <w:r>
        <w:rPr>
          <w:rFonts w:hint="eastAsia" w:ascii="微软雅黑 Light" w:hAnsi="微软雅黑 Light" w:eastAsia="微软雅黑 Light"/>
          <w:sz w:val="18"/>
          <w:szCs w:val="18"/>
        </w:rPr>
        <w:t>（2</w:t>
      </w:r>
      <w:r>
        <w:rPr>
          <w:rFonts w:ascii="微软雅黑 Light" w:hAnsi="微软雅黑 Light" w:eastAsia="微软雅黑 Light"/>
          <w:sz w:val="18"/>
          <w:szCs w:val="18"/>
        </w:rPr>
        <w:t>021</w:t>
      </w:r>
      <w:r>
        <w:rPr>
          <w:rFonts w:hint="eastAsia" w:ascii="微软雅黑 Light" w:hAnsi="微软雅黑 Light" w:eastAsia="微软雅黑 Light"/>
          <w:sz w:val="18"/>
          <w:szCs w:val="18"/>
        </w:rPr>
        <w:t>年Q</w:t>
      </w:r>
      <w:r>
        <w:rPr>
          <w:rFonts w:ascii="微软雅黑 Light" w:hAnsi="微软雅黑 Light" w:eastAsia="微软雅黑 Light"/>
          <w:sz w:val="18"/>
          <w:szCs w:val="18"/>
        </w:rPr>
        <w:t>S</w:t>
      </w:r>
      <w:r>
        <w:rPr>
          <w:rFonts w:hint="eastAsia" w:ascii="微软雅黑 Light" w:hAnsi="微软雅黑 Light" w:eastAsia="微软雅黑 Light"/>
          <w:sz w:val="18"/>
          <w:szCs w:val="18"/>
        </w:rPr>
        <w:t>排名第5</w:t>
      </w:r>
      <w:r>
        <w:rPr>
          <w:rFonts w:ascii="微软雅黑 Light" w:hAnsi="微软雅黑 Light" w:eastAsia="微软雅黑 Light"/>
          <w:sz w:val="18"/>
          <w:szCs w:val="18"/>
        </w:rPr>
        <w:t>01</w:t>
      </w:r>
      <w:r>
        <w:rPr>
          <w:rFonts w:hint="eastAsia" w:ascii="微软雅黑 Light" w:hAnsi="微软雅黑 Light" w:eastAsia="微软雅黑 Light"/>
          <w:sz w:val="18"/>
          <w:szCs w:val="18"/>
        </w:rPr>
        <w:t>位）</w:t>
      </w:r>
      <w:r>
        <w:rPr>
          <w:rFonts w:ascii="微软雅黑 Light" w:hAnsi="微软雅黑 Light" w:eastAsia="微软雅黑 Light"/>
          <w:sz w:val="18"/>
          <w:szCs w:val="18"/>
        </w:rPr>
        <w:t>，费尔菲尔德大学等。</w:t>
      </w:r>
    </w:p>
    <w:p>
      <w:pPr>
        <w:ind w:firstLine="360" w:firstLineChars="200"/>
        <w:rPr>
          <w:rFonts w:ascii="微软雅黑" w:hAnsi="微软雅黑" w:eastAsia="微软雅黑"/>
          <w:sz w:val="18"/>
          <w:szCs w:val="18"/>
        </w:rPr>
      </w:pPr>
    </w:p>
    <w:p>
      <w:pPr>
        <w:rPr>
          <w:rFonts w:ascii="微软雅黑" w:hAnsi="微软雅黑" w:eastAsia="微软雅黑"/>
          <w:sz w:val="18"/>
          <w:szCs w:val="18"/>
        </w:rPr>
      </w:pPr>
      <w:r>
        <w:drawing>
          <wp:inline distT="0" distB="0" distL="0" distR="0">
            <wp:extent cx="6381750" cy="20320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t="5372" b="16483"/>
                    <a:stretch>
                      <a:fillRect/>
                    </a:stretch>
                  </pic:blipFill>
                  <pic:spPr>
                    <a:xfrm>
                      <a:off x="0" y="0"/>
                      <a:ext cx="6381750" cy="2032000"/>
                    </a:xfrm>
                    <a:prstGeom prst="rect">
                      <a:avLst/>
                    </a:prstGeom>
                    <a:ln>
                      <a:noFill/>
                    </a:ln>
                  </pic:spPr>
                </pic:pic>
              </a:graphicData>
            </a:graphic>
          </wp:inline>
        </w:drawing>
      </w:r>
    </w:p>
    <w:p>
      <w:pPr>
        <w:ind w:firstLine="360" w:firstLineChars="200"/>
        <w:rPr>
          <w:rFonts w:ascii="微软雅黑 Light" w:hAnsi="微软雅黑 Light" w:eastAsia="微软雅黑 Light"/>
          <w:sz w:val="18"/>
          <w:szCs w:val="18"/>
        </w:rPr>
      </w:pPr>
      <w:r>
        <w:rPr>
          <w:rFonts w:hint="eastAsia" w:ascii="微软雅黑 Light" w:hAnsi="微软雅黑 Light" w:eastAsia="微软雅黑 Light"/>
          <w:sz w:val="18"/>
          <w:szCs w:val="18"/>
        </w:rPr>
        <w:t>费尔菲尔德大学多兰商学院（</w:t>
      </w:r>
      <w:r>
        <w:rPr>
          <w:rFonts w:ascii="微软雅黑 Light" w:hAnsi="微软雅黑 Light" w:eastAsia="微软雅黑 Light"/>
          <w:sz w:val="18"/>
          <w:szCs w:val="18"/>
        </w:rPr>
        <w:t>Dolan School of Business）</w:t>
      </w:r>
      <w:r>
        <w:rPr>
          <w:rFonts w:hint="eastAsia" w:ascii="微软雅黑 Light" w:hAnsi="微软雅黑 Light" w:eastAsia="微软雅黑 Light"/>
          <w:sz w:val="18"/>
          <w:szCs w:val="18"/>
        </w:rPr>
        <w:t>荣获</w:t>
      </w:r>
      <w:r>
        <w:rPr>
          <w:rFonts w:ascii="微软雅黑 Light" w:hAnsi="微软雅黑 Light" w:eastAsia="微软雅黑 Light"/>
          <w:sz w:val="18"/>
          <w:szCs w:val="18"/>
        </w:rPr>
        <w:t>了AACSB认证，被美国商业周刊（Businessweek）评为美国商学院100强。在全国范围内被评为全国最好的商学院之一，其新的创新、最先进的学术设施包括互动学习环境、商业分析和人工智能实验室、创业中心(Entreship Center With Ideation Lab)、积极学习和以案例为基础的教室、新的活动空间、金融实验室等等。</w:t>
      </w:r>
    </w:p>
    <w:p>
      <w:pPr>
        <w:ind w:firstLine="360" w:firstLineChars="200"/>
        <w:rPr>
          <w:rFonts w:ascii="微软雅黑" w:hAnsi="微软雅黑" w:eastAsia="微软雅黑"/>
          <w:sz w:val="18"/>
          <w:szCs w:val="18"/>
        </w:rPr>
      </w:pPr>
    </w:p>
    <w:p>
      <w:pPr>
        <w:rPr>
          <w:rFonts w:ascii="宋体" w:hAnsi="宋体" w:eastAsia="宋体" w:cs="Arial"/>
          <w:b/>
          <w:bCs/>
          <w:color w:val="FF0000"/>
          <w:sz w:val="28"/>
          <w:szCs w:val="28"/>
          <w:shd w:val="clear" w:color="auto" w:fill="FFFFFF"/>
        </w:rPr>
      </w:pPr>
      <w:r>
        <w:rPr>
          <w:rFonts w:hint="eastAsia" w:ascii="宋体" w:hAnsi="宋体" w:eastAsia="宋体" w:cs="Arial"/>
          <w:b/>
          <w:bCs/>
          <w:color w:val="FF0000"/>
          <w:sz w:val="28"/>
          <w:szCs w:val="28"/>
          <w:shd w:val="clear" w:color="auto" w:fill="FFFFFF"/>
        </w:rPr>
        <w:t>◢ 院长寄语</w:t>
      </w:r>
    </w:p>
    <w:p>
      <w:pPr>
        <w:jc w:val="center"/>
        <w:rPr>
          <w:rFonts w:ascii="微软雅黑" w:hAnsi="微软雅黑" w:eastAsia="微软雅黑"/>
          <w:sz w:val="18"/>
          <w:szCs w:val="18"/>
        </w:rPr>
      </w:pPr>
      <w:r>
        <w:drawing>
          <wp:inline distT="0" distB="0" distL="0" distR="0">
            <wp:extent cx="4286250" cy="3219450"/>
            <wp:effectExtent l="0" t="0" r="0" b="0"/>
            <wp:docPr id="3" name="图片 3" descr="Dean Zhan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an Zhan 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86250" cy="3219450"/>
                    </a:xfrm>
                    <a:prstGeom prst="rect">
                      <a:avLst/>
                    </a:prstGeom>
                    <a:noFill/>
                    <a:ln>
                      <a:noFill/>
                    </a:ln>
                  </pic:spPr>
                </pic:pic>
              </a:graphicData>
            </a:graphic>
          </wp:inline>
        </w:drawing>
      </w:r>
    </w:p>
    <w:p>
      <w:pPr>
        <w:rPr>
          <w:rFonts w:ascii="微软雅黑" w:hAnsi="微软雅黑" w:eastAsia="微软雅黑"/>
          <w:sz w:val="18"/>
          <w:szCs w:val="18"/>
        </w:rPr>
      </w:pPr>
    </w:p>
    <w:p>
      <w:pPr>
        <w:pStyle w:val="4"/>
        <w:shd w:val="clear" w:color="auto" w:fill="FFFFFF"/>
        <w:spacing w:before="0" w:beforeAutospacing="0" w:after="0" w:afterAutospacing="0"/>
        <w:rPr>
          <w:rFonts w:ascii="微软雅黑 Light" w:hAnsi="微软雅黑 Light" w:eastAsia="微软雅黑 Light" w:cs="Arial"/>
          <w:color w:val="000000"/>
          <w:sz w:val="18"/>
          <w:szCs w:val="18"/>
        </w:rPr>
      </w:pPr>
      <w:r>
        <w:rPr>
          <w:rFonts w:ascii="微软雅黑 Light" w:hAnsi="微软雅黑 Light" w:eastAsia="微软雅黑 Light" w:cs="Arial"/>
          <w:color w:val="000000"/>
          <w:sz w:val="18"/>
          <w:szCs w:val="18"/>
        </w:rPr>
        <w:t>Dear Fairfield Dolan Community,</w:t>
      </w:r>
    </w:p>
    <w:p>
      <w:pPr>
        <w:pStyle w:val="4"/>
        <w:shd w:val="clear" w:color="auto" w:fill="FFFFFF"/>
        <w:spacing w:before="0" w:beforeAutospacing="0" w:after="0" w:afterAutospacing="0"/>
        <w:rPr>
          <w:rFonts w:ascii="微软雅黑 Light" w:hAnsi="微软雅黑 Light" w:eastAsia="微软雅黑 Light" w:cs="Arial"/>
          <w:color w:val="000000"/>
          <w:sz w:val="18"/>
          <w:szCs w:val="18"/>
        </w:rPr>
      </w:pPr>
      <w:r>
        <w:rPr>
          <w:rFonts w:ascii="微软雅黑 Light" w:hAnsi="微软雅黑 Light" w:eastAsia="微软雅黑 Light" w:cs="Arial"/>
          <w:color w:val="000000"/>
          <w:sz w:val="18"/>
          <w:szCs w:val="18"/>
        </w:rPr>
        <w:t>We are delighted to share some great news with you from the Charles F. Dolan School of Business. This semester we moved into our brand new, 85,000 square-foot facility featuring cutting-edge Finance, Business Analytics, and Ideation Labs. Students are really enjoying the building and the great learning and collaborative spaces it provides.</w:t>
      </w:r>
    </w:p>
    <w:p>
      <w:pPr>
        <w:pStyle w:val="4"/>
        <w:shd w:val="clear" w:color="auto" w:fill="FFFFFF"/>
        <w:spacing w:before="0" w:beforeAutospacing="0" w:after="0" w:afterAutospacing="0"/>
        <w:rPr>
          <w:rFonts w:ascii="微软雅黑 Light" w:hAnsi="微软雅黑 Light" w:eastAsia="微软雅黑 Light" w:cs="Arial"/>
          <w:color w:val="000000"/>
          <w:sz w:val="18"/>
          <w:szCs w:val="18"/>
        </w:rPr>
      </w:pPr>
      <w:r>
        <w:rPr>
          <w:rFonts w:ascii="微软雅黑 Light" w:hAnsi="微软雅黑 Light" w:eastAsia="微软雅黑 Light" w:cs="Arial"/>
          <w:color w:val="000000"/>
          <w:sz w:val="18"/>
          <w:szCs w:val="18"/>
        </w:rPr>
        <w:t>Dolan faculty have been busy developing innovative curricula and programs with input from alumni and employers, including the newly launched MS in Management which is featured in this issue of the newsletter. To connect with the business community and to develop students professionally, we are engaging employers in multiple ways, including our new Professional-In-Residence Program. I hope you will enjoy reading about the recent successes of our School and community.</w:t>
      </w:r>
    </w:p>
    <w:p>
      <w:pPr>
        <w:pStyle w:val="4"/>
        <w:shd w:val="clear" w:color="auto" w:fill="FFFFFF"/>
        <w:spacing w:before="0" w:beforeAutospacing="0" w:after="0" w:afterAutospacing="0"/>
        <w:rPr>
          <w:rFonts w:ascii="微软雅黑 Light" w:hAnsi="微软雅黑 Light" w:eastAsia="微软雅黑 Light" w:cs="Arial"/>
          <w:color w:val="000000"/>
          <w:sz w:val="18"/>
          <w:szCs w:val="18"/>
        </w:rPr>
      </w:pPr>
      <w:r>
        <w:rPr>
          <w:rFonts w:ascii="微软雅黑 Light" w:hAnsi="微软雅黑 Light" w:eastAsia="微软雅黑 Light" w:cs="Arial"/>
          <w:color w:val="000000"/>
          <w:sz w:val="18"/>
          <w:szCs w:val="18"/>
        </w:rPr>
        <w:t>Zhan Li</w:t>
      </w:r>
      <w:r>
        <w:rPr>
          <w:rFonts w:ascii="微软雅黑 Light" w:hAnsi="微软雅黑 Light" w:eastAsia="微软雅黑 Light" w:cs="Arial"/>
          <w:color w:val="000000"/>
          <w:sz w:val="18"/>
          <w:szCs w:val="18"/>
        </w:rPr>
        <w:br w:type="textWrapping"/>
      </w:r>
      <w:r>
        <w:rPr>
          <w:rFonts w:ascii="微软雅黑 Light" w:hAnsi="微软雅黑 Light" w:eastAsia="微软雅黑 Light" w:cs="Arial"/>
          <w:color w:val="000000"/>
          <w:sz w:val="18"/>
          <w:szCs w:val="18"/>
        </w:rPr>
        <w:t>Dean and Professor</w:t>
      </w:r>
    </w:p>
    <w:p>
      <w:pPr>
        <w:rPr>
          <w:rFonts w:ascii="宋体" w:hAnsi="宋体" w:eastAsia="宋体" w:cs="Arial"/>
          <w:b/>
          <w:bCs/>
          <w:color w:val="FF0000"/>
          <w:sz w:val="18"/>
          <w:szCs w:val="18"/>
          <w:shd w:val="clear" w:color="auto" w:fill="FFFFFF"/>
        </w:rPr>
      </w:pPr>
    </w:p>
    <w:p>
      <w:pPr>
        <w:rPr>
          <w:rFonts w:ascii="宋体" w:hAnsi="宋体" w:eastAsia="宋体" w:cs="Arial"/>
          <w:b/>
          <w:bCs/>
          <w:color w:val="FF0000"/>
          <w:sz w:val="18"/>
          <w:szCs w:val="18"/>
          <w:shd w:val="clear" w:color="auto" w:fill="FFFFFF"/>
        </w:rPr>
      </w:pPr>
    </w:p>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权威认证</w:t>
      </w:r>
    </w:p>
    <w:tbl>
      <w:tblPr>
        <w:tblStyle w:val="6"/>
        <w:tblW w:w="0" w:type="auto"/>
        <w:tblInd w:w="0" w:type="dxa"/>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Layout w:type="autofit"/>
        <w:tblCellMar>
          <w:top w:w="0" w:type="dxa"/>
          <w:left w:w="108" w:type="dxa"/>
          <w:bottom w:w="0" w:type="dxa"/>
          <w:right w:w="108" w:type="dxa"/>
        </w:tblCellMar>
      </w:tblPr>
      <w:tblGrid>
        <w:gridCol w:w="5240"/>
        <w:gridCol w:w="4954"/>
      </w:tblGrid>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PrEx>
        <w:tc>
          <w:tcPr>
            <w:tcW w:w="5240" w:type="dxa"/>
          </w:tcPr>
          <w:p>
            <w:pPr>
              <w:jc w:val="center"/>
              <w:rPr>
                <w:rFonts w:ascii="微软雅黑" w:hAnsi="微软雅黑" w:eastAsia="微软雅黑"/>
                <w:sz w:val="18"/>
                <w:szCs w:val="18"/>
              </w:rPr>
            </w:pPr>
            <w:r>
              <w:drawing>
                <wp:inline distT="0" distB="0" distL="0" distR="0">
                  <wp:extent cx="1799590" cy="6203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l="2447" t="6535" r="1184" b="4799"/>
                          <a:stretch>
                            <a:fillRect/>
                          </a:stretch>
                        </pic:blipFill>
                        <pic:spPr>
                          <a:xfrm>
                            <a:off x="0" y="0"/>
                            <a:ext cx="1800000" cy="620425"/>
                          </a:xfrm>
                          <a:prstGeom prst="rect">
                            <a:avLst/>
                          </a:prstGeom>
                          <a:noFill/>
                          <a:ln>
                            <a:noFill/>
                          </a:ln>
                        </pic:spPr>
                      </pic:pic>
                    </a:graphicData>
                  </a:graphic>
                </wp:inline>
              </w:drawing>
            </w:r>
          </w:p>
        </w:tc>
        <w:tc>
          <w:tcPr>
            <w:tcW w:w="4954" w:type="dxa"/>
          </w:tcPr>
          <w:p>
            <w:pPr>
              <w:jc w:val="center"/>
              <w:rPr>
                <w:rFonts w:ascii="微软雅黑" w:hAnsi="微软雅黑" w:eastAsia="微软雅黑"/>
                <w:sz w:val="18"/>
                <w:szCs w:val="18"/>
              </w:rPr>
            </w:pPr>
            <w:r>
              <w:drawing>
                <wp:inline distT="0" distB="0" distL="0" distR="0">
                  <wp:extent cx="1799590" cy="647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00000" cy="648000"/>
                          </a:xfrm>
                          <a:prstGeom prst="rect">
                            <a:avLst/>
                          </a:prstGeom>
                          <a:noFill/>
                          <a:ln>
                            <a:noFill/>
                          </a:ln>
                        </pic:spPr>
                      </pic:pic>
                    </a:graphicData>
                  </a:graphic>
                </wp:inline>
              </w:drawing>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5240" w:type="dxa"/>
          </w:tcPr>
          <w:p>
            <w:pPr>
              <w:jc w:val="center"/>
              <w:rPr>
                <w:rFonts w:ascii="微软雅黑" w:hAnsi="微软雅黑" w:eastAsia="微软雅黑"/>
                <w:sz w:val="18"/>
                <w:szCs w:val="18"/>
              </w:rPr>
            </w:pPr>
            <w:r>
              <w:rPr>
                <w:rFonts w:ascii="微软雅黑" w:hAnsi="微软雅黑" w:eastAsia="微软雅黑"/>
                <w:sz w:val="18"/>
                <w:szCs w:val="18"/>
              </w:rPr>
              <w:t>AACSB：国际商学院协会</w:t>
            </w:r>
          </w:p>
          <w:p>
            <w:pPr>
              <w:jc w:val="center"/>
              <w:rPr>
                <w:rFonts w:ascii="微软雅黑" w:hAnsi="微软雅黑" w:eastAsia="微软雅黑"/>
                <w:sz w:val="18"/>
                <w:szCs w:val="18"/>
              </w:rPr>
            </w:pPr>
            <w:r>
              <w:rPr>
                <w:rFonts w:ascii="微软雅黑" w:hAnsi="微软雅黑" w:eastAsia="微软雅黑"/>
                <w:sz w:val="18"/>
                <w:szCs w:val="18"/>
              </w:rPr>
              <w:t>AACSB是三顶皇冠中当资格最老、含金量最高</w:t>
            </w:r>
          </w:p>
        </w:tc>
        <w:tc>
          <w:tcPr>
            <w:tcW w:w="4954" w:type="dxa"/>
          </w:tcPr>
          <w:p>
            <w:pPr>
              <w:jc w:val="center"/>
              <w:rPr>
                <w:rFonts w:ascii="微软雅黑" w:hAnsi="微软雅黑" w:eastAsia="微软雅黑"/>
                <w:sz w:val="18"/>
                <w:szCs w:val="18"/>
              </w:rPr>
            </w:pPr>
            <w:r>
              <w:rPr>
                <w:rFonts w:hint="eastAsia" w:ascii="微软雅黑" w:hAnsi="微软雅黑" w:eastAsia="微软雅黑"/>
                <w:sz w:val="18"/>
                <w:szCs w:val="18"/>
              </w:rPr>
              <w:t>美国高等教育认证委员会</w:t>
            </w:r>
          </w:p>
          <w:p>
            <w:pPr>
              <w:jc w:val="center"/>
              <w:rPr>
                <w:rFonts w:ascii="微软雅黑" w:hAnsi="微软雅黑" w:eastAsia="微软雅黑"/>
                <w:sz w:val="18"/>
                <w:szCs w:val="18"/>
              </w:rPr>
            </w:pPr>
            <w:r>
              <w:rPr>
                <w:rFonts w:hint="eastAsia" w:ascii="微软雅黑" w:hAnsi="微软雅黑" w:eastAsia="微软雅黑"/>
                <w:sz w:val="18"/>
                <w:szCs w:val="18"/>
              </w:rPr>
              <w:t>认证大学</w:t>
            </w:r>
          </w:p>
        </w:tc>
      </w:tr>
    </w:tbl>
    <w:p>
      <w:pPr>
        <w:rPr>
          <w:rFonts w:ascii="微软雅黑" w:hAnsi="微软雅黑" w:eastAsia="微软雅黑"/>
          <w:sz w:val="18"/>
          <w:szCs w:val="18"/>
        </w:rPr>
      </w:pPr>
    </w:p>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世界排名</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0"/>
        <w:gridCol w:w="7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pBdr>
                <w:right w:val="single" w:color="auto" w:sz="4" w:space="4"/>
              </w:pBdr>
              <w:jc w:val="center"/>
              <w:rPr>
                <w:rFonts w:ascii="微软雅黑" w:hAnsi="微软雅黑" w:eastAsia="微软雅黑"/>
                <w:sz w:val="18"/>
                <w:szCs w:val="18"/>
              </w:rPr>
            </w:pPr>
            <w:r>
              <w:rPr>
                <w:rFonts w:ascii="微软雅黑" w:hAnsi="微软雅黑" w:eastAsia="微软雅黑"/>
                <w:sz w:val="18"/>
                <w:szCs w:val="18"/>
              </w:rPr>
              <w:drawing>
                <wp:inline distT="0" distB="0" distL="0" distR="0">
                  <wp:extent cx="1013460" cy="888365"/>
                  <wp:effectExtent l="0" t="0" r="0" b="0"/>
                  <wp:docPr id="120" name="图片 119"/>
                  <wp:cNvGraphicFramePr/>
                  <a:graphic xmlns:a="http://schemas.openxmlformats.org/drawingml/2006/main">
                    <a:graphicData uri="http://schemas.openxmlformats.org/drawingml/2006/picture">
                      <pic:pic xmlns:pic="http://schemas.openxmlformats.org/drawingml/2006/picture">
                        <pic:nvPicPr>
                          <pic:cNvPr id="120" name="图片 119"/>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14077" cy="888998"/>
                          </a:xfrm>
                          <a:prstGeom prst="rect">
                            <a:avLst/>
                          </a:prstGeom>
                          <a:noFill/>
                          <a:ln>
                            <a:noFill/>
                          </a:ln>
                        </pic:spPr>
                      </pic:pic>
                    </a:graphicData>
                  </a:graphic>
                </wp:inline>
              </w:drawing>
            </w:r>
          </w:p>
          <w:p>
            <w:pPr>
              <w:jc w:val="center"/>
              <w:rPr>
                <w:rFonts w:ascii="微软雅黑" w:hAnsi="微软雅黑" w:eastAsia="微软雅黑"/>
                <w:sz w:val="18"/>
                <w:szCs w:val="18"/>
              </w:rPr>
            </w:pPr>
            <w:r>
              <w:rPr>
                <w:rFonts w:hint="eastAsia" w:ascii="微软雅黑" w:hAnsi="微软雅黑" w:eastAsia="微软雅黑"/>
                <w:sz w:val="18"/>
                <w:szCs w:val="18"/>
              </w:rPr>
              <w:t>美国新闻与世界报道</w:t>
            </w:r>
          </w:p>
        </w:tc>
        <w:tc>
          <w:tcPr>
            <w:tcW w:w="7784"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w:t>
            </w:r>
            <w:r>
              <w:rPr>
                <w:rFonts w:ascii="微软雅黑 Light" w:hAnsi="微软雅黑 Light" w:eastAsia="微软雅黑 Light"/>
                <w:sz w:val="18"/>
                <w:szCs w:val="18"/>
              </w:rPr>
              <w:t xml:space="preserve"> US News 2019年度《最佳大学排行榜》，获得</w:t>
            </w:r>
            <w:r>
              <w:rPr>
                <w:rFonts w:hint="eastAsia" w:ascii="微软雅黑 Light" w:hAnsi="微软雅黑 Light" w:eastAsia="微软雅黑 Light"/>
                <w:sz w:val="18"/>
                <w:szCs w:val="18"/>
              </w:rPr>
              <w:t>北部</w:t>
            </w:r>
            <w:r>
              <w:rPr>
                <w:rFonts w:ascii="微软雅黑 Light" w:hAnsi="微软雅黑 Light" w:eastAsia="微软雅黑 Light"/>
                <w:sz w:val="18"/>
                <w:szCs w:val="18"/>
              </w:rPr>
              <w:t>地区第1</w:t>
            </w:r>
            <w:r>
              <w:rPr>
                <w:rFonts w:hint="eastAsia" w:ascii="微软雅黑 Light" w:hAnsi="微软雅黑 Light" w:eastAsia="微软雅黑 Light"/>
                <w:sz w:val="18"/>
                <w:szCs w:val="18"/>
              </w:rPr>
              <w:t>位</w:t>
            </w:r>
            <w:r>
              <w:rPr>
                <w:rFonts w:ascii="微软雅黑 Light" w:hAnsi="微软雅黑 Light" w:eastAsia="微软雅黑 Light"/>
                <w:sz w:val="18"/>
                <w:szCs w:val="18"/>
              </w:rPr>
              <w:t>。</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w:t>
            </w:r>
            <w:r>
              <w:rPr>
                <w:rFonts w:ascii="微软雅黑 Light" w:hAnsi="微软雅黑 Light" w:eastAsia="微软雅黑 Light"/>
                <w:sz w:val="18"/>
                <w:szCs w:val="18"/>
              </w:rPr>
              <w:t xml:space="preserve"> US News 2020年度《最最佳大学排行榜》，评其为“美国最具价值学校”第21</w:t>
            </w:r>
            <w:r>
              <w:rPr>
                <w:rFonts w:hint="eastAsia" w:ascii="微软雅黑 Light" w:hAnsi="微软雅黑 Light" w:eastAsia="微软雅黑 Light"/>
                <w:sz w:val="18"/>
                <w:szCs w:val="18"/>
              </w:rPr>
              <w:t>位</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w:t>
            </w:r>
            <w:r>
              <w:rPr>
                <w:rFonts w:ascii="微软雅黑 Light" w:hAnsi="微软雅黑 Light" w:eastAsia="微软雅黑 Light"/>
                <w:sz w:val="18"/>
                <w:szCs w:val="18"/>
              </w:rPr>
              <w:t xml:space="preserve"> US News 2020年度《最最佳大学排行榜》，“金融专业研究生”第14</w:t>
            </w:r>
            <w:r>
              <w:rPr>
                <w:rFonts w:hint="eastAsia" w:ascii="微软雅黑 Light" w:hAnsi="微软雅黑 Light" w:eastAsia="微软雅黑 Light"/>
                <w:sz w:val="18"/>
                <w:szCs w:val="18"/>
              </w:rPr>
              <w:t>位</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 《普林斯顿评论》提名其为</w:t>
            </w:r>
            <w:r>
              <w:rPr>
                <w:rFonts w:ascii="微软雅黑 Light" w:hAnsi="微软雅黑 Light" w:eastAsia="微软雅黑 Light"/>
                <w:sz w:val="18"/>
                <w:szCs w:val="18"/>
              </w:rPr>
              <w:t>2020年“全美最好的大学”之一</w:t>
            </w:r>
          </w:p>
          <w:p>
            <w:pPr>
              <w:rPr>
                <w:rFonts w:ascii="微软雅黑" w:hAnsi="微软雅黑" w:eastAsia="微软雅黑"/>
                <w:sz w:val="18"/>
                <w:szCs w:val="18"/>
              </w:rPr>
            </w:pPr>
            <w:r>
              <w:rPr>
                <w:rFonts w:hint="eastAsia" w:ascii="微软雅黑 Light" w:hAnsi="微软雅黑 Light" w:eastAsia="微软雅黑 Light"/>
                <w:sz w:val="18"/>
                <w:szCs w:val="18"/>
              </w:rPr>
              <w:t xml:space="preserve">• </w:t>
            </w:r>
            <w:r>
              <w:rPr>
                <w:rFonts w:ascii="微软雅黑 Light" w:hAnsi="微软雅黑 Light" w:eastAsia="微软雅黑 Light"/>
                <w:sz w:val="18"/>
                <w:szCs w:val="18"/>
              </w:rPr>
              <w:t>US News 2021年度</w:t>
            </w:r>
            <w:r>
              <w:rPr>
                <w:rFonts w:hint="eastAsia" w:ascii="微软雅黑 Light" w:hAnsi="微软雅黑 Light" w:eastAsia="微软雅黑 Light"/>
                <w:sz w:val="18"/>
                <w:szCs w:val="18"/>
              </w:rPr>
              <w:t>市场营销学全美排名第1</w:t>
            </w:r>
            <w:r>
              <w:rPr>
                <w:rFonts w:ascii="微软雅黑 Light" w:hAnsi="微软雅黑 Light" w:eastAsia="微软雅黑 Light"/>
                <w:sz w:val="18"/>
                <w:szCs w:val="18"/>
              </w:rPr>
              <w:t>8</w:t>
            </w:r>
            <w:r>
              <w:rPr>
                <w:rFonts w:hint="eastAsia" w:ascii="微软雅黑 Light" w:hAnsi="微软雅黑 Light" w:eastAsia="微软雅黑 Light"/>
                <w:sz w:val="18"/>
                <w:szCs w:val="18"/>
              </w:rPr>
              <w:t>位</w:t>
            </w:r>
          </w:p>
        </w:tc>
      </w:tr>
    </w:tbl>
    <w:p>
      <w:pPr>
        <w:rPr>
          <w:rFonts w:ascii="微软雅黑" w:hAnsi="微软雅黑" w:eastAsia="微软雅黑"/>
          <w:sz w:val="18"/>
          <w:szCs w:val="18"/>
        </w:rPr>
      </w:pPr>
    </w:p>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中国教育部涉外监管信息网备案院校</w:t>
      </w:r>
    </w:p>
    <w:p>
      <w:pPr>
        <w:rPr>
          <w:rFonts w:ascii="微软雅黑" w:hAnsi="微软雅黑" w:eastAsia="微软雅黑"/>
          <w:sz w:val="18"/>
          <w:szCs w:val="18"/>
        </w:rPr>
      </w:pPr>
      <w:r>
        <w:drawing>
          <wp:inline distT="0" distB="0" distL="0" distR="0">
            <wp:extent cx="6479540" cy="4254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479540" cy="4254500"/>
                    </a:xfrm>
                    <a:prstGeom prst="rect">
                      <a:avLst/>
                    </a:prstGeom>
                    <a:noFill/>
                    <a:ln>
                      <a:noFill/>
                    </a:ln>
                  </pic:spPr>
                </pic:pic>
              </a:graphicData>
            </a:graphic>
          </wp:inline>
        </w:drawing>
      </w:r>
    </w:p>
    <w:p>
      <w:pPr>
        <w:rPr>
          <w:rFonts w:ascii="微软雅黑" w:hAnsi="微软雅黑" w:eastAsia="微软雅黑"/>
          <w:sz w:val="18"/>
          <w:szCs w:val="18"/>
        </w:rPr>
      </w:pPr>
    </w:p>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项目特色</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 xml:space="preserve">◢ </w:t>
      </w:r>
      <w:r>
        <w:rPr>
          <w:rFonts w:ascii="微软雅黑 Light" w:hAnsi="微软雅黑 Light" w:eastAsia="微软雅黑 Light"/>
          <w:sz w:val="18"/>
          <w:szCs w:val="18"/>
        </w:rPr>
        <w:t>AACSB</w:t>
      </w:r>
      <w:r>
        <w:rPr>
          <w:rFonts w:hint="eastAsia" w:ascii="微软雅黑 Light" w:hAnsi="微软雅黑 Light" w:eastAsia="微软雅黑 Light"/>
          <w:sz w:val="18"/>
          <w:szCs w:val="18"/>
        </w:rPr>
        <w:t>认证院校</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 美国高等教育认证委员会</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 中国教育部涉外监管信息网推荐院校</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 全外教师资，体验原汁原味的美式教育</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 文凭全球通用，有助于留学、移民</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 全球4</w:t>
      </w:r>
      <w:r>
        <w:rPr>
          <w:rFonts w:ascii="微软雅黑 Light" w:hAnsi="微软雅黑 Light" w:eastAsia="微软雅黑 Light"/>
          <w:sz w:val="18"/>
          <w:szCs w:val="18"/>
        </w:rPr>
        <w:t>5000</w:t>
      </w:r>
      <w:r>
        <w:rPr>
          <w:rFonts w:hint="eastAsia" w:ascii="微软雅黑 Light" w:hAnsi="微软雅黑 Light" w:eastAsia="微软雅黑 Light"/>
          <w:sz w:val="18"/>
          <w:szCs w:val="18"/>
        </w:rPr>
        <w:t>多个校友</w:t>
      </w:r>
    </w:p>
    <w:p>
      <w:pPr>
        <w:rPr>
          <w:rFonts w:ascii="微软雅黑" w:hAnsi="微软雅黑" w:eastAsia="微软雅黑"/>
          <w:sz w:val="18"/>
          <w:szCs w:val="18"/>
        </w:rPr>
      </w:pPr>
    </w:p>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师资团队（部分）</w:t>
      </w:r>
    </w:p>
    <w:tbl>
      <w:tblPr>
        <w:tblStyle w:val="6"/>
        <w:tblW w:w="0" w:type="auto"/>
        <w:tblInd w:w="0" w:type="dxa"/>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Layout w:type="autofit"/>
        <w:tblCellMar>
          <w:top w:w="0" w:type="dxa"/>
          <w:left w:w="108" w:type="dxa"/>
          <w:bottom w:w="0" w:type="dxa"/>
          <w:right w:w="108" w:type="dxa"/>
        </w:tblCellMar>
      </w:tblPr>
      <w:tblGrid>
        <w:gridCol w:w="2548"/>
        <w:gridCol w:w="2548"/>
        <w:gridCol w:w="2549"/>
        <w:gridCol w:w="2549"/>
      </w:tblGrid>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548" w:type="dxa"/>
          </w:tcPr>
          <w:p>
            <w:pPr>
              <w:jc w:val="center"/>
              <w:rPr>
                <w:rFonts w:ascii="微软雅黑" w:hAnsi="微软雅黑" w:eastAsia="微软雅黑"/>
                <w:sz w:val="18"/>
                <w:szCs w:val="18"/>
              </w:rPr>
            </w:pPr>
            <w:r>
              <w:drawing>
                <wp:inline distT="0" distB="0" distL="0" distR="0">
                  <wp:extent cx="1439545" cy="1660525"/>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440000" cy="1660690"/>
                          </a:xfrm>
                          <a:prstGeom prst="rect">
                            <a:avLst/>
                          </a:prstGeom>
                        </pic:spPr>
                      </pic:pic>
                    </a:graphicData>
                  </a:graphic>
                </wp:inline>
              </w:drawing>
            </w:r>
          </w:p>
        </w:tc>
        <w:tc>
          <w:tcPr>
            <w:tcW w:w="2548" w:type="dxa"/>
          </w:tcPr>
          <w:p>
            <w:pPr>
              <w:jc w:val="center"/>
              <w:rPr>
                <w:rFonts w:ascii="微软雅黑" w:hAnsi="微软雅黑" w:eastAsia="微软雅黑"/>
                <w:sz w:val="18"/>
                <w:szCs w:val="18"/>
              </w:rPr>
            </w:pPr>
            <w:r>
              <w:drawing>
                <wp:inline distT="0" distB="0" distL="0" distR="0">
                  <wp:extent cx="1438910" cy="166116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rcRect t="758"/>
                          <a:stretch>
                            <a:fillRect/>
                          </a:stretch>
                        </pic:blipFill>
                        <pic:spPr>
                          <a:xfrm>
                            <a:off x="0" y="0"/>
                            <a:ext cx="1443323" cy="1666471"/>
                          </a:xfrm>
                          <a:prstGeom prst="rect">
                            <a:avLst/>
                          </a:prstGeom>
                          <a:ln>
                            <a:noFill/>
                          </a:ln>
                        </pic:spPr>
                      </pic:pic>
                    </a:graphicData>
                  </a:graphic>
                </wp:inline>
              </w:drawing>
            </w:r>
          </w:p>
        </w:tc>
        <w:tc>
          <w:tcPr>
            <w:tcW w:w="2549" w:type="dxa"/>
          </w:tcPr>
          <w:p>
            <w:pPr>
              <w:rPr>
                <w:rFonts w:ascii="微软雅黑" w:hAnsi="微软雅黑" w:eastAsia="微软雅黑"/>
                <w:sz w:val="18"/>
                <w:szCs w:val="18"/>
              </w:rPr>
            </w:pPr>
            <w:r>
              <w:drawing>
                <wp:inline distT="0" distB="0" distL="0" distR="0">
                  <wp:extent cx="1439545" cy="1656715"/>
                  <wp:effectExtent l="0" t="0" r="825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1440337" cy="1658015"/>
                          </a:xfrm>
                          <a:prstGeom prst="rect">
                            <a:avLst/>
                          </a:prstGeom>
                        </pic:spPr>
                      </pic:pic>
                    </a:graphicData>
                  </a:graphic>
                </wp:inline>
              </w:drawing>
            </w:r>
          </w:p>
        </w:tc>
        <w:tc>
          <w:tcPr>
            <w:tcW w:w="2549" w:type="dxa"/>
          </w:tcPr>
          <w:p>
            <w:pPr>
              <w:rPr>
                <w:rFonts w:ascii="微软雅黑" w:hAnsi="微软雅黑" w:eastAsia="微软雅黑"/>
                <w:sz w:val="18"/>
                <w:szCs w:val="18"/>
              </w:rPr>
            </w:pPr>
            <w:r>
              <w:drawing>
                <wp:inline distT="0" distB="0" distL="0" distR="0">
                  <wp:extent cx="1439545" cy="165735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1440000" cy="1657674"/>
                          </a:xfrm>
                          <a:prstGeom prst="rect">
                            <a:avLst/>
                          </a:prstGeom>
                        </pic:spPr>
                      </pic:pic>
                    </a:graphicData>
                  </a:graphic>
                </wp:inline>
              </w:drawing>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548" w:type="dxa"/>
          </w:tcPr>
          <w:p>
            <w:pPr>
              <w:rPr>
                <w:rFonts w:ascii="微软雅黑 Light" w:hAnsi="微软雅黑 Light" w:eastAsia="微软雅黑 Light"/>
                <w:b/>
                <w:bCs/>
                <w:sz w:val="15"/>
                <w:szCs w:val="15"/>
              </w:rPr>
            </w:pPr>
            <w:r>
              <w:rPr>
                <w:rFonts w:ascii="微软雅黑 Light" w:hAnsi="微软雅黑 Light" w:eastAsia="微软雅黑 Light"/>
                <w:b/>
                <w:bCs/>
                <w:sz w:val="15"/>
                <w:szCs w:val="15"/>
              </w:rPr>
              <w:t>Zhan Li</w:t>
            </w:r>
          </w:p>
          <w:p>
            <w:pPr>
              <w:rPr>
                <w:rFonts w:ascii="微软雅黑 Light" w:hAnsi="微软雅黑 Light" w:eastAsia="微软雅黑 Light"/>
                <w:sz w:val="18"/>
                <w:szCs w:val="18"/>
              </w:rPr>
            </w:pPr>
            <w:r>
              <w:rPr>
                <w:rFonts w:hint="eastAsia" w:ascii="微软雅黑 Light" w:hAnsi="微软雅黑 Light" w:eastAsia="微软雅黑 Light"/>
                <w:sz w:val="15"/>
                <w:szCs w:val="15"/>
              </w:rPr>
              <w:t>费尔菲尔德大学多兰商学院院长，波士顿大学博士学位，曾担任旧金山大学商学院副院长；曾任教于波士顿大学和北京大学</w:t>
            </w:r>
          </w:p>
        </w:tc>
        <w:tc>
          <w:tcPr>
            <w:tcW w:w="2548" w:type="dxa"/>
          </w:tcPr>
          <w:p>
            <w:pPr>
              <w:rPr>
                <w:rFonts w:ascii="微软雅黑 Light" w:hAnsi="微软雅黑 Light" w:eastAsia="微软雅黑 Light"/>
                <w:b/>
                <w:bCs/>
                <w:sz w:val="15"/>
                <w:szCs w:val="15"/>
              </w:rPr>
            </w:pPr>
            <w:r>
              <w:rPr>
                <w:rFonts w:ascii="微软雅黑 Light" w:hAnsi="微软雅黑 Light" w:eastAsia="微软雅黑 Light"/>
                <w:b/>
                <w:bCs/>
                <w:sz w:val="15"/>
                <w:szCs w:val="15"/>
              </w:rPr>
              <w:t>John McDermott</w:t>
            </w:r>
          </w:p>
          <w:p>
            <w:pPr>
              <w:rPr>
                <w:rFonts w:ascii="微软雅黑 Light" w:hAnsi="微软雅黑 Light" w:eastAsia="微软雅黑 Light"/>
                <w:sz w:val="15"/>
                <w:szCs w:val="15"/>
              </w:rPr>
            </w:pPr>
            <w:r>
              <w:rPr>
                <w:rFonts w:hint="eastAsia" w:ascii="微软雅黑 Light" w:hAnsi="微软雅黑 Light" w:eastAsia="微软雅黑 Light"/>
                <w:sz w:val="15"/>
                <w:szCs w:val="15"/>
              </w:rPr>
              <w:t>费尔菲尔德大学多兰商学院财务</w:t>
            </w:r>
          </w:p>
          <w:p>
            <w:pPr>
              <w:rPr>
                <w:rFonts w:ascii="微软雅黑 Light" w:hAnsi="微软雅黑 Light" w:eastAsia="微软雅黑 Light"/>
                <w:sz w:val="15"/>
                <w:szCs w:val="15"/>
              </w:rPr>
            </w:pPr>
            <w:r>
              <w:rPr>
                <w:rFonts w:hint="eastAsia" w:ascii="微软雅黑 Light" w:hAnsi="微软雅黑 Light" w:eastAsia="微软雅黑 Light"/>
                <w:sz w:val="15"/>
                <w:szCs w:val="15"/>
              </w:rPr>
              <w:t>系主任，康涅狄格大学博士学位，</w:t>
            </w:r>
          </w:p>
          <w:p>
            <w:pPr>
              <w:rPr>
                <w:rFonts w:ascii="微软雅黑 Light" w:hAnsi="微软雅黑 Light" w:eastAsia="微软雅黑 Light"/>
                <w:sz w:val="15"/>
                <w:szCs w:val="15"/>
              </w:rPr>
            </w:pPr>
            <w:r>
              <w:rPr>
                <w:rFonts w:ascii="微软雅黑 Light" w:hAnsi="微软雅黑 Light" w:eastAsia="微软雅黑 Light"/>
                <w:sz w:val="15"/>
                <w:szCs w:val="15"/>
              </w:rPr>
              <w:t>Symmetry Partners公司首席投</w:t>
            </w:r>
          </w:p>
          <w:p>
            <w:pPr>
              <w:rPr>
                <w:rFonts w:ascii="微软雅黑 Light" w:hAnsi="微软雅黑 Light" w:eastAsia="微软雅黑 Light"/>
                <w:sz w:val="18"/>
                <w:szCs w:val="18"/>
              </w:rPr>
            </w:pPr>
            <w:r>
              <w:rPr>
                <w:rFonts w:hint="eastAsia" w:ascii="微软雅黑 Light" w:hAnsi="微软雅黑 Light" w:eastAsia="微软雅黑 Light"/>
                <w:sz w:val="15"/>
                <w:szCs w:val="15"/>
              </w:rPr>
              <w:t>资策略师、高级顾问</w:t>
            </w:r>
          </w:p>
        </w:tc>
        <w:tc>
          <w:tcPr>
            <w:tcW w:w="2549" w:type="dxa"/>
          </w:tcPr>
          <w:p>
            <w:pPr>
              <w:rPr>
                <w:rFonts w:ascii="微软雅黑 Light" w:hAnsi="微软雅黑 Light" w:eastAsia="微软雅黑 Light"/>
                <w:b/>
                <w:bCs/>
                <w:sz w:val="15"/>
                <w:szCs w:val="15"/>
              </w:rPr>
            </w:pPr>
            <w:r>
              <w:rPr>
                <w:rFonts w:ascii="微软雅黑 Light" w:hAnsi="微软雅黑 Light" w:eastAsia="微软雅黑 Light"/>
                <w:b/>
                <w:bCs/>
                <w:sz w:val="15"/>
                <w:szCs w:val="15"/>
              </w:rPr>
              <w:t>Rosalind Looby</w:t>
            </w:r>
          </w:p>
          <w:p>
            <w:pPr>
              <w:rPr>
                <w:rFonts w:ascii="微软雅黑 Light" w:hAnsi="微软雅黑 Light" w:eastAsia="微软雅黑 Light"/>
                <w:sz w:val="15"/>
                <w:szCs w:val="15"/>
              </w:rPr>
            </w:pPr>
            <w:r>
              <w:rPr>
                <w:rFonts w:hint="eastAsia" w:ascii="微软雅黑 Light" w:hAnsi="微软雅黑 Light" w:eastAsia="微软雅黑 Light"/>
                <w:sz w:val="15"/>
                <w:szCs w:val="15"/>
              </w:rPr>
              <w:t>费尔菲尔德大学多兰商学院研究</w:t>
            </w:r>
          </w:p>
          <w:p>
            <w:pPr>
              <w:rPr>
                <w:rFonts w:ascii="微软雅黑 Light" w:hAnsi="微软雅黑 Light" w:eastAsia="微软雅黑 Light"/>
                <w:sz w:val="15"/>
                <w:szCs w:val="15"/>
              </w:rPr>
            </w:pPr>
            <w:r>
              <w:rPr>
                <w:rFonts w:hint="eastAsia" w:ascii="微软雅黑 Light" w:hAnsi="微软雅黑 Light" w:eastAsia="微软雅黑 Light"/>
                <w:sz w:val="15"/>
                <w:szCs w:val="15"/>
              </w:rPr>
              <w:t>生金融项目主任、金融实践助理</w:t>
            </w:r>
          </w:p>
          <w:p>
            <w:pPr>
              <w:rPr>
                <w:rFonts w:ascii="微软雅黑 Light" w:hAnsi="微软雅黑 Light" w:eastAsia="微软雅黑 Light"/>
                <w:sz w:val="15"/>
                <w:szCs w:val="15"/>
              </w:rPr>
            </w:pPr>
            <w:r>
              <w:rPr>
                <w:rFonts w:hint="eastAsia" w:ascii="微软雅黑 Light" w:hAnsi="微软雅黑 Light" w:eastAsia="微软雅黑 Light"/>
                <w:sz w:val="15"/>
                <w:szCs w:val="15"/>
              </w:rPr>
              <w:t>教授，纽约大学斯特恩商学院的</w:t>
            </w:r>
          </w:p>
          <w:p>
            <w:pPr>
              <w:rPr>
                <w:rFonts w:ascii="微软雅黑" w:hAnsi="微软雅黑" w:eastAsia="微软雅黑"/>
                <w:sz w:val="18"/>
                <w:szCs w:val="18"/>
              </w:rPr>
            </w:pPr>
            <w:r>
              <w:rPr>
                <w:rFonts w:hint="eastAsia" w:ascii="微软雅黑 Light" w:hAnsi="微软雅黑 Light" w:eastAsia="微软雅黑 Light"/>
                <w:sz w:val="15"/>
                <w:szCs w:val="15"/>
              </w:rPr>
              <w:t>财务和会计</w:t>
            </w:r>
            <w:r>
              <w:rPr>
                <w:rFonts w:ascii="微软雅黑 Light" w:hAnsi="微软雅黑 Light" w:eastAsia="微软雅黑 Light"/>
                <w:sz w:val="15"/>
                <w:szCs w:val="15"/>
              </w:rPr>
              <w:t>MBA 学位</w:t>
            </w:r>
          </w:p>
        </w:tc>
        <w:tc>
          <w:tcPr>
            <w:tcW w:w="2549" w:type="dxa"/>
          </w:tcPr>
          <w:p>
            <w:pPr>
              <w:rPr>
                <w:rFonts w:ascii="微软雅黑 Light" w:hAnsi="微软雅黑 Light" w:eastAsia="微软雅黑 Light"/>
                <w:b/>
                <w:bCs/>
                <w:sz w:val="15"/>
                <w:szCs w:val="15"/>
              </w:rPr>
            </w:pPr>
            <w:r>
              <w:rPr>
                <w:rFonts w:ascii="微软雅黑 Light" w:hAnsi="微软雅黑 Light" w:eastAsia="微软雅黑 Light"/>
                <w:b/>
                <w:bCs/>
                <w:sz w:val="15"/>
                <w:szCs w:val="15"/>
              </w:rPr>
              <w:t>Lisa Stanford</w:t>
            </w:r>
          </w:p>
          <w:p>
            <w:pPr>
              <w:rPr>
                <w:rFonts w:ascii="微软雅黑 Light" w:hAnsi="微软雅黑 Light" w:eastAsia="微软雅黑 Light"/>
                <w:sz w:val="15"/>
                <w:szCs w:val="15"/>
              </w:rPr>
            </w:pPr>
            <w:r>
              <w:rPr>
                <w:rFonts w:hint="eastAsia" w:ascii="微软雅黑 Light" w:hAnsi="微软雅黑 Light" w:eastAsia="微软雅黑 Light"/>
                <w:sz w:val="15"/>
                <w:szCs w:val="15"/>
              </w:rPr>
              <w:t>费尔菲尔德大学多兰商学院职业</w:t>
            </w:r>
          </w:p>
          <w:p>
            <w:pPr>
              <w:rPr>
                <w:rFonts w:ascii="微软雅黑 Light" w:hAnsi="微软雅黑 Light" w:eastAsia="微软雅黑 Light"/>
                <w:sz w:val="15"/>
                <w:szCs w:val="15"/>
              </w:rPr>
            </w:pPr>
            <w:r>
              <w:rPr>
                <w:rFonts w:hint="eastAsia" w:ascii="微软雅黑 Light" w:hAnsi="微软雅黑 Light" w:eastAsia="微软雅黑 Light"/>
                <w:sz w:val="15"/>
                <w:szCs w:val="15"/>
              </w:rPr>
              <w:t>导师，巴布森学院投资金融硕士</w:t>
            </w:r>
          </w:p>
          <w:p>
            <w:pPr>
              <w:rPr>
                <w:rFonts w:ascii="微软雅黑 Light" w:hAnsi="微软雅黑 Light" w:eastAsia="微软雅黑 Light"/>
                <w:sz w:val="15"/>
                <w:szCs w:val="15"/>
              </w:rPr>
            </w:pPr>
            <w:r>
              <w:rPr>
                <w:rFonts w:hint="eastAsia" w:ascii="微软雅黑 Light" w:hAnsi="微软雅黑 Light" w:eastAsia="微软雅黑 Light"/>
                <w:sz w:val="15"/>
                <w:szCs w:val="15"/>
              </w:rPr>
              <w:t>学位，在人力资源领域有着多达</w:t>
            </w:r>
          </w:p>
          <w:p>
            <w:pPr>
              <w:rPr>
                <w:rFonts w:ascii="微软雅黑" w:hAnsi="微软雅黑" w:eastAsia="微软雅黑"/>
                <w:sz w:val="18"/>
                <w:szCs w:val="18"/>
              </w:rPr>
            </w:pPr>
            <w:r>
              <w:rPr>
                <w:rFonts w:ascii="微软雅黑 Light" w:hAnsi="微软雅黑 Light" w:eastAsia="微软雅黑 Light"/>
                <w:sz w:val="15"/>
                <w:szCs w:val="15"/>
              </w:rPr>
              <w:t>30年的行业管理和咨询经验</w:t>
            </w:r>
          </w:p>
        </w:tc>
      </w:tr>
    </w:tbl>
    <w:p>
      <w:pPr>
        <w:rPr>
          <w:rFonts w:ascii="微软雅黑" w:hAnsi="微软雅黑" w:eastAsia="微软雅黑"/>
          <w:sz w:val="18"/>
          <w:szCs w:val="18"/>
        </w:rPr>
      </w:pPr>
    </w:p>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课程设置</w:t>
      </w:r>
    </w:p>
    <w:tbl>
      <w:tblPr>
        <w:tblStyle w:val="6"/>
        <w:tblW w:w="0" w:type="auto"/>
        <w:tblInd w:w="0" w:type="dxa"/>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Layout w:type="autofit"/>
        <w:tblCellMar>
          <w:top w:w="0" w:type="dxa"/>
          <w:left w:w="108" w:type="dxa"/>
          <w:bottom w:w="0" w:type="dxa"/>
          <w:right w:w="108" w:type="dxa"/>
        </w:tblCellMar>
      </w:tblPr>
      <w:tblGrid>
        <w:gridCol w:w="2830"/>
        <w:gridCol w:w="7364"/>
      </w:tblGrid>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jc w:val="center"/>
              <w:rPr>
                <w:rFonts w:ascii="微软雅黑" w:hAnsi="微软雅黑" w:eastAsia="微软雅黑"/>
                <w:b/>
                <w:bCs/>
                <w:sz w:val="18"/>
                <w:szCs w:val="18"/>
              </w:rPr>
            </w:pPr>
            <w:r>
              <w:rPr>
                <w:rFonts w:hint="eastAsia" w:ascii="微软雅黑" w:hAnsi="微软雅黑" w:eastAsia="微软雅黑"/>
                <w:b/>
                <w:bCs/>
                <w:sz w:val="18"/>
                <w:szCs w:val="18"/>
              </w:rPr>
              <w:t>课程名称</w:t>
            </w:r>
          </w:p>
        </w:tc>
        <w:tc>
          <w:tcPr>
            <w:tcW w:w="7364" w:type="dxa"/>
          </w:tcPr>
          <w:p>
            <w:pPr>
              <w:jc w:val="center"/>
              <w:rPr>
                <w:rFonts w:ascii="微软雅黑" w:hAnsi="微软雅黑" w:eastAsia="微软雅黑"/>
                <w:b/>
                <w:bCs/>
                <w:sz w:val="18"/>
                <w:szCs w:val="18"/>
              </w:rPr>
            </w:pPr>
            <w:r>
              <w:rPr>
                <w:rFonts w:hint="eastAsia" w:ascii="微软雅黑" w:hAnsi="微软雅黑" w:eastAsia="微软雅黑"/>
                <w:b/>
                <w:bCs/>
                <w:sz w:val="18"/>
                <w:szCs w:val="18"/>
              </w:rPr>
              <w:t>课程描述</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1 </w:t>
            </w:r>
            <w:r>
              <w:rPr>
                <w:rFonts w:hint="eastAsia" w:ascii="微软雅黑 Light" w:hAnsi="微软雅黑 Light" w:eastAsia="微软雅黑 Light"/>
                <w:sz w:val="18"/>
                <w:szCs w:val="18"/>
              </w:rPr>
              <w:t>客户价值</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本课程研究客户价值的概念，目的是了解如何利用客户价值来实现客户满意度，从而使客户产生忠诚度，最终建立长期稳定的客户关系。</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2 </w:t>
            </w:r>
            <w:r>
              <w:rPr>
                <w:rFonts w:hint="eastAsia" w:ascii="微软雅黑 Light" w:hAnsi="微软雅黑 Light" w:eastAsia="微软雅黑 Light"/>
                <w:sz w:val="18"/>
                <w:szCs w:val="18"/>
              </w:rPr>
              <w:t>领导力</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本课程旨在帮助各个领域的学生在金融、营销、信息系统、会计和国际商务等领域，成为能够激励和动员员工专注于战略目标的领导者。</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3 </w:t>
            </w:r>
            <w:r>
              <w:rPr>
                <w:rFonts w:hint="eastAsia" w:ascii="微软雅黑 Light" w:hAnsi="微软雅黑 Light" w:eastAsia="微软雅黑 Light"/>
                <w:sz w:val="18"/>
                <w:szCs w:val="18"/>
              </w:rPr>
              <w:t>公司金融学</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本课程将探讨有关公司金融政策和战略的理论和实证文献。</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4 </w:t>
            </w:r>
            <w:r>
              <w:rPr>
                <w:rFonts w:hint="eastAsia" w:ascii="微软雅黑 Light" w:hAnsi="微软雅黑 Light" w:eastAsia="微软雅黑 Light"/>
                <w:sz w:val="18"/>
                <w:szCs w:val="18"/>
              </w:rPr>
              <w:t>信息系统与数据管理</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本课程介绍了与信息系统和数据库管理相关的基本概念和工具，以及它们在业务战略和业务运作中的辅助作用。</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5 </w:t>
            </w:r>
            <w:r>
              <w:rPr>
                <w:rFonts w:hint="eastAsia" w:ascii="微软雅黑 Light" w:hAnsi="微软雅黑 Light" w:eastAsia="微软雅黑 Light"/>
                <w:sz w:val="18"/>
                <w:szCs w:val="18"/>
              </w:rPr>
              <w:t>财务信息分析和决策</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本课程目的是为管理者提供能够解释财务和管理会计系统所提供的分析信息的必要技能。</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6 </w:t>
            </w:r>
            <w:r>
              <w:rPr>
                <w:rFonts w:hint="eastAsia" w:ascii="微软雅黑 Light" w:hAnsi="微软雅黑 Light" w:eastAsia="微软雅黑 Light"/>
                <w:sz w:val="18"/>
                <w:szCs w:val="18"/>
              </w:rPr>
              <w:t>现代商业法律和道德</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本课程旨在培养学生的逻辑推理和论证能力，并将法律、社会和道德因素融入决策中。</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7 </w:t>
            </w:r>
            <w:r>
              <w:rPr>
                <w:rFonts w:hint="eastAsia" w:ascii="微软雅黑 Light" w:hAnsi="微软雅黑 Light" w:eastAsia="微软雅黑 Light"/>
                <w:sz w:val="18"/>
                <w:szCs w:val="18"/>
              </w:rPr>
              <w:t>产业投资分析</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本课程强调有效的资本市场在估值过程中至关重要的风险收益权衡功能。</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8 </w:t>
            </w:r>
            <w:r>
              <w:rPr>
                <w:rFonts w:hint="eastAsia" w:ascii="微软雅黑 Light" w:hAnsi="微软雅黑 Light" w:eastAsia="微软雅黑 Light"/>
                <w:sz w:val="18"/>
                <w:szCs w:val="18"/>
              </w:rPr>
              <w:t>全球投资市场和机构</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本课程从金融市场在经济体系中的功能出发，研究金融市场。</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0</w:t>
            </w:r>
            <w:r>
              <w:rPr>
                <w:rFonts w:ascii="微软雅黑 Light" w:hAnsi="微软雅黑 Light" w:eastAsia="微软雅黑 Light"/>
                <w:sz w:val="18"/>
                <w:szCs w:val="18"/>
              </w:rPr>
              <w:t xml:space="preserve">9 </w:t>
            </w:r>
            <w:r>
              <w:rPr>
                <w:rFonts w:hint="eastAsia" w:ascii="微软雅黑 Light" w:hAnsi="微软雅黑 Light" w:eastAsia="微软雅黑 Light"/>
                <w:sz w:val="18"/>
                <w:szCs w:val="18"/>
              </w:rPr>
              <w:t>股东价值</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本课程主要研究企业决策，目的是为股东创造和管理价值。</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1</w:t>
            </w:r>
            <w:r>
              <w:rPr>
                <w:rFonts w:ascii="微软雅黑 Light" w:hAnsi="微软雅黑 Light" w:eastAsia="微软雅黑 Light"/>
                <w:sz w:val="18"/>
                <w:szCs w:val="18"/>
              </w:rPr>
              <w:t xml:space="preserve">0 </w:t>
            </w:r>
            <w:r>
              <w:rPr>
                <w:rFonts w:hint="eastAsia" w:ascii="微软雅黑 Light" w:hAnsi="微软雅黑 Light" w:eastAsia="微软雅黑 Light"/>
                <w:sz w:val="18"/>
                <w:szCs w:val="18"/>
              </w:rPr>
              <w:t>投资风险管理</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本课程的重点是评估和管理公司风险和投资组合风险。</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1</w:t>
            </w:r>
            <w:r>
              <w:rPr>
                <w:rFonts w:ascii="微软雅黑 Light" w:hAnsi="微软雅黑 Light" w:eastAsia="微软雅黑 Light"/>
                <w:sz w:val="18"/>
                <w:szCs w:val="18"/>
              </w:rPr>
              <w:t xml:space="preserve">1 </w:t>
            </w:r>
            <w:r>
              <w:rPr>
                <w:rFonts w:hint="eastAsia" w:ascii="微软雅黑 Light" w:hAnsi="微软雅黑 Light" w:eastAsia="微软雅黑 Light"/>
                <w:sz w:val="18"/>
                <w:szCs w:val="18"/>
              </w:rPr>
              <w:t>全球竞合战略</w:t>
            </w:r>
          </w:p>
        </w:tc>
        <w:tc>
          <w:tcPr>
            <w:tcW w:w="7364" w:type="dxa"/>
          </w:tcPr>
          <w:p>
            <w:pPr>
              <w:rPr>
                <w:rFonts w:ascii="微软雅黑 Light" w:hAnsi="微软雅黑 Light" w:eastAsia="微软雅黑 Light"/>
                <w:sz w:val="15"/>
                <w:szCs w:val="15"/>
              </w:rPr>
            </w:pPr>
            <w:r>
              <w:rPr>
                <w:rFonts w:hint="eastAsia" w:ascii="微软雅黑 Light" w:hAnsi="微软雅黑 Light" w:eastAsia="微软雅黑 Light"/>
                <w:sz w:val="15"/>
                <w:szCs w:val="15"/>
              </w:rPr>
              <w:t>本课程探讨了总经理在这一过程中的角色，介绍了企业的管理层在战略规划中可能要考虑和解决的各种问题。</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2830"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1</w:t>
            </w:r>
            <w:r>
              <w:rPr>
                <w:rFonts w:ascii="微软雅黑 Light" w:hAnsi="微软雅黑 Light" w:eastAsia="微软雅黑 Light"/>
                <w:sz w:val="18"/>
                <w:szCs w:val="18"/>
              </w:rPr>
              <w:t xml:space="preserve">2 </w:t>
            </w:r>
            <w:r>
              <w:rPr>
                <w:rFonts w:hint="eastAsia" w:ascii="微软雅黑 Light" w:hAnsi="微软雅黑 Light" w:eastAsia="微软雅黑 Light"/>
                <w:sz w:val="18"/>
                <w:szCs w:val="18"/>
              </w:rPr>
              <w:t>华尔街沉浸式课堂</w:t>
            </w:r>
          </w:p>
        </w:tc>
        <w:tc>
          <w:tcPr>
            <w:tcW w:w="7364" w:type="dxa"/>
          </w:tcPr>
          <w:p>
            <w:pPr>
              <w:rPr>
                <w:rFonts w:ascii="微软雅黑 Light" w:hAnsi="微软雅黑 Light" w:eastAsia="微软雅黑 Light"/>
                <w:sz w:val="18"/>
                <w:szCs w:val="18"/>
              </w:rPr>
            </w:pPr>
          </w:p>
        </w:tc>
      </w:tr>
    </w:tbl>
    <w:p>
      <w:pPr>
        <w:rPr>
          <w:rFonts w:ascii="微软雅黑" w:hAnsi="微软雅黑" w:eastAsia="微软雅黑"/>
          <w:sz w:val="18"/>
          <w:szCs w:val="18"/>
        </w:rPr>
      </w:pPr>
    </w:p>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学制/学费</w:t>
      </w:r>
    </w:p>
    <w:tbl>
      <w:tblPr>
        <w:tblStyle w:val="6"/>
        <w:tblW w:w="10203" w:type="dxa"/>
        <w:tblInd w:w="0" w:type="dxa"/>
        <w:tblBorders>
          <w:top w:val="single" w:color="D8D8D8" w:themeColor="background1" w:themeShade="D9" w:sz="2" w:space="0"/>
          <w:left w:val="single" w:color="D8D8D8" w:themeColor="background1" w:themeShade="D9" w:sz="2" w:space="0"/>
          <w:bottom w:val="single" w:color="D8D8D8" w:themeColor="background1" w:themeShade="D9" w:sz="2" w:space="0"/>
          <w:right w:val="single" w:color="D8D8D8" w:themeColor="background1" w:themeShade="D9" w:sz="2" w:space="0"/>
          <w:insideH w:val="single" w:color="D8D8D8" w:themeColor="background1" w:themeShade="D9" w:sz="2" w:space="0"/>
          <w:insideV w:val="single" w:color="D8D8D8" w:themeColor="background1" w:themeShade="D9" w:sz="2" w:space="0"/>
        </w:tblBorders>
        <w:tblLayout w:type="autofit"/>
        <w:tblCellMar>
          <w:top w:w="0" w:type="dxa"/>
          <w:left w:w="108" w:type="dxa"/>
          <w:bottom w:w="0" w:type="dxa"/>
          <w:right w:w="108" w:type="dxa"/>
        </w:tblCellMar>
      </w:tblPr>
      <w:tblGrid>
        <w:gridCol w:w="1982"/>
        <w:gridCol w:w="8221"/>
      </w:tblGrid>
      <w:tr>
        <w:tblPrEx>
          <w:tblBorders>
            <w:top w:val="single" w:color="D8D8D8" w:themeColor="background1" w:themeShade="D9" w:sz="2" w:space="0"/>
            <w:left w:val="single" w:color="D8D8D8" w:themeColor="background1" w:themeShade="D9" w:sz="2" w:space="0"/>
            <w:bottom w:val="single" w:color="D8D8D8" w:themeColor="background1" w:themeShade="D9" w:sz="2" w:space="0"/>
            <w:right w:val="single" w:color="D8D8D8" w:themeColor="background1" w:themeShade="D9" w:sz="2" w:space="0"/>
            <w:insideH w:val="single" w:color="D8D8D8" w:themeColor="background1" w:themeShade="D9" w:sz="2" w:space="0"/>
            <w:insideV w:val="single" w:color="D8D8D8" w:themeColor="background1" w:themeShade="D9" w:sz="2" w:space="0"/>
          </w:tblBorders>
          <w:tblCellMar>
            <w:top w:w="0" w:type="dxa"/>
            <w:left w:w="108" w:type="dxa"/>
            <w:bottom w:w="0" w:type="dxa"/>
            <w:right w:w="108" w:type="dxa"/>
          </w:tblCellMar>
        </w:tblPrEx>
        <w:tc>
          <w:tcPr>
            <w:tcW w:w="1982"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授课语言</w:t>
            </w:r>
          </w:p>
        </w:tc>
        <w:tc>
          <w:tcPr>
            <w:tcW w:w="8221"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英文+中文</w:t>
            </w:r>
          </w:p>
        </w:tc>
      </w:tr>
      <w:tr>
        <w:tblPrEx>
          <w:tblBorders>
            <w:top w:val="single" w:color="D8D8D8" w:themeColor="background1" w:themeShade="D9" w:sz="2" w:space="0"/>
            <w:left w:val="single" w:color="D8D8D8" w:themeColor="background1" w:themeShade="D9" w:sz="2" w:space="0"/>
            <w:bottom w:val="single" w:color="D8D8D8" w:themeColor="background1" w:themeShade="D9" w:sz="2" w:space="0"/>
            <w:right w:val="single" w:color="D8D8D8" w:themeColor="background1" w:themeShade="D9" w:sz="2" w:space="0"/>
            <w:insideH w:val="single" w:color="D8D8D8" w:themeColor="background1" w:themeShade="D9" w:sz="2" w:space="0"/>
            <w:insideV w:val="single" w:color="D8D8D8" w:themeColor="background1" w:themeShade="D9" w:sz="2" w:space="0"/>
          </w:tblBorders>
          <w:tblCellMar>
            <w:top w:w="0" w:type="dxa"/>
            <w:left w:w="108" w:type="dxa"/>
            <w:bottom w:w="0" w:type="dxa"/>
            <w:right w:w="108" w:type="dxa"/>
          </w:tblCellMar>
        </w:tblPrEx>
        <w:tc>
          <w:tcPr>
            <w:tcW w:w="1982"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授课方式</w:t>
            </w:r>
          </w:p>
        </w:tc>
        <w:tc>
          <w:tcPr>
            <w:tcW w:w="8221"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每月集中三天面授（周五、周六、周日）</w:t>
            </w:r>
          </w:p>
        </w:tc>
      </w:tr>
      <w:tr>
        <w:tblPrEx>
          <w:tblBorders>
            <w:top w:val="single" w:color="D8D8D8" w:themeColor="background1" w:themeShade="D9" w:sz="2" w:space="0"/>
            <w:left w:val="single" w:color="D8D8D8" w:themeColor="background1" w:themeShade="D9" w:sz="2" w:space="0"/>
            <w:bottom w:val="single" w:color="D8D8D8" w:themeColor="background1" w:themeShade="D9" w:sz="2" w:space="0"/>
            <w:right w:val="single" w:color="D8D8D8" w:themeColor="background1" w:themeShade="D9" w:sz="2" w:space="0"/>
            <w:insideH w:val="single" w:color="D8D8D8" w:themeColor="background1" w:themeShade="D9" w:sz="2" w:space="0"/>
            <w:insideV w:val="single" w:color="D8D8D8" w:themeColor="background1" w:themeShade="D9" w:sz="2" w:space="0"/>
          </w:tblBorders>
          <w:tblCellMar>
            <w:top w:w="0" w:type="dxa"/>
            <w:left w:w="108" w:type="dxa"/>
            <w:bottom w:w="0" w:type="dxa"/>
            <w:right w:w="108" w:type="dxa"/>
          </w:tblCellMar>
        </w:tblPrEx>
        <w:tc>
          <w:tcPr>
            <w:tcW w:w="1982"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授课地点</w:t>
            </w:r>
          </w:p>
        </w:tc>
        <w:tc>
          <w:tcPr>
            <w:tcW w:w="8221"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上海</w:t>
            </w:r>
            <w:r>
              <w:rPr>
                <w:rFonts w:ascii="微软雅黑 Light" w:hAnsi="微软雅黑 Light" w:eastAsia="微软雅黑 Light"/>
                <w:sz w:val="18"/>
                <w:szCs w:val="18"/>
              </w:rPr>
              <w:t>+美国总校（</w:t>
            </w:r>
            <w:r>
              <w:rPr>
                <w:rFonts w:hint="eastAsia" w:ascii="微软雅黑 Light" w:hAnsi="微软雅黑 Light" w:eastAsia="微软雅黑 Light"/>
                <w:sz w:val="18"/>
                <w:szCs w:val="18"/>
              </w:rPr>
              <w:t>毕业典礼</w:t>
            </w:r>
            <w:r>
              <w:rPr>
                <w:rFonts w:ascii="微软雅黑 Light" w:hAnsi="微软雅黑 Light" w:eastAsia="微软雅黑 Light"/>
                <w:sz w:val="18"/>
                <w:szCs w:val="18"/>
              </w:rPr>
              <w:t>）</w:t>
            </w:r>
          </w:p>
        </w:tc>
      </w:tr>
      <w:tr>
        <w:tblPrEx>
          <w:tblBorders>
            <w:top w:val="single" w:color="D8D8D8" w:themeColor="background1" w:themeShade="D9" w:sz="2" w:space="0"/>
            <w:left w:val="single" w:color="D8D8D8" w:themeColor="background1" w:themeShade="D9" w:sz="2" w:space="0"/>
            <w:bottom w:val="single" w:color="D8D8D8" w:themeColor="background1" w:themeShade="D9" w:sz="2" w:space="0"/>
            <w:right w:val="single" w:color="D8D8D8" w:themeColor="background1" w:themeShade="D9" w:sz="2" w:space="0"/>
            <w:insideH w:val="single" w:color="D8D8D8" w:themeColor="background1" w:themeShade="D9" w:sz="2" w:space="0"/>
            <w:insideV w:val="single" w:color="D8D8D8" w:themeColor="background1" w:themeShade="D9" w:sz="2" w:space="0"/>
          </w:tblBorders>
          <w:tblCellMar>
            <w:top w:w="0" w:type="dxa"/>
            <w:left w:w="108" w:type="dxa"/>
            <w:bottom w:w="0" w:type="dxa"/>
            <w:right w:w="108" w:type="dxa"/>
          </w:tblCellMar>
        </w:tblPrEx>
        <w:tc>
          <w:tcPr>
            <w:tcW w:w="1982"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学    制</w:t>
            </w:r>
          </w:p>
        </w:tc>
        <w:tc>
          <w:tcPr>
            <w:tcW w:w="8221"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1</w:t>
            </w:r>
            <w:r>
              <w:rPr>
                <w:rFonts w:ascii="微软雅黑 Light" w:hAnsi="微软雅黑 Light" w:eastAsia="微软雅黑 Light"/>
                <w:sz w:val="18"/>
                <w:szCs w:val="18"/>
              </w:rPr>
              <w:t>3</w:t>
            </w:r>
            <w:r>
              <w:rPr>
                <w:rFonts w:hint="eastAsia" w:ascii="微软雅黑 Light" w:hAnsi="微软雅黑 Light" w:eastAsia="微软雅黑 Light"/>
                <w:sz w:val="18"/>
                <w:szCs w:val="18"/>
              </w:rPr>
              <w:t>个月</w:t>
            </w:r>
          </w:p>
        </w:tc>
      </w:tr>
      <w:tr>
        <w:tblPrEx>
          <w:tblBorders>
            <w:top w:val="single" w:color="D8D8D8" w:themeColor="background1" w:themeShade="D9" w:sz="2" w:space="0"/>
            <w:left w:val="single" w:color="D8D8D8" w:themeColor="background1" w:themeShade="D9" w:sz="2" w:space="0"/>
            <w:bottom w:val="single" w:color="D8D8D8" w:themeColor="background1" w:themeShade="D9" w:sz="2" w:space="0"/>
            <w:right w:val="single" w:color="D8D8D8" w:themeColor="background1" w:themeShade="D9" w:sz="2" w:space="0"/>
            <w:insideH w:val="single" w:color="D8D8D8" w:themeColor="background1" w:themeShade="D9" w:sz="2" w:space="0"/>
            <w:insideV w:val="single" w:color="D8D8D8" w:themeColor="background1" w:themeShade="D9" w:sz="2" w:space="0"/>
          </w:tblBorders>
          <w:tblCellMar>
            <w:top w:w="0" w:type="dxa"/>
            <w:left w:w="108" w:type="dxa"/>
            <w:bottom w:w="0" w:type="dxa"/>
            <w:right w:w="108" w:type="dxa"/>
          </w:tblCellMar>
        </w:tblPrEx>
        <w:trPr>
          <w:trHeight w:val="188" w:hRule="atLeast"/>
        </w:trPr>
        <w:tc>
          <w:tcPr>
            <w:tcW w:w="1982"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 xml:space="preserve">学 </w:t>
            </w:r>
            <w:r>
              <w:rPr>
                <w:rFonts w:ascii="微软雅黑 Light" w:hAnsi="微软雅黑 Light" w:eastAsia="微软雅黑 Light"/>
                <w:sz w:val="18"/>
                <w:szCs w:val="18"/>
              </w:rPr>
              <w:t xml:space="preserve">   </w:t>
            </w:r>
            <w:r>
              <w:rPr>
                <w:rFonts w:hint="eastAsia" w:ascii="微软雅黑 Light" w:hAnsi="微软雅黑 Light" w:eastAsia="微软雅黑 Light"/>
                <w:sz w:val="18"/>
                <w:szCs w:val="18"/>
              </w:rPr>
              <w:t>费</w:t>
            </w:r>
          </w:p>
        </w:tc>
        <w:tc>
          <w:tcPr>
            <w:tcW w:w="8221"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1</w:t>
            </w:r>
            <w:r>
              <w:rPr>
                <w:rFonts w:ascii="微软雅黑 Light" w:hAnsi="微软雅黑 Light" w:eastAsia="微软雅黑 Light"/>
                <w:sz w:val="18"/>
                <w:szCs w:val="18"/>
              </w:rPr>
              <w:t>6.5</w:t>
            </w:r>
            <w:r>
              <w:rPr>
                <w:rFonts w:hint="eastAsia" w:ascii="微软雅黑 Light" w:hAnsi="微软雅黑 Light" w:eastAsia="微软雅黑 Light"/>
                <w:sz w:val="18"/>
                <w:szCs w:val="18"/>
              </w:rPr>
              <w:t>万人民币（包括：</w:t>
            </w:r>
            <w:r>
              <w:rPr>
                <w:rFonts w:ascii="微软雅黑 Light" w:hAnsi="微软雅黑 Light" w:eastAsia="微软雅黑 Light"/>
                <w:sz w:val="18"/>
                <w:szCs w:val="18"/>
              </w:rPr>
              <w:t>MBA 管理课程、讲座及讲义费；不包括：学员食宿、交通、海外模块费用</w:t>
            </w:r>
            <w:r>
              <w:rPr>
                <w:rFonts w:hint="eastAsia" w:ascii="微软雅黑 Light" w:hAnsi="微软雅黑 Light" w:eastAsia="微软雅黑 Light"/>
                <w:sz w:val="18"/>
                <w:szCs w:val="18"/>
              </w:rPr>
              <w:t>。）</w:t>
            </w:r>
          </w:p>
        </w:tc>
      </w:tr>
    </w:tbl>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入学申请</w:t>
      </w:r>
    </w:p>
    <w:tbl>
      <w:tblPr>
        <w:tblStyle w:val="6"/>
        <w:tblW w:w="10203" w:type="dxa"/>
        <w:tblInd w:w="0" w:type="dxa"/>
        <w:tblBorders>
          <w:top w:val="single" w:color="BEBEBE" w:themeColor="background1" w:themeShade="BF" w:sz="2" w:space="0"/>
          <w:left w:val="single" w:color="BEBEBE" w:themeColor="background1" w:themeShade="BF" w:sz="2" w:space="0"/>
          <w:bottom w:val="single" w:color="BEBEBE" w:themeColor="background1" w:themeShade="BF" w:sz="2" w:space="0"/>
          <w:right w:val="single" w:color="BEBEBE" w:themeColor="background1" w:themeShade="BF" w:sz="2" w:space="0"/>
          <w:insideH w:val="single" w:color="BEBEBE" w:themeColor="background1" w:themeShade="BF" w:sz="2" w:space="0"/>
          <w:insideV w:val="single" w:color="BEBEBE" w:themeColor="background1" w:themeShade="BF" w:sz="2" w:space="0"/>
        </w:tblBorders>
        <w:tblLayout w:type="autofit"/>
        <w:tblCellMar>
          <w:top w:w="0" w:type="dxa"/>
          <w:left w:w="108" w:type="dxa"/>
          <w:bottom w:w="0" w:type="dxa"/>
          <w:right w:w="108" w:type="dxa"/>
        </w:tblCellMar>
      </w:tblPr>
      <w:tblGrid>
        <w:gridCol w:w="1982"/>
        <w:gridCol w:w="8221"/>
      </w:tblGrid>
      <w:tr>
        <w:tblPrEx>
          <w:tblBorders>
            <w:top w:val="single" w:color="BEBEBE" w:themeColor="background1" w:themeShade="BF" w:sz="2" w:space="0"/>
            <w:left w:val="single" w:color="BEBEBE" w:themeColor="background1" w:themeShade="BF" w:sz="2" w:space="0"/>
            <w:bottom w:val="single" w:color="BEBEBE" w:themeColor="background1" w:themeShade="BF" w:sz="2" w:space="0"/>
            <w:right w:val="single" w:color="BEBEBE" w:themeColor="background1" w:themeShade="BF" w:sz="2" w:space="0"/>
            <w:insideH w:val="single" w:color="BEBEBE" w:themeColor="background1" w:themeShade="BF" w:sz="2" w:space="0"/>
            <w:insideV w:val="single" w:color="BEBEBE" w:themeColor="background1" w:themeShade="BF" w:sz="2" w:space="0"/>
          </w:tblBorders>
          <w:tblCellMar>
            <w:top w:w="0" w:type="dxa"/>
            <w:left w:w="108" w:type="dxa"/>
            <w:bottom w:w="0" w:type="dxa"/>
            <w:right w:w="108" w:type="dxa"/>
          </w:tblCellMar>
        </w:tblPrEx>
        <w:tc>
          <w:tcPr>
            <w:tcW w:w="1982"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入学方式</w:t>
            </w:r>
          </w:p>
        </w:tc>
        <w:tc>
          <w:tcPr>
            <w:tcW w:w="8221"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1、免联考，面试入学。</w:t>
            </w:r>
          </w:p>
        </w:tc>
      </w:tr>
      <w:tr>
        <w:tblPrEx>
          <w:tblBorders>
            <w:top w:val="single" w:color="BEBEBE" w:themeColor="background1" w:themeShade="BF" w:sz="2" w:space="0"/>
            <w:left w:val="single" w:color="BEBEBE" w:themeColor="background1" w:themeShade="BF" w:sz="2" w:space="0"/>
            <w:bottom w:val="single" w:color="BEBEBE" w:themeColor="background1" w:themeShade="BF" w:sz="2" w:space="0"/>
            <w:right w:val="single" w:color="BEBEBE" w:themeColor="background1" w:themeShade="BF" w:sz="2" w:space="0"/>
            <w:insideH w:val="single" w:color="BEBEBE" w:themeColor="background1" w:themeShade="BF" w:sz="2" w:space="0"/>
            <w:insideV w:val="single" w:color="BEBEBE" w:themeColor="background1" w:themeShade="BF" w:sz="2" w:space="0"/>
          </w:tblBorders>
          <w:tblCellMar>
            <w:top w:w="0" w:type="dxa"/>
            <w:left w:w="108" w:type="dxa"/>
            <w:bottom w:w="0" w:type="dxa"/>
            <w:right w:w="108" w:type="dxa"/>
          </w:tblCellMar>
        </w:tblPrEx>
        <w:tc>
          <w:tcPr>
            <w:tcW w:w="1982"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申请条件</w:t>
            </w:r>
          </w:p>
          <w:p>
            <w:pPr>
              <w:rPr>
                <w:rFonts w:ascii="微软雅黑 Light" w:hAnsi="微软雅黑 Light" w:eastAsia="微软雅黑 Light"/>
                <w:sz w:val="18"/>
                <w:szCs w:val="18"/>
              </w:rPr>
            </w:pPr>
          </w:p>
        </w:tc>
        <w:tc>
          <w:tcPr>
            <w:tcW w:w="8221"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1、大专及以上学历。</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2、具有5年及以上管理岗位工作经验。</w:t>
            </w:r>
          </w:p>
        </w:tc>
      </w:tr>
      <w:tr>
        <w:tblPrEx>
          <w:tblBorders>
            <w:top w:val="single" w:color="BEBEBE" w:themeColor="background1" w:themeShade="BF" w:sz="2" w:space="0"/>
            <w:left w:val="single" w:color="BEBEBE" w:themeColor="background1" w:themeShade="BF" w:sz="2" w:space="0"/>
            <w:bottom w:val="single" w:color="BEBEBE" w:themeColor="background1" w:themeShade="BF" w:sz="2" w:space="0"/>
            <w:right w:val="single" w:color="BEBEBE" w:themeColor="background1" w:themeShade="BF" w:sz="2" w:space="0"/>
            <w:insideH w:val="single" w:color="BEBEBE" w:themeColor="background1" w:themeShade="BF" w:sz="2" w:space="0"/>
            <w:insideV w:val="single" w:color="BEBEBE" w:themeColor="background1" w:themeShade="BF" w:sz="2" w:space="0"/>
          </w:tblBorders>
          <w:tblCellMar>
            <w:top w:w="0" w:type="dxa"/>
            <w:left w:w="108" w:type="dxa"/>
            <w:bottom w:w="0" w:type="dxa"/>
            <w:right w:w="108" w:type="dxa"/>
          </w:tblCellMar>
        </w:tblPrEx>
        <w:trPr>
          <w:trHeight w:val="188" w:hRule="atLeast"/>
        </w:trPr>
        <w:tc>
          <w:tcPr>
            <w:tcW w:w="1982" w:type="dxa"/>
          </w:tcPr>
          <w:p>
            <w:pPr>
              <w:rPr>
                <w:rFonts w:ascii="微软雅黑 Light" w:hAnsi="微软雅黑 Light" w:eastAsia="微软雅黑 Light"/>
                <w:sz w:val="18"/>
                <w:szCs w:val="18"/>
              </w:rPr>
            </w:pPr>
          </w:p>
          <w:p>
            <w:pPr>
              <w:rPr>
                <w:rFonts w:ascii="微软雅黑 Light" w:hAnsi="微软雅黑 Light" w:eastAsia="微软雅黑 Light"/>
                <w:sz w:val="18"/>
                <w:szCs w:val="18"/>
              </w:rPr>
            </w:pPr>
          </w:p>
          <w:p>
            <w:pPr>
              <w:rPr>
                <w:rFonts w:ascii="微软雅黑 Light" w:hAnsi="微软雅黑 Light" w:eastAsia="微软雅黑 Light"/>
                <w:sz w:val="18"/>
                <w:szCs w:val="18"/>
              </w:rPr>
            </w:pPr>
            <w:r>
              <w:rPr>
                <w:rFonts w:hint="eastAsia" w:ascii="微软雅黑 Light" w:hAnsi="微软雅黑 Light" w:eastAsia="微软雅黑 Light"/>
                <w:sz w:val="18"/>
                <w:szCs w:val="18"/>
              </w:rPr>
              <w:t>申请步骤</w:t>
            </w:r>
          </w:p>
          <w:p>
            <w:pPr>
              <w:rPr>
                <w:rFonts w:ascii="微软雅黑 Light" w:hAnsi="微软雅黑 Light" w:eastAsia="微软雅黑 Light"/>
                <w:sz w:val="18"/>
                <w:szCs w:val="18"/>
              </w:rPr>
            </w:pPr>
          </w:p>
        </w:tc>
        <w:tc>
          <w:tcPr>
            <w:tcW w:w="8221" w:type="dxa"/>
          </w:tcPr>
          <w:p>
            <w:pPr>
              <w:rPr>
                <w:rFonts w:ascii="微软雅黑 Light" w:hAnsi="微软雅黑 Light" w:eastAsia="微软雅黑 Light"/>
                <w:sz w:val="18"/>
                <w:szCs w:val="18"/>
              </w:rPr>
            </w:pPr>
            <w:r>
              <w:rPr>
                <w:rFonts w:hint="eastAsia" w:ascii="微软雅黑 Light" w:hAnsi="微软雅黑 Light" w:eastAsia="微软雅黑 Light"/>
                <w:sz w:val="18"/>
                <w:szCs w:val="18"/>
              </w:rPr>
              <w:t>1、提交入学报名表。</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2、提交申请材料，同时缴纳报名费</w:t>
            </w:r>
            <w:r>
              <w:rPr>
                <w:rFonts w:ascii="微软雅黑 Light" w:hAnsi="微软雅黑 Light" w:eastAsia="微软雅黑 Light"/>
                <w:sz w:val="18"/>
                <w:szCs w:val="18"/>
              </w:rPr>
              <w:t>5</w:t>
            </w:r>
            <w:r>
              <w:rPr>
                <w:rFonts w:hint="eastAsia" w:ascii="微软雅黑 Light" w:hAnsi="微软雅黑 Light" w:eastAsia="微软雅黑 Light"/>
                <w:sz w:val="18"/>
                <w:szCs w:val="18"/>
              </w:rPr>
              <w:t>000元。</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3、中美面试委员会综合面试，通过后发放录取通知书。</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4、被录取学员缴纳学费。</w:t>
            </w:r>
          </w:p>
          <w:p>
            <w:pPr>
              <w:rPr>
                <w:rFonts w:ascii="微软雅黑 Light" w:hAnsi="微软雅黑 Light" w:eastAsia="微软雅黑 Light"/>
                <w:sz w:val="18"/>
                <w:szCs w:val="18"/>
              </w:rPr>
            </w:pPr>
            <w:r>
              <w:rPr>
                <w:rFonts w:hint="eastAsia" w:ascii="微软雅黑 Light" w:hAnsi="微软雅黑 Light" w:eastAsia="微软雅黑 Light"/>
                <w:sz w:val="18"/>
                <w:szCs w:val="18"/>
              </w:rPr>
              <w:t>5、正式入学，参加开学典礼，正常上课。</w:t>
            </w:r>
          </w:p>
        </w:tc>
      </w:tr>
    </w:tbl>
    <w:p>
      <w:pPr>
        <w:rPr>
          <w:rFonts w:ascii="微软雅黑" w:hAnsi="微软雅黑" w:eastAsia="微软雅黑"/>
          <w:sz w:val="18"/>
          <w:szCs w:val="18"/>
        </w:rPr>
      </w:pPr>
    </w:p>
    <w:p>
      <w:pPr>
        <w:rPr>
          <w:rFonts w:ascii="微软雅黑" w:hAnsi="微软雅黑" w:eastAsia="微软雅黑"/>
          <w:sz w:val="28"/>
          <w:szCs w:val="28"/>
        </w:rPr>
      </w:pPr>
      <w:r>
        <w:rPr>
          <w:rFonts w:hint="eastAsia" w:ascii="宋体" w:hAnsi="宋体" w:eastAsia="宋体" w:cs="Arial"/>
          <w:b/>
          <w:bCs/>
          <w:color w:val="FF0000"/>
          <w:sz w:val="28"/>
          <w:szCs w:val="28"/>
          <w:shd w:val="clear" w:color="auto" w:fill="FFFFFF"/>
        </w:rPr>
        <w:t>◢ 精彩课堂</w:t>
      </w:r>
    </w:p>
    <w:tbl>
      <w:tblPr>
        <w:tblStyle w:val="6"/>
        <w:tblW w:w="0" w:type="auto"/>
        <w:tblInd w:w="0" w:type="dxa"/>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Layout w:type="autofit"/>
        <w:tblCellMar>
          <w:top w:w="0" w:type="dxa"/>
          <w:left w:w="108" w:type="dxa"/>
          <w:bottom w:w="0" w:type="dxa"/>
          <w:right w:w="108" w:type="dxa"/>
        </w:tblCellMar>
      </w:tblPr>
      <w:tblGrid>
        <w:gridCol w:w="3407"/>
        <w:gridCol w:w="3399"/>
        <w:gridCol w:w="3400"/>
      </w:tblGrid>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10194" w:type="dxa"/>
            <w:gridSpan w:val="3"/>
          </w:tcPr>
          <w:p>
            <w:pPr>
              <w:rPr>
                <w:rFonts w:ascii="微软雅黑" w:hAnsi="微软雅黑" w:eastAsia="微软雅黑"/>
                <w:sz w:val="18"/>
                <w:szCs w:val="18"/>
              </w:rPr>
            </w:pPr>
            <w:r>
              <w:drawing>
                <wp:inline distT="0" distB="0" distL="0" distR="0">
                  <wp:extent cx="6335395" cy="1898650"/>
                  <wp:effectExtent l="0" t="0" r="825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t="1" b="28080"/>
                          <a:stretch>
                            <a:fillRect/>
                          </a:stretch>
                        </pic:blipFill>
                        <pic:spPr>
                          <a:xfrm>
                            <a:off x="0" y="0"/>
                            <a:ext cx="6355265" cy="1904605"/>
                          </a:xfrm>
                          <a:prstGeom prst="rect">
                            <a:avLst/>
                          </a:prstGeom>
                          <a:noFill/>
                          <a:ln>
                            <a:noFill/>
                          </a:ln>
                        </pic:spPr>
                      </pic:pic>
                    </a:graphicData>
                  </a:graphic>
                </wp:inline>
              </w:drawing>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c>
          <w:tcPr>
            <w:tcW w:w="3398" w:type="dxa"/>
          </w:tcPr>
          <w:p>
            <w:pPr>
              <w:rPr>
                <w:rFonts w:ascii="微软雅黑" w:hAnsi="微软雅黑" w:eastAsia="微软雅黑"/>
                <w:sz w:val="18"/>
                <w:szCs w:val="18"/>
              </w:rPr>
            </w:pPr>
            <w:r>
              <w:drawing>
                <wp:inline distT="0" distB="0" distL="0" distR="0">
                  <wp:extent cx="2025015" cy="1295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rcRect b="1371"/>
                          <a:stretch>
                            <a:fillRect/>
                          </a:stretch>
                        </pic:blipFill>
                        <pic:spPr>
                          <a:xfrm>
                            <a:off x="0" y="0"/>
                            <a:ext cx="2025650" cy="1295806"/>
                          </a:xfrm>
                          <a:prstGeom prst="rect">
                            <a:avLst/>
                          </a:prstGeom>
                          <a:ln>
                            <a:noFill/>
                          </a:ln>
                        </pic:spPr>
                      </pic:pic>
                    </a:graphicData>
                  </a:graphic>
                </wp:inline>
              </w:drawing>
            </w:r>
          </w:p>
        </w:tc>
        <w:tc>
          <w:tcPr>
            <w:tcW w:w="3398" w:type="dxa"/>
          </w:tcPr>
          <w:p>
            <w:pPr>
              <w:rPr>
                <w:rFonts w:ascii="微软雅黑" w:hAnsi="微软雅黑" w:eastAsia="微软雅黑"/>
                <w:sz w:val="18"/>
                <w:szCs w:val="18"/>
              </w:rPr>
            </w:pPr>
            <w:r>
              <w:drawing>
                <wp:inline distT="0" distB="0" distL="0" distR="0">
                  <wp:extent cx="2014220" cy="1294765"/>
                  <wp:effectExtent l="0" t="0" r="508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l="6760" b="10062"/>
                          <a:stretch>
                            <a:fillRect/>
                          </a:stretch>
                        </pic:blipFill>
                        <pic:spPr>
                          <a:xfrm>
                            <a:off x="0" y="0"/>
                            <a:ext cx="2015279" cy="1296000"/>
                          </a:xfrm>
                          <a:prstGeom prst="rect">
                            <a:avLst/>
                          </a:prstGeom>
                          <a:noFill/>
                          <a:ln>
                            <a:noFill/>
                          </a:ln>
                        </pic:spPr>
                      </pic:pic>
                    </a:graphicData>
                  </a:graphic>
                </wp:inline>
              </w:drawing>
            </w:r>
          </w:p>
        </w:tc>
        <w:tc>
          <w:tcPr>
            <w:tcW w:w="3398" w:type="dxa"/>
          </w:tcPr>
          <w:p>
            <w:pPr>
              <w:rPr>
                <w:rFonts w:ascii="微软雅黑" w:hAnsi="微软雅黑" w:eastAsia="微软雅黑"/>
                <w:sz w:val="18"/>
                <w:szCs w:val="18"/>
              </w:rPr>
            </w:pPr>
            <w:r>
              <w:drawing>
                <wp:inline distT="0" distB="0" distL="0" distR="0">
                  <wp:extent cx="2012950" cy="129540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t="-1" r="3719" b="6900"/>
                          <a:stretch>
                            <a:fillRect/>
                          </a:stretch>
                        </pic:blipFill>
                        <pic:spPr>
                          <a:xfrm>
                            <a:off x="0" y="0"/>
                            <a:ext cx="2013883" cy="1296000"/>
                          </a:xfrm>
                          <a:prstGeom prst="rect">
                            <a:avLst/>
                          </a:prstGeom>
                          <a:noFill/>
                          <a:ln>
                            <a:noFill/>
                          </a:ln>
                        </pic:spPr>
                      </pic:pic>
                    </a:graphicData>
                  </a:graphic>
                </wp:inline>
              </w:drawing>
            </w:r>
          </w:p>
        </w:tc>
      </w:tr>
    </w:tbl>
    <w:p>
      <w:pPr>
        <w:rPr>
          <w:rFonts w:ascii="微软雅黑" w:hAnsi="微软雅黑" w:eastAsia="微软雅黑"/>
          <w:sz w:val="18"/>
          <w:szCs w:val="18"/>
        </w:rPr>
      </w:pPr>
    </w:p>
    <w:p>
      <w:pPr>
        <w:rPr>
          <w:rFonts w:ascii="微软雅黑 Light" w:hAnsi="微软雅黑 Light" w:eastAsia="微软雅黑 Light"/>
          <w:sz w:val="18"/>
          <w:szCs w:val="18"/>
        </w:rPr>
      </w:pPr>
    </w:p>
    <w:sectPr>
      <w:pgSz w:w="11906" w:h="16838"/>
      <w:pgMar w:top="851" w:right="851" w:bottom="851"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微软雅黑 Light">
    <w:altName w:val="黑体"/>
    <w:panose1 w:val="020B0502040204020203"/>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D0F"/>
    <w:rsid w:val="0002727B"/>
    <w:rsid w:val="000669DD"/>
    <w:rsid w:val="00067733"/>
    <w:rsid w:val="000759AF"/>
    <w:rsid w:val="0008080D"/>
    <w:rsid w:val="000A1E49"/>
    <w:rsid w:val="000A5AD6"/>
    <w:rsid w:val="000B6458"/>
    <w:rsid w:val="000D707E"/>
    <w:rsid w:val="001423C7"/>
    <w:rsid w:val="00145A0A"/>
    <w:rsid w:val="00150A4B"/>
    <w:rsid w:val="00154C59"/>
    <w:rsid w:val="0016108C"/>
    <w:rsid w:val="00162795"/>
    <w:rsid w:val="001856BA"/>
    <w:rsid w:val="001A33FB"/>
    <w:rsid w:val="001B2D98"/>
    <w:rsid w:val="001D3761"/>
    <w:rsid w:val="001F0D24"/>
    <w:rsid w:val="00234558"/>
    <w:rsid w:val="00254739"/>
    <w:rsid w:val="002737B9"/>
    <w:rsid w:val="00305173"/>
    <w:rsid w:val="00317B70"/>
    <w:rsid w:val="003545A7"/>
    <w:rsid w:val="00357E8D"/>
    <w:rsid w:val="0038051E"/>
    <w:rsid w:val="003810F5"/>
    <w:rsid w:val="003907AF"/>
    <w:rsid w:val="00395FB2"/>
    <w:rsid w:val="003A1BBC"/>
    <w:rsid w:val="003A253C"/>
    <w:rsid w:val="003A5B1C"/>
    <w:rsid w:val="003C224C"/>
    <w:rsid w:val="003E2779"/>
    <w:rsid w:val="00426C02"/>
    <w:rsid w:val="00440569"/>
    <w:rsid w:val="00461E83"/>
    <w:rsid w:val="0048686A"/>
    <w:rsid w:val="004C263F"/>
    <w:rsid w:val="00505AEA"/>
    <w:rsid w:val="005830EF"/>
    <w:rsid w:val="005866F0"/>
    <w:rsid w:val="00596B7E"/>
    <w:rsid w:val="005B659E"/>
    <w:rsid w:val="005D2CD4"/>
    <w:rsid w:val="005F1D4E"/>
    <w:rsid w:val="006007A0"/>
    <w:rsid w:val="0061335D"/>
    <w:rsid w:val="00630B33"/>
    <w:rsid w:val="00636FFA"/>
    <w:rsid w:val="006567D6"/>
    <w:rsid w:val="00665508"/>
    <w:rsid w:val="00684F45"/>
    <w:rsid w:val="00686140"/>
    <w:rsid w:val="00694F9C"/>
    <w:rsid w:val="006A109C"/>
    <w:rsid w:val="006B375D"/>
    <w:rsid w:val="006E47CD"/>
    <w:rsid w:val="00720543"/>
    <w:rsid w:val="00783456"/>
    <w:rsid w:val="00784874"/>
    <w:rsid w:val="00790637"/>
    <w:rsid w:val="007C0AAB"/>
    <w:rsid w:val="007C6185"/>
    <w:rsid w:val="007D0C19"/>
    <w:rsid w:val="007D6C7E"/>
    <w:rsid w:val="008021C3"/>
    <w:rsid w:val="00804F41"/>
    <w:rsid w:val="00810D52"/>
    <w:rsid w:val="00854D4A"/>
    <w:rsid w:val="008A5A07"/>
    <w:rsid w:val="008B5B05"/>
    <w:rsid w:val="008E3652"/>
    <w:rsid w:val="00915E74"/>
    <w:rsid w:val="00922D38"/>
    <w:rsid w:val="0095575B"/>
    <w:rsid w:val="00971CD2"/>
    <w:rsid w:val="009A51F0"/>
    <w:rsid w:val="009B5ABB"/>
    <w:rsid w:val="00A0189A"/>
    <w:rsid w:val="00A03545"/>
    <w:rsid w:val="00A43D0F"/>
    <w:rsid w:val="00A6669C"/>
    <w:rsid w:val="00A717E7"/>
    <w:rsid w:val="00A9096A"/>
    <w:rsid w:val="00AD1B64"/>
    <w:rsid w:val="00AE6D27"/>
    <w:rsid w:val="00B557AF"/>
    <w:rsid w:val="00B80E5F"/>
    <w:rsid w:val="00B81737"/>
    <w:rsid w:val="00BA5C0E"/>
    <w:rsid w:val="00BE05C7"/>
    <w:rsid w:val="00BF6C9D"/>
    <w:rsid w:val="00C06A0D"/>
    <w:rsid w:val="00C4591E"/>
    <w:rsid w:val="00C55731"/>
    <w:rsid w:val="00C714C7"/>
    <w:rsid w:val="00C90B14"/>
    <w:rsid w:val="00C94243"/>
    <w:rsid w:val="00CC43A5"/>
    <w:rsid w:val="00D00515"/>
    <w:rsid w:val="00D84A81"/>
    <w:rsid w:val="00DE78A8"/>
    <w:rsid w:val="00E1471A"/>
    <w:rsid w:val="00E23644"/>
    <w:rsid w:val="00E24CF4"/>
    <w:rsid w:val="00E27737"/>
    <w:rsid w:val="00E61A83"/>
    <w:rsid w:val="00E62E1E"/>
    <w:rsid w:val="00E901D1"/>
    <w:rsid w:val="00EB4C78"/>
    <w:rsid w:val="00ED2B4D"/>
    <w:rsid w:val="00EF2B79"/>
    <w:rsid w:val="00EF3C44"/>
    <w:rsid w:val="00EF54F1"/>
    <w:rsid w:val="00F1171C"/>
    <w:rsid w:val="00F15741"/>
    <w:rsid w:val="00F16669"/>
    <w:rsid w:val="00F16F5B"/>
    <w:rsid w:val="00F5052E"/>
    <w:rsid w:val="00FD4614"/>
    <w:rsid w:val="00FF5CC5"/>
    <w:rsid w:val="100423BD"/>
    <w:rsid w:val="3CA25D9F"/>
    <w:rsid w:val="6F011258"/>
    <w:rsid w:val="7D144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uiPriority w:val="99"/>
    <w:rPr>
      <w:sz w:val="18"/>
      <w:szCs w:val="18"/>
    </w:rPr>
  </w:style>
  <w:style w:type="character" w:customStyle="1" w:styleId="9">
    <w:name w:val="页脚 字符"/>
    <w:basedOn w:val="7"/>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495</Words>
  <Characters>2822</Characters>
  <Lines>23</Lines>
  <Paragraphs>6</Paragraphs>
  <TotalTime>691</TotalTime>
  <ScaleCrop>false</ScaleCrop>
  <LinksUpToDate>false</LinksUpToDate>
  <CharactersWithSpaces>3311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2020-07-23T09:57:00Z</dcterms:created>
  <dc:creator>john</dc:creator>
  <cp:lastModifiedBy>Administrator</cp:lastModifiedBy>
  <cp:lastPrinted>2020-08-04T08:21:00Z</cp:lastPrinted>
  <dcterms:modified xsi:type="dcterms:W3CDTF">2020-12-22T06:51:03Z</dcterms:modified>
  <cp:revision>200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