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美国尼尔</w:t>
      </w:r>
      <w:r>
        <w:rPr>
          <w:b/>
          <w:sz w:val="44"/>
          <w:szCs w:val="44"/>
        </w:rPr>
        <w:t>大学金融硕士学位</w:t>
      </w:r>
    </w:p>
    <w:p>
      <w:pPr>
        <w:jc w:val="center"/>
      </w:pPr>
      <w:r>
        <w:rPr>
          <w:rFonts w:hint="eastAsia"/>
        </w:rPr>
        <w:t>（国内/国际双</w:t>
      </w:r>
      <w:r>
        <w:t>鉴定</w:t>
      </w:r>
      <w:r>
        <w:rPr>
          <w:rFonts w:hint="eastAsia"/>
        </w:rPr>
        <w:t>）</w:t>
      </w:r>
    </w:p>
    <w:p/>
    <w:p/>
    <w:p/>
    <w:p/>
    <w:p/>
    <w:p/>
    <w:p/>
    <w:p/>
    <w:p>
      <w:pPr>
        <w:jc w:val="center"/>
      </w:pPr>
      <w:r>
        <mc:AlternateContent>
          <mc:Choice Requires="wps">
            <w:drawing>
              <wp:anchor distT="0" distB="0" distL="114300" distR="114300" simplePos="0" relativeHeight="251662336" behindDoc="0" locked="0" layoutInCell="1" allowOverlap="1">
                <wp:simplePos x="0" y="0"/>
                <wp:positionH relativeFrom="column">
                  <wp:posOffset>1497330</wp:posOffset>
                </wp:positionH>
                <wp:positionV relativeFrom="paragraph">
                  <wp:posOffset>1316355</wp:posOffset>
                </wp:positionV>
                <wp:extent cx="2124075" cy="963930"/>
                <wp:effectExtent l="0" t="0" r="0" b="0"/>
                <wp:wrapNone/>
                <wp:docPr id="9" name="文本框 8"/>
                <wp:cNvGraphicFramePr/>
                <a:graphic xmlns:a="http://schemas.openxmlformats.org/drawingml/2006/main">
                  <a:graphicData uri="http://schemas.microsoft.com/office/word/2010/wordprocessingShape">
                    <wps:wsp>
                      <wps:cNvSpPr txBox="1"/>
                      <wps:spPr>
                        <a:xfrm>
                          <a:off x="0" y="0"/>
                          <a:ext cx="2124075" cy="963930"/>
                        </a:xfrm>
                        <a:prstGeom prst="rect">
                          <a:avLst/>
                        </a:prstGeom>
                        <a:noFill/>
                      </wps:spPr>
                      <wps:txbx>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wps:txbx>
                      <wps:bodyPr wrap="square" rtlCol="0">
                        <a:spAutoFit/>
                      </wps:bodyPr>
                    </wps:wsp>
                  </a:graphicData>
                </a:graphic>
              </wp:anchor>
            </w:drawing>
          </mc:Choice>
          <mc:Fallback>
            <w:pict>
              <v:shape id="文本框 8" o:spid="_x0000_s1026" o:spt="202" type="#_x0000_t202" style="position:absolute;left:0pt;margin-left:117.9pt;margin-top:103.65pt;height:75.9pt;width:167.25pt;z-index:251662336;mso-width-relative:page;mso-height-relative:page;" filled="f" stroked="f" coordsize="21600,21600" o:gfxdata="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zx4u2AAAAAsBAAAPAAAAAAAAAAEAIAAAACIAAABkcnMvZG93bnJldi54bWxQSwEC&#10;FAAUAAAACACHTuJAHm8kLbsBAABdAwAADgAAAAAAAAABACAAAAAnAQAAZHJzL2Uyb0RvYy54bWxQ&#10;SwUGAAAAAAYABgBZAQAAVAUAAAAA&#10;">
                <v:fill on="f" focussize="0,0"/>
                <v:stroke on="f"/>
                <v:imagedata o:title=""/>
                <o:lock v:ext="edit" aspectratio="f"/>
                <v:textbox style="mso-fit-shape-to-text:t;">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681990</wp:posOffset>
                </wp:positionH>
                <wp:positionV relativeFrom="paragraph">
                  <wp:posOffset>842010</wp:posOffset>
                </wp:positionV>
                <wp:extent cx="4020185" cy="481965"/>
                <wp:effectExtent l="0" t="0" r="0" b="0"/>
                <wp:wrapNone/>
                <wp:docPr id="5" name="TextBox 1"/>
                <wp:cNvGraphicFramePr/>
                <a:graphic xmlns:a="http://schemas.openxmlformats.org/drawingml/2006/main">
                  <a:graphicData uri="http://schemas.microsoft.com/office/word/2010/wordprocessingShape">
                    <wps:wsp>
                      <wps:cNvSpPr txBox="1"/>
                      <wps:spPr>
                        <a:xfrm>
                          <a:off x="0" y="0"/>
                          <a:ext cx="4020331" cy="482183"/>
                        </a:xfrm>
                        <a:prstGeom prst="rect">
                          <a:avLst/>
                        </a:prstGeom>
                        <a:noFill/>
                      </wps:spPr>
                      <wps:txbx>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wps:txbx>
                      <wps:bodyPr wrap="none" lIns="0" tIns="0" rIns="0" bIns="45720" rtlCol="0">
                        <a:spAutoFit/>
                      </wps:bodyPr>
                    </wps:wsp>
                  </a:graphicData>
                </a:graphic>
              </wp:anchor>
            </w:drawing>
          </mc:Choice>
          <mc:Fallback>
            <w:pict>
              <v:shape id="TextBox 1" o:spid="_x0000_s1026" o:spt="202" type="#_x0000_t202" style="position:absolute;left:0pt;margin-left:53.7pt;margin-top:66.3pt;height:37.95pt;width:316.55pt;mso-wrap-style:none;z-index:251661312;mso-width-relative:page;mso-height-relative:page;" filled="f" stroked="f" coordsize="21600,21600" o:gfxdata="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ovhbdkAAAALAQAADwAAAAAAAAABACAAAAAiAAAAZHJzL2Rvd25yZXYueG1sUEsB&#10;AhQAFAAAAAgAh07iQNeE1U+7AQAAgQMAAA4AAAAAAAAAAQAgAAAAKA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v:textbox>
              </v:shape>
            </w:pict>
          </mc:Fallback>
        </mc:AlternateContent>
      </w:r>
      <w:r>
        <w:rPr>
          <w:rFonts w:hint="eastAsia"/>
          <w:b/>
          <w:bCs/>
          <w:color w:val="C00000"/>
        </w:rPr>
        <w:t>6大</w:t>
      </w:r>
      <w:r>
        <w:rPr>
          <w:b/>
          <w:bCs/>
          <w:color w:val="C00000"/>
        </w:rPr>
        <w:t>权威认证</w:t>
      </w:r>
    </w:p>
    <w:p/>
    <w:p>
      <w:r>
        <w:drawing>
          <wp:anchor distT="0" distB="0" distL="114300" distR="114300" simplePos="0" relativeHeight="251666432" behindDoc="0" locked="0" layoutInCell="1" allowOverlap="1">
            <wp:simplePos x="0" y="0"/>
            <wp:positionH relativeFrom="column">
              <wp:posOffset>114300</wp:posOffset>
            </wp:positionH>
            <wp:positionV relativeFrom="paragraph">
              <wp:posOffset>34290</wp:posOffset>
            </wp:positionV>
            <wp:extent cx="5159375" cy="4505325"/>
            <wp:effectExtent l="0" t="0" r="3175" b="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6442" cy="4511462"/>
                    </a:xfrm>
                    <a:prstGeom prst="rect">
                      <a:avLst/>
                    </a:prstGeom>
                  </pic:spPr>
                </pic:pic>
              </a:graphicData>
            </a:graphic>
          </wp:anchor>
        </w:drawing>
      </w:r>
    </w:p>
    <w:p/>
    <w:p/>
    <w:p/>
    <w:p/>
    <w:p/>
    <w:p/>
    <w:p/>
    <w:p/>
    <w:p/>
    <w:p/>
    <w:p/>
    <w:p/>
    <w:p/>
    <w:p/>
    <w:p/>
    <w:p/>
    <w:p/>
    <w:p/>
    <w:p/>
    <w:p/>
    <w:p/>
    <w:p/>
    <w:p>
      <w:pPr>
        <w:rPr>
          <w:b/>
          <w:bCs/>
          <w:color w:val="C00000"/>
        </w:rPr>
      </w:pPr>
    </w:p>
    <w:p>
      <w:pPr>
        <w:rPr>
          <w:b/>
          <w:bCs/>
          <w:color w:val="C00000"/>
        </w:rPr>
      </w:pPr>
      <w:r>
        <w:rPr>
          <w:rFonts w:hint="eastAsia"/>
          <w:b/>
          <w:bCs/>
          <w:color w:val="C00000"/>
        </w:rPr>
        <w:t>不出国门，就读世界名校</w:t>
      </w:r>
    </w:p>
    <w:p>
      <w:pPr>
        <w:ind w:firstLine="422" w:firstLineChars="200"/>
        <w:rPr>
          <w:rFonts w:hint="eastAsia"/>
          <w:b/>
          <w:bCs/>
          <w:color w:val="C00000"/>
        </w:rPr>
      </w:pPr>
    </w:p>
    <w:p>
      <w:pPr>
        <w:spacing w:line="360" w:lineRule="auto"/>
        <w:rPr>
          <w:rFonts w:asciiTheme="minorEastAsia" w:hAnsiTheme="minorEastAsia"/>
          <w:bCs/>
        </w:rPr>
      </w:pPr>
      <w:r>
        <w:rPr>
          <w:rFonts w:hint="eastAsia" w:asciiTheme="minorEastAsia" w:hAnsiTheme="minorEastAsia"/>
          <w:b/>
          <w:bCs/>
          <w:color w:val="FF0000"/>
        </w:rPr>
        <w:t>美国尼尔大学</w:t>
      </w:r>
      <w:r>
        <w:rPr>
          <w:rFonts w:hint="eastAsia" w:asciiTheme="minorEastAsia" w:hAnsiTheme="minorEastAsia"/>
          <w:bCs/>
        </w:rPr>
        <w:t>（Neill institute）简称NI，创办于1897年，拥有123年的校史，坐落于美国路易斯安那州的新伊比利亚市。</w:t>
      </w:r>
    </w:p>
    <w:p>
      <w:pPr>
        <w:rPr>
          <w:b/>
          <w:bCs/>
          <w:color w:val="C00000"/>
        </w:rPr>
      </w:pPr>
    </w:p>
    <w:p>
      <w:pPr>
        <w:spacing w:line="360" w:lineRule="auto"/>
        <w:rPr>
          <w:rFonts w:asciiTheme="minorEastAsia" w:hAnsiTheme="minorEastAsia"/>
          <w:bCs/>
        </w:rPr>
      </w:pPr>
      <w:r>
        <w:rPr>
          <w:rFonts w:hint="eastAsia" w:asciiTheme="minorEastAsia" w:hAnsiTheme="minorEastAsia"/>
          <w:bCs/>
        </w:rPr>
        <w:t>尼尔大学是一所研究型大学，坐落于新伊比利亚市的1900英亩的校园。由11个学院组成，其中最大的是自由艺术与科学学院、商业学院、医学院、教育学院、工程学院、法学院、护理学院、药剂学院、牙科学院和公共健康学院等。每年有超过30500名学生入学内尔学院。学生构成约有55%来自当地，25%从毗邻国家，及9%来自100个国家，而国际学生招生增长率为10%。教师数量约1700人，有大约13000名员工。</w:t>
      </w:r>
    </w:p>
    <w:p>
      <w:pPr>
        <w:spacing w:line="360" w:lineRule="auto"/>
        <w:rPr>
          <w:rFonts w:asciiTheme="minorEastAsia" w:hAnsiTheme="minorEastAsia"/>
          <w:bCs/>
        </w:rPr>
      </w:pPr>
      <w:r>
        <w:rPr>
          <w:rFonts w:hint="eastAsia" w:asciiTheme="minorEastAsia" w:hAnsiTheme="minorEastAsia"/>
          <w:bCs/>
        </w:rPr>
        <w:t>该校在遗传学、液压系统、语音和听力、农业医药、生物催化、生物医学工程、生物医学科学、药理学教育等方面有研究计划并获得重大创新。听力学、创意写作、语言病理学、护理服务管理是在美国排名靠前的专业。</w:t>
      </w:r>
    </w:p>
    <w:p>
      <w:pPr>
        <w:spacing w:line="360" w:lineRule="auto"/>
        <w:rPr>
          <w:rFonts w:hint="eastAsia" w:asciiTheme="minorEastAsia" w:hAnsiTheme="minorEastAsia"/>
          <w:bCs/>
        </w:rPr>
      </w:pPr>
    </w:p>
    <w:p>
      <w:pPr>
        <w:spacing w:line="360" w:lineRule="auto"/>
        <w:rPr>
          <w:rFonts w:asciiTheme="minorEastAsia" w:hAnsiTheme="minorEastAsia"/>
          <w:bCs/>
        </w:rPr>
      </w:pPr>
      <w:r>
        <w:rPr>
          <w:rFonts w:hint="eastAsia" w:asciiTheme="minorEastAsia" w:hAnsiTheme="minorEastAsia"/>
          <w:b/>
          <w:bCs/>
          <w:color w:val="FF0000"/>
        </w:rPr>
        <w:t>学校宗旨</w:t>
      </w:r>
      <w:r>
        <w:rPr>
          <w:rFonts w:hint="eastAsia" w:asciiTheme="minorEastAsia" w:hAnsiTheme="minorEastAsia"/>
          <w:bCs/>
        </w:rPr>
        <w:t>：培养学生的思想和性格，通过创造“连接的时刻”来做到这点，这将为你准备好的现实世界中持续一生的体验。</w:t>
      </w:r>
    </w:p>
    <w:p>
      <w:pPr>
        <w:spacing w:line="360" w:lineRule="auto"/>
        <w:rPr>
          <w:rFonts w:hint="eastAsia" w:asciiTheme="minorEastAsia" w:hAnsiTheme="minorEastAsia"/>
          <w:bCs/>
        </w:rPr>
      </w:pPr>
    </w:p>
    <w:p>
      <w:pPr>
        <w:widowControl/>
        <w:jc w:val="left"/>
        <w:rPr>
          <w:b/>
          <w:bCs/>
          <w:color w:val="C00000"/>
        </w:rPr>
      </w:pPr>
      <w:r>
        <w:rPr>
          <w:b/>
          <w:bCs/>
          <w:color w:val="C00000"/>
        </w:rPr>
        <w:drawing>
          <wp:anchor distT="0" distB="0" distL="114300" distR="114300" simplePos="0" relativeHeight="251672576" behindDoc="0" locked="0" layoutInCell="1" allowOverlap="1">
            <wp:simplePos x="0" y="0"/>
            <wp:positionH relativeFrom="column">
              <wp:posOffset>-172720</wp:posOffset>
            </wp:positionH>
            <wp:positionV relativeFrom="paragraph">
              <wp:posOffset>2056130</wp:posOffset>
            </wp:positionV>
            <wp:extent cx="2623820" cy="1722755"/>
            <wp:effectExtent l="0" t="0" r="5080" b="0"/>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6" cstate="print">
                      <a:extLst>
                        <a:ext uri="{28A0092B-C50C-407E-A947-70E740481C1C}">
                          <a14:useLocalDpi xmlns:a14="http://schemas.microsoft.com/office/drawing/2010/main" val="0"/>
                        </a:ext>
                      </a:extLst>
                    </a:blip>
                    <a:srcRect r="14316"/>
                    <a:stretch>
                      <a:fillRect/>
                    </a:stretch>
                  </pic:blipFill>
                  <pic:spPr>
                    <a:xfrm>
                      <a:off x="0" y="0"/>
                      <a:ext cx="2668867" cy="1752046"/>
                    </a:xfrm>
                    <a:prstGeom prst="rect">
                      <a:avLst/>
                    </a:prstGeom>
                  </pic:spPr>
                </pic:pic>
              </a:graphicData>
            </a:graphic>
          </wp:anchor>
        </w:drawing>
      </w:r>
      <w:r>
        <w:rPr>
          <w:b/>
          <w:bCs/>
          <w:color w:val="C00000"/>
        </w:rPr>
        <w:drawing>
          <wp:anchor distT="0" distB="0" distL="114300" distR="114300" simplePos="0" relativeHeight="251674624" behindDoc="0" locked="0" layoutInCell="1" allowOverlap="1">
            <wp:simplePos x="0" y="0"/>
            <wp:positionH relativeFrom="column">
              <wp:posOffset>-172720</wp:posOffset>
            </wp:positionH>
            <wp:positionV relativeFrom="paragraph">
              <wp:posOffset>12700</wp:posOffset>
            </wp:positionV>
            <wp:extent cx="2624455" cy="1968500"/>
            <wp:effectExtent l="0" t="0" r="5080" b="0"/>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59" cy="1971717"/>
                    </a:xfrm>
                    <a:prstGeom prst="rect">
                      <a:avLst/>
                    </a:prstGeom>
                  </pic:spPr>
                </pic:pic>
              </a:graphicData>
            </a:graphic>
          </wp:anchor>
        </w:drawing>
      </w:r>
      <w:r>
        <w:rPr>
          <w:b/>
          <w:bCs/>
          <w:color w:val="C00000"/>
        </w:rPr>
        <w:drawing>
          <wp:anchor distT="0" distB="0" distL="114300" distR="114300" simplePos="0" relativeHeight="251675648" behindDoc="0" locked="0" layoutInCell="1" allowOverlap="1">
            <wp:simplePos x="0" y="0"/>
            <wp:positionH relativeFrom="column">
              <wp:posOffset>2578100</wp:posOffset>
            </wp:positionH>
            <wp:positionV relativeFrom="paragraph">
              <wp:posOffset>20320</wp:posOffset>
            </wp:positionV>
            <wp:extent cx="2614295" cy="1960245"/>
            <wp:effectExtent l="0" t="0" r="0" b="1905"/>
            <wp:wrapNone/>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253" cy="1961198"/>
                    </a:xfrm>
                    <a:prstGeom prst="rect">
                      <a:avLst/>
                    </a:prstGeom>
                  </pic:spPr>
                </pic:pic>
              </a:graphicData>
            </a:graphic>
          </wp:anchor>
        </w:drawing>
      </w:r>
      <w:r>
        <w:rPr>
          <w:b/>
          <w:bCs/>
          <w:color w:val="C00000"/>
        </w:rPr>
        <w:drawing>
          <wp:anchor distT="0" distB="0" distL="114300" distR="114300" simplePos="0" relativeHeight="251673600" behindDoc="0" locked="0" layoutInCell="1" allowOverlap="1">
            <wp:simplePos x="0" y="0"/>
            <wp:positionH relativeFrom="column">
              <wp:posOffset>2578100</wp:posOffset>
            </wp:positionH>
            <wp:positionV relativeFrom="paragraph">
              <wp:posOffset>2056130</wp:posOffset>
            </wp:positionV>
            <wp:extent cx="2614930" cy="1743075"/>
            <wp:effectExtent l="0" t="0" r="0" b="0"/>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314" cy="1768207"/>
                    </a:xfrm>
                    <a:prstGeom prst="rect">
                      <a:avLst/>
                    </a:prstGeom>
                  </pic:spPr>
                </pic:pic>
              </a:graphicData>
            </a:graphic>
          </wp:anchor>
        </w:drawing>
      </w:r>
      <w:r>
        <w:rPr>
          <w:b/>
          <w:bCs/>
          <w:color w:val="C00000"/>
        </w:rPr>
        <w:br w:type="page"/>
      </w:r>
    </w:p>
    <w:p>
      <w:pPr>
        <w:rPr>
          <w:rFonts w:hint="eastAsia"/>
          <w:b/>
          <w:bCs/>
          <w:color w:val="C00000"/>
        </w:rPr>
      </w:pPr>
    </w:p>
    <w:p>
      <w:pPr>
        <w:rPr>
          <w:color w:val="C00000"/>
        </w:rPr>
      </w:pPr>
      <w:r>
        <w:rPr>
          <w:rFonts w:hint="eastAsia"/>
          <w:b/>
          <w:bCs/>
          <w:color w:val="C00000"/>
        </w:rPr>
        <w:t>校长寄语</w:t>
      </w:r>
    </w:p>
    <w:p>
      <w:r>
        <w:drawing>
          <wp:inline distT="0" distB="0" distL="0" distR="0">
            <wp:extent cx="5274310" cy="3964940"/>
            <wp:effectExtent l="0" t="0" r="2540" b="0"/>
            <wp:docPr id="25" name="图片 24" descr="校长致辞"/>
            <wp:cNvGraphicFramePr/>
            <a:graphic xmlns:a="http://schemas.openxmlformats.org/drawingml/2006/main">
              <a:graphicData uri="http://schemas.openxmlformats.org/drawingml/2006/picture">
                <pic:pic xmlns:pic="http://schemas.openxmlformats.org/drawingml/2006/picture">
                  <pic:nvPicPr>
                    <pic:cNvPr id="25" name="图片 24" descr="校长致辞"/>
                    <pic:cNvPicPr/>
                  </pic:nvPicPr>
                  <pic:blipFill>
                    <a:blip r:embed="rId10" cstate="print"/>
                    <a:srcRect/>
                    <a:stretch>
                      <a:fillRect/>
                    </a:stretch>
                  </pic:blipFill>
                  <pic:spPr>
                    <a:xfrm>
                      <a:off x="0" y="0"/>
                      <a:ext cx="5274310" cy="3964940"/>
                    </a:xfrm>
                    <a:prstGeom prst="rect">
                      <a:avLst/>
                    </a:prstGeom>
                    <a:noFill/>
                    <a:ln w="9525">
                      <a:noFill/>
                      <a:miter lim="800000"/>
                      <a:headEnd/>
                      <a:tailEnd/>
                    </a:ln>
                  </pic:spPr>
                </pic:pic>
              </a:graphicData>
            </a:graphic>
          </wp:inline>
        </w:drawing>
      </w:r>
    </w:p>
    <w:p/>
    <w:p>
      <w:pPr>
        <w:rPr>
          <w:b/>
          <w:bCs/>
          <w:color w:val="C00000"/>
        </w:rPr>
      </w:pPr>
      <w:r>
        <w:rPr>
          <w:rFonts w:hint="eastAsia"/>
          <w:b/>
          <w:bCs/>
          <w:color w:val="C00000"/>
        </w:rPr>
        <w:t>校友寄语</w:t>
      </w:r>
    </w:p>
    <w:p>
      <w:r>
        <w:drawing>
          <wp:inline distT="0" distB="0" distL="0" distR="0">
            <wp:extent cx="5274310" cy="2578735"/>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1"/>
                    <a:srcRect l="3614" t="15362" r="5661" b="53272"/>
                    <a:stretch>
                      <a:fillRect/>
                    </a:stretch>
                  </pic:blipFill>
                  <pic:spPr>
                    <a:xfrm>
                      <a:off x="0" y="0"/>
                      <a:ext cx="5274310" cy="2578735"/>
                    </a:xfrm>
                    <a:prstGeom prst="rect">
                      <a:avLst/>
                    </a:prstGeom>
                    <a:noFill/>
                  </pic:spPr>
                </pic:pic>
              </a:graphicData>
            </a:graphic>
          </wp:inline>
        </w:drawing>
      </w:r>
    </w:p>
    <w:p/>
    <w:p/>
    <w:p/>
    <w:p/>
    <w:p/>
    <w:p/>
    <w:p>
      <w:pPr>
        <w:rPr>
          <w:b/>
          <w:bCs/>
          <w:color w:val="C00000"/>
          <w:sz w:val="24"/>
          <w:szCs w:val="24"/>
        </w:rPr>
      </w:pPr>
      <w:r>
        <w:rPr>
          <w:rFonts w:hint="eastAsia"/>
          <w:b/>
          <w:bCs/>
          <w:color w:val="C00000"/>
          <w:sz w:val="24"/>
          <w:szCs w:val="24"/>
        </w:rPr>
        <w:t>NI 三大核心优势</w:t>
      </w:r>
    </w:p>
    <w:p>
      <w:pPr>
        <w:rPr>
          <w:color w:val="C00000"/>
          <w:sz w:val="24"/>
          <w:szCs w:val="24"/>
        </w:rPr>
      </w:pPr>
    </w:p>
    <w:p>
      <w:pPr>
        <w:rPr>
          <w:b/>
          <w:bCs/>
        </w:rPr>
      </w:pPr>
      <w:r>
        <w:rPr>
          <w:rFonts w:hint="eastAsia"/>
          <w:b/>
          <w:bCs/>
        </w:rPr>
        <w:t>1、项目特色</w:t>
      </w:r>
    </w:p>
    <w:p>
      <w:pPr>
        <w:rPr>
          <w:b/>
          <w:bCs/>
        </w:rPr>
      </w:pPr>
    </w:p>
    <w:p>
      <w:pPr>
        <w:spacing w:line="360" w:lineRule="auto"/>
      </w:pPr>
      <w:r>
        <w:rPr>
          <w:b/>
          <w:bCs/>
        </w:rPr>
        <w:t xml:space="preserve">NI </w:t>
      </w:r>
      <w:r>
        <w:rPr>
          <w:rFonts w:hint="eastAsia"/>
        </w:rPr>
        <w:t>是当地公认的最杰出的高等学府之一，是美国较早进行通才教育的本科生学院，至今仍保持着美国大学中最严格的核心课程，研究生院更是以卓越的学术成就而闻名，NI学科发展均衡，可授予副学士学位、学士学位、硕士学位和博士学位。</w:t>
      </w:r>
    </w:p>
    <w:p>
      <w:pPr>
        <w:spacing w:line="360" w:lineRule="auto"/>
      </w:pPr>
    </w:p>
    <w:p>
      <w:pPr>
        <w:spacing w:line="360" w:lineRule="auto"/>
      </w:pPr>
      <w:r>
        <w:rPr>
          <w:rFonts w:hint="eastAsia"/>
        </w:rPr>
        <w:t>开设的主要专业有：商业、经济学、金融学、医学、人力资源、心理学、护理学、哲学、艺术、计算机、国际关系、法学等，热门专业包括工商管理、金融、教育学等，专业非常丰富。</w:t>
      </w:r>
    </w:p>
    <w:p>
      <w:pPr>
        <w:spacing w:line="360" w:lineRule="auto"/>
      </w:pPr>
    </w:p>
    <w:p>
      <w:pPr>
        <w:spacing w:line="360" w:lineRule="auto"/>
      </w:pPr>
      <w:r>
        <w:rPr>
          <w:rFonts w:hint="eastAsia"/>
        </w:rPr>
        <w:t>在NI取得的学分到美国或者加拿大其他学校均被认可，可学分转换，取得再次申请的美国其他大学的学历。</w:t>
      </w:r>
    </w:p>
    <w:p>
      <w:pPr>
        <w:pStyle w:val="10"/>
        <w:ind w:left="360" w:firstLine="0" w:firstLineChars="0"/>
      </w:pPr>
    </w:p>
    <w:p>
      <w:pPr>
        <w:rPr>
          <w:b/>
          <w:bCs/>
        </w:rPr>
      </w:pPr>
      <w:r>
        <w:rPr>
          <w:rFonts w:hint="eastAsia"/>
          <w:b/>
          <w:bCs/>
        </w:rPr>
        <w:t>2、项目特色</w:t>
      </w:r>
    </w:p>
    <w:p>
      <w:pPr>
        <w:rPr>
          <w:b/>
          <w:bCs/>
        </w:rPr>
      </w:pPr>
    </w:p>
    <w:p>
      <w:pPr>
        <w:spacing w:line="360" w:lineRule="auto"/>
      </w:pPr>
      <w:r>
        <w:rPr>
          <w:rFonts w:hint="eastAsia"/>
        </w:rPr>
        <w:t>2007年-2012年，被《高等教育评论》评为美国最好的专业研究型大学。</w:t>
      </w:r>
    </w:p>
    <w:p>
      <w:pPr>
        <w:spacing w:line="360" w:lineRule="auto"/>
      </w:pPr>
      <w:r>
        <w:rPr>
          <w:rFonts w:hint="eastAsia"/>
        </w:rPr>
        <w:t>2011年和2012年，世界大学学术排名前500。</w:t>
      </w:r>
    </w:p>
    <w:p>
      <w:pPr>
        <w:spacing w:line="360" w:lineRule="auto"/>
      </w:pPr>
      <w:r>
        <w:rPr>
          <w:rFonts w:hint="eastAsia"/>
        </w:rPr>
        <w:t>2012年世界大学排名中，经济学和计量经济学排名第45位，社会科学和管理学排名第88位。</w:t>
      </w:r>
    </w:p>
    <w:p>
      <w:pPr>
        <w:rPr>
          <w:b/>
        </w:rPr>
      </w:pPr>
    </w:p>
    <w:p>
      <w:pPr>
        <w:rPr>
          <w:b/>
          <w:bCs/>
        </w:rPr>
      </w:pPr>
      <w:r>
        <w:rPr>
          <w:rFonts w:hint="eastAsia"/>
          <w:b/>
          <w:bCs/>
        </w:rPr>
        <w:t>3、项目优势</w:t>
      </w:r>
    </w:p>
    <w:p>
      <w:pPr>
        <w:rPr>
          <w:b/>
        </w:rPr>
      </w:pPr>
    </w:p>
    <w:p>
      <w:pPr>
        <w:spacing w:line="360" w:lineRule="auto"/>
      </w:pPr>
      <w:r>
        <w:rPr>
          <w:rFonts w:hint="eastAsia"/>
        </w:rPr>
        <w:t>美国正牌大学学校硕士学位，无需出国长期攻读，国内在职学习。</w:t>
      </w:r>
    </w:p>
    <w:p>
      <w:pPr>
        <w:spacing w:line="360" w:lineRule="auto"/>
      </w:pPr>
      <w:r>
        <w:rPr>
          <w:rFonts w:hint="eastAsia"/>
        </w:rPr>
        <w:t>在国内获得的学位证书美国校本部学习获得的学位证书具有同等的资格和效力。</w:t>
      </w:r>
    </w:p>
    <w:p>
      <w:pPr>
        <w:spacing w:line="360" w:lineRule="auto"/>
      </w:pPr>
      <w:r>
        <w:rPr>
          <w:rFonts w:hint="eastAsia"/>
        </w:rPr>
        <w:t>聘请中国专业学术领域最优秀的资深教授专家授课。</w:t>
      </w:r>
    </w:p>
    <w:p>
      <w:pPr>
        <w:spacing w:line="360" w:lineRule="auto"/>
      </w:pPr>
      <w:r>
        <w:rPr>
          <w:rFonts w:hint="eastAsia"/>
        </w:rPr>
        <w:t>统一教学资料，保证教学质量。</w:t>
      </w:r>
    </w:p>
    <w:p>
      <w:pPr>
        <w:spacing w:line="360" w:lineRule="auto"/>
      </w:pPr>
      <w:r>
        <w:rPr>
          <w:rFonts w:hint="eastAsia"/>
        </w:rPr>
        <w:t>课程兼具国外先进理念与国内企业实际案例，更具指导意义。</w:t>
      </w:r>
    </w:p>
    <w:p>
      <w:pPr>
        <w:spacing w:line="360" w:lineRule="auto"/>
      </w:pPr>
      <w:r>
        <w:rPr>
          <w:rFonts w:hint="eastAsia"/>
        </w:rPr>
        <w:t>组织学员赴美国顶级高校游学，感受世界名校的学习精神。</w:t>
      </w:r>
    </w:p>
    <w:p>
      <w:pPr>
        <w:spacing w:line="360" w:lineRule="auto"/>
      </w:pPr>
      <w:r>
        <w:rPr>
          <w:rFonts w:hint="eastAsia"/>
        </w:rPr>
        <w:t>整合世界高端资源，扩展人脉商机，共享国际资源。</w:t>
      </w:r>
    </w:p>
    <w:p>
      <w:pPr>
        <w:spacing w:line="360" w:lineRule="auto"/>
      </w:pPr>
    </w:p>
    <w:p>
      <w:pPr>
        <w:spacing w:line="360" w:lineRule="auto"/>
      </w:pPr>
    </w:p>
    <w:p>
      <w:pPr>
        <w:spacing w:line="360" w:lineRule="auto"/>
      </w:pPr>
    </w:p>
    <w:p>
      <w:pPr>
        <w:rPr>
          <w:b/>
          <w:bCs/>
          <w:color w:val="C00000"/>
          <w:sz w:val="24"/>
          <w:szCs w:val="24"/>
        </w:rPr>
      </w:pPr>
      <w:r>
        <w:rPr>
          <w:rFonts w:hint="eastAsia"/>
          <w:b/>
          <w:bCs/>
          <w:color w:val="C00000"/>
          <w:sz w:val="24"/>
          <w:szCs w:val="24"/>
        </w:rPr>
        <w:t>NI 核心师资</w:t>
      </w:r>
    </w:p>
    <w:p>
      <w:pPr>
        <w:rPr>
          <w:b/>
          <w:bCs/>
          <w:color w:val="C00000"/>
          <w:sz w:val="24"/>
          <w:szCs w:val="24"/>
        </w:rPr>
      </w:pPr>
    </w:p>
    <w:p>
      <w:pPr>
        <w:spacing w:line="360" w:lineRule="auto"/>
      </w:pPr>
      <w:r>
        <w:rPr>
          <w:rFonts w:hint="eastAsia"/>
        </w:rPr>
        <w:t>尼尔大学是一所成就的校园，致力于为学生提升优秀的金融理论教育，重点培养领导力，服务和精神成长。师资源于国内外知名大学教授、著名经济学家、知名企业导师。</w:t>
      </w:r>
    </w:p>
    <w:p>
      <w:pPr>
        <w:spacing w:line="360" w:lineRule="auto"/>
      </w:pP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733425</wp:posOffset>
                </wp:positionV>
                <wp:extent cx="4822825" cy="5496560"/>
                <wp:effectExtent l="0" t="0" r="0" b="0"/>
                <wp:wrapNone/>
                <wp:docPr id="20" name="TextBox 1"/>
                <wp:cNvGraphicFramePr/>
                <a:graphic xmlns:a="http://schemas.openxmlformats.org/drawingml/2006/main">
                  <a:graphicData uri="http://schemas.microsoft.com/office/word/2010/wordprocessingShape">
                    <wps:wsp>
                      <wps:cNvSpPr txBox="1"/>
                      <wps:spPr>
                        <a:xfrm>
                          <a:off x="0" y="0"/>
                          <a:ext cx="4822730" cy="5496376"/>
                        </a:xfrm>
                        <a:prstGeom prst="rect">
                          <a:avLst/>
                        </a:prstGeom>
                        <a:noFill/>
                      </wps:spPr>
                      <wps:txbx>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邓  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wps:txbx>
                      <wps:bodyPr wrap="none" lIns="0" tIns="0" rIns="0" bIns="45720" rtlCol="0">
                        <a:spAutoFit/>
                      </wps:bodyPr>
                    </wps:wsp>
                  </a:graphicData>
                </a:graphic>
              </wp:anchor>
            </w:drawing>
          </mc:Choice>
          <mc:Fallback>
            <w:pict>
              <v:shape id="TextBox 1" o:spid="_x0000_s1026" o:spt="202" type="#_x0000_t202" style="position:absolute;left:0pt;margin-left:0pt;margin-top:57.75pt;height:432.8pt;width:379.75pt;mso-wrap-style:none;z-index:251670528;mso-width-relative:page;mso-height-relative:page;" filled="f" stroked="f" coordsize="21600,21600" o:gfxdata="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vgwt9gAAAAIAQAADwAAAAAAAAABACAAAAAiAAAAZHJzL2Rvd25yZXYueG1sUEsB&#10;AhQAFAAAAAgAh07iQPXSi0e8AQAAgwMAAA4AAAAAAAAAAQAgAAAAJw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邓  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v:textbox>
              </v:shape>
            </w:pict>
          </mc:Fallback>
        </mc:AlternateContent>
      </w:r>
      <w:r>
        <w:t xml:space="preserve"> </w:t>
      </w:r>
      <w:r>
        <mc:AlternateContent>
          <mc:Choice Requires="wps">
            <w:drawing>
              <wp:anchor distT="0" distB="0" distL="114300" distR="114300" simplePos="0" relativeHeight="251668480" behindDoc="0" locked="0" layoutInCell="1" allowOverlap="1">
                <wp:simplePos x="0" y="0"/>
                <wp:positionH relativeFrom="column">
                  <wp:posOffset>2162175</wp:posOffset>
                </wp:positionH>
                <wp:positionV relativeFrom="paragraph">
                  <wp:posOffset>304165</wp:posOffset>
                </wp:positionV>
                <wp:extent cx="724535" cy="276860"/>
                <wp:effectExtent l="0" t="0" r="0" b="0"/>
                <wp:wrapNone/>
                <wp:docPr id="15" name="TextBox 1"/>
                <wp:cNvGraphicFramePr/>
                <a:graphic xmlns:a="http://schemas.openxmlformats.org/drawingml/2006/main">
                  <a:graphicData uri="http://schemas.microsoft.com/office/word/2010/wordprocessingShape">
                    <wps:wsp>
                      <wps:cNvSpPr txBox="1"/>
                      <wps:spPr>
                        <a:xfrm>
                          <a:off x="0" y="0"/>
                          <a:ext cx="724557" cy="276999"/>
                        </a:xfrm>
                        <a:prstGeom prst="rect">
                          <a:avLst/>
                        </a:prstGeom>
                        <a:noFill/>
                      </wps:spPr>
                      <wps:txbx>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wps:txbx>
                      <wps:bodyPr wrap="none" lIns="0" tIns="0" rIns="0" bIns="45720" rtlCol="0">
                        <a:spAutoFit/>
                      </wps:bodyPr>
                    </wps:wsp>
                  </a:graphicData>
                </a:graphic>
              </wp:anchor>
            </w:drawing>
          </mc:Choice>
          <mc:Fallback>
            <w:pict>
              <v:shape id="TextBox 1" o:spid="_x0000_s1026" o:spt="202" type="#_x0000_t202" style="position:absolute;left:0pt;margin-left:170.25pt;margin-top:23.95pt;height:21.8pt;width:57.05pt;mso-wrap-style:none;z-index:251668480;mso-width-relative:page;mso-height-relative:page;" filled="f" stroked="f" coordsize="21600,21600" o:gfxdata="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gnTK/aAAAACQEAAA8AAAAAAAAAAQAgAAAAIgAAAGRycy9kb3ducmV2LnhtbFBL&#10;AQIUABQAAAAIAIdO4kBMNyUJuwEAAIEDAAAOAAAAAAAAAAEAIAAAACkBAABkcnMvZTJvRG9jLnht&#10;bFBLBQYAAAAABgAGAFkBAABWBQAAAAA=&#10;">
                <v:fill on="f" focussize="0,0"/>
                <v:stroke on="f"/>
                <v:imagedata o:title=""/>
                <o:lock v:ext="edit" aspectratio="f"/>
                <v:textbox inset="0mm,0mm,0mm,1.27mm" style="mso-fit-shape-to-text:t;">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v:textbox>
              </v:shape>
            </w:pict>
          </mc:Fallback>
        </mc:AlternateContent>
      </w:r>
    </w:p>
    <w:p/>
    <w:p/>
    <w:p/>
    <w:p/>
    <w:p/>
    <w:p/>
    <w:p/>
    <w:p/>
    <w:p/>
    <w:p/>
    <w:p/>
    <w:p/>
    <w:p/>
    <w:p/>
    <w:p/>
    <w:p/>
    <w:p/>
    <w:p/>
    <w:p/>
    <w:p/>
    <w:p/>
    <w:p/>
    <w:p/>
    <w:p/>
    <w:p/>
    <w:p/>
    <w:p/>
    <w:p/>
    <w:p>
      <w:pPr>
        <w:tabs>
          <w:tab w:val="left" w:pos="4785"/>
        </w:tabs>
      </w:pPr>
    </w:p>
    <w:p>
      <w:pPr>
        <w:tabs>
          <w:tab w:val="left" w:pos="4785"/>
        </w:tabs>
      </w:pPr>
      <w:r>
        <w:drawing>
          <wp:inline distT="0" distB="0" distL="0" distR="0">
            <wp:extent cx="5274310" cy="1344295"/>
            <wp:effectExtent l="0" t="0" r="2540"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344295"/>
                    </a:xfrm>
                    <a:prstGeom prst="rect">
                      <a:avLst/>
                    </a:prstGeom>
                  </pic:spPr>
                </pic:pic>
              </a:graphicData>
            </a:graphic>
          </wp:inline>
        </w:drawing>
      </w:r>
    </w:p>
    <w:p/>
    <w:p>
      <w:pPr>
        <w:rPr>
          <w:b/>
          <w:bCs/>
          <w:color w:val="C00000"/>
          <w:sz w:val="24"/>
          <w:szCs w:val="24"/>
        </w:rPr>
      </w:pPr>
      <w:r>
        <w:rPr>
          <w:rFonts w:hint="eastAsia"/>
          <w:b/>
          <w:bCs/>
          <w:color w:val="C00000"/>
          <w:sz w:val="24"/>
          <w:szCs w:val="24"/>
        </w:rPr>
        <w:t>NI 课程安排</w:t>
      </w:r>
    </w:p>
    <w:p>
      <w:pPr>
        <w:rPr>
          <w:b/>
          <w:bCs/>
          <w:color w:val="C00000"/>
          <w:sz w:val="24"/>
          <w:szCs w:val="24"/>
        </w:rPr>
      </w:pPr>
    </w:p>
    <w:p>
      <w:pPr>
        <w:rPr>
          <w:b/>
          <w:bCs/>
          <w:color w:val="C00000"/>
          <w:sz w:val="24"/>
          <w:szCs w:val="24"/>
        </w:rPr>
      </w:pPr>
    </w:p>
    <w:tbl>
      <w:tblPr>
        <w:tblStyle w:val="5"/>
        <w:tblW w:w="7503" w:type="dxa"/>
        <w:tblInd w:w="0" w:type="dxa"/>
        <w:tblLayout w:type="autofit"/>
        <w:tblCellMar>
          <w:top w:w="0" w:type="dxa"/>
          <w:left w:w="0" w:type="dxa"/>
          <w:bottom w:w="0" w:type="dxa"/>
          <w:right w:w="0" w:type="dxa"/>
        </w:tblCellMar>
      </w:tblPr>
      <w:tblGrid>
        <w:gridCol w:w="1127"/>
        <w:gridCol w:w="639"/>
        <w:gridCol w:w="5737"/>
      </w:tblGrid>
      <w:tr>
        <w:tblPrEx>
          <w:tblCellMar>
            <w:top w:w="0" w:type="dxa"/>
            <w:left w:w="0" w:type="dxa"/>
            <w:bottom w:w="0" w:type="dxa"/>
            <w:right w:w="0" w:type="dxa"/>
          </w:tblCellMar>
        </w:tblPrEx>
        <w:trPr>
          <w:trHeight w:val="299" w:hRule="atLeast"/>
        </w:trPr>
        <w:tc>
          <w:tcPr>
            <w:tcW w:w="1127"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模块</w:t>
            </w:r>
          </w:p>
        </w:tc>
        <w:tc>
          <w:tcPr>
            <w:tcW w:w="639"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NO</w:t>
            </w:r>
          </w:p>
        </w:tc>
        <w:tc>
          <w:tcPr>
            <w:tcW w:w="5737" w:type="dxa"/>
            <w:tcBorders>
              <w:top w:val="single" w:color="FFFFFF" w:sz="8" w:space="0"/>
              <w:left w:val="single" w:color="FFFFFF" w:sz="8" w:space="0"/>
              <w:bottom w:val="single" w:color="FFFFFF" w:sz="24" w:space="0"/>
              <w:right w:val="single" w:color="FFFFFF" w:sz="8" w:space="0"/>
            </w:tcBorders>
            <w:shd w:val="clear" w:color="auto" w:fill="DA4E62"/>
            <w:tcMar>
              <w:top w:w="90" w:type="dxa"/>
              <w:left w:w="179" w:type="dxa"/>
              <w:bottom w:w="90" w:type="dxa"/>
              <w:right w:w="179" w:type="dxa"/>
            </w:tcMar>
            <w:vAlign w:val="center"/>
          </w:tcPr>
          <w:p>
            <w:r>
              <w:rPr>
                <w:b/>
                <w:bCs/>
              </w:rPr>
              <w:t>课程CURRICULUM</w:t>
            </w:r>
          </w:p>
        </w:tc>
      </w:tr>
      <w:tr>
        <w:tblPrEx>
          <w:tblCellMar>
            <w:top w:w="0" w:type="dxa"/>
            <w:left w:w="0" w:type="dxa"/>
            <w:bottom w:w="0" w:type="dxa"/>
            <w:right w:w="0" w:type="dxa"/>
          </w:tblCellMar>
        </w:tblPrEx>
        <w:trPr>
          <w:trHeight w:val="962" w:hRule="atLeast"/>
        </w:trPr>
        <w:tc>
          <w:tcPr>
            <w:tcW w:w="1127" w:type="dxa"/>
            <w:vMerge w:val="restart"/>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必修模块</w:t>
            </w:r>
          </w:p>
          <w:p>
            <w:r>
              <w:rPr>
                <w:rFonts w:hint="eastAsia"/>
              </w:rPr>
              <w:t>Required</w:t>
            </w:r>
          </w:p>
          <w:p>
            <w:r>
              <w:rPr>
                <w:rFonts w:hint="eastAsia"/>
              </w:rPr>
              <w:t>Couses</w:t>
            </w:r>
          </w:p>
        </w:tc>
        <w:tc>
          <w:tcPr>
            <w:tcW w:w="639"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w:t>
            </w:r>
          </w:p>
        </w:tc>
        <w:tc>
          <w:tcPr>
            <w:tcW w:w="5737"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宏观经济形势解析  An analysis of the macroeconomic situation</w:t>
            </w:r>
          </w:p>
        </w:tc>
      </w:tr>
      <w:tr>
        <w:tblPrEx>
          <w:tblCellMar>
            <w:top w:w="0" w:type="dxa"/>
            <w:left w:w="0" w:type="dxa"/>
            <w:bottom w:w="0" w:type="dxa"/>
            <w:right w:w="0" w:type="dxa"/>
          </w:tblCellMar>
        </w:tblPrEx>
        <w:trPr>
          <w:trHeight w:val="84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2</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金融机构与市场  Financial Institutions and markets</w:t>
            </w:r>
          </w:p>
        </w:tc>
      </w:tr>
      <w:tr>
        <w:tblPrEx>
          <w:tblCellMar>
            <w:top w:w="0" w:type="dxa"/>
            <w:left w:w="0" w:type="dxa"/>
            <w:bottom w:w="0" w:type="dxa"/>
            <w:right w:w="0" w:type="dxa"/>
          </w:tblCellMar>
        </w:tblPrEx>
        <w:trPr>
          <w:trHeight w:val="89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3</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金融科技与创新  Financial Technology and innovation</w:t>
            </w:r>
          </w:p>
        </w:tc>
      </w:tr>
      <w:tr>
        <w:tblPrEx>
          <w:tblCellMar>
            <w:top w:w="0" w:type="dxa"/>
            <w:left w:w="0" w:type="dxa"/>
            <w:bottom w:w="0" w:type="dxa"/>
            <w:right w:w="0" w:type="dxa"/>
          </w:tblCellMar>
        </w:tblPrEx>
        <w:trPr>
          <w:trHeight w:val="67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4</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私募股权  Private equity</w:t>
            </w:r>
          </w:p>
        </w:tc>
      </w:tr>
      <w:tr>
        <w:tblPrEx>
          <w:tblCellMar>
            <w:top w:w="0" w:type="dxa"/>
            <w:left w:w="0" w:type="dxa"/>
            <w:bottom w:w="0" w:type="dxa"/>
            <w:right w:w="0" w:type="dxa"/>
          </w:tblCellMar>
        </w:tblPrEx>
        <w:trPr>
          <w:trHeight w:val="72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5</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管理经济学  Managerial Economics</w:t>
            </w:r>
          </w:p>
        </w:tc>
      </w:tr>
      <w:tr>
        <w:tblPrEx>
          <w:tblCellMar>
            <w:top w:w="0" w:type="dxa"/>
            <w:left w:w="0" w:type="dxa"/>
            <w:bottom w:w="0" w:type="dxa"/>
            <w:right w:w="0" w:type="dxa"/>
          </w:tblCellMar>
        </w:tblPrEx>
        <w:trPr>
          <w:trHeight w:val="6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6</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金融监管与法律  Financial Regulation and law</w:t>
            </w:r>
          </w:p>
        </w:tc>
      </w:tr>
      <w:tr>
        <w:tblPrEx>
          <w:tblCellMar>
            <w:top w:w="0" w:type="dxa"/>
            <w:left w:w="0" w:type="dxa"/>
            <w:bottom w:w="0" w:type="dxa"/>
            <w:right w:w="0" w:type="dxa"/>
          </w:tblCellMar>
        </w:tblPrEx>
        <w:trPr>
          <w:trHeight w:val="838"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7</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经济学原理  Principles of Economics</w:t>
            </w:r>
          </w:p>
        </w:tc>
      </w:tr>
      <w:tr>
        <w:tblPrEx>
          <w:tblCellMar>
            <w:top w:w="0" w:type="dxa"/>
            <w:left w:w="0" w:type="dxa"/>
            <w:bottom w:w="0" w:type="dxa"/>
            <w:right w:w="0" w:type="dxa"/>
          </w:tblCellMar>
        </w:tblPrEx>
        <w:trPr>
          <w:trHeight w:val="7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8</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财务管理  Financial Management</w:t>
            </w:r>
          </w:p>
        </w:tc>
      </w:tr>
      <w:tr>
        <w:tblPrEx>
          <w:tblCellMar>
            <w:top w:w="0" w:type="dxa"/>
            <w:left w:w="0" w:type="dxa"/>
            <w:bottom w:w="0" w:type="dxa"/>
            <w:right w:w="0" w:type="dxa"/>
          </w:tblCellMar>
        </w:tblPrEx>
        <w:trPr>
          <w:trHeight w:val="796" w:hRule="atLeast"/>
        </w:trPr>
        <w:tc>
          <w:tcPr>
            <w:tcW w:w="1127" w:type="dxa"/>
            <w:vMerge w:val="restart"/>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b/>
                <w:bCs/>
              </w:rPr>
              <w:t>选修模块</w:t>
            </w:r>
          </w:p>
          <w:p>
            <w:r>
              <w:rPr>
                <w:rFonts w:hint="eastAsia"/>
              </w:rPr>
              <w:t>Optional</w:t>
            </w:r>
          </w:p>
          <w:p>
            <w:r>
              <w:rPr>
                <w:rFonts w:hint="eastAsia"/>
              </w:rPr>
              <w:t>Couses</w:t>
            </w: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9</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组织行为学  The Administrative Process of the Organization</w:t>
            </w:r>
          </w:p>
        </w:tc>
      </w:tr>
      <w:tr>
        <w:tblPrEx>
          <w:tblCellMar>
            <w:top w:w="0" w:type="dxa"/>
            <w:left w:w="0" w:type="dxa"/>
            <w:bottom w:w="0" w:type="dxa"/>
            <w:right w:w="0" w:type="dxa"/>
          </w:tblCellMar>
        </w:tblPrEx>
        <w:trPr>
          <w:trHeight w:val="654"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10</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企业战略管理  Strategic Management of Enterprise</w:t>
            </w:r>
          </w:p>
        </w:tc>
      </w:tr>
      <w:tr>
        <w:tblPrEx>
          <w:tblCellMar>
            <w:top w:w="0" w:type="dxa"/>
            <w:left w:w="0" w:type="dxa"/>
            <w:bottom w:w="0" w:type="dxa"/>
            <w:right w:w="0" w:type="dxa"/>
          </w:tblCellMar>
        </w:tblPrEx>
        <w:trPr>
          <w:trHeight w:val="958"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t>11</w:t>
            </w:r>
          </w:p>
        </w:tc>
        <w:tc>
          <w:tcPr>
            <w:tcW w:w="5737"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r>
              <w:rPr>
                <w:rFonts w:hint="eastAsia"/>
              </w:rPr>
              <w:t>领导力与领导方法  Leadership and skill</w:t>
            </w:r>
          </w:p>
        </w:tc>
      </w:tr>
      <w:tr>
        <w:tblPrEx>
          <w:tblCellMar>
            <w:top w:w="0" w:type="dxa"/>
            <w:left w:w="0" w:type="dxa"/>
            <w:bottom w:w="0" w:type="dxa"/>
            <w:right w:w="0" w:type="dxa"/>
          </w:tblCellMar>
        </w:tblPrEx>
        <w:trPr>
          <w:trHeight w:val="932"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tc>
        <w:tc>
          <w:tcPr>
            <w:tcW w:w="63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t>12</w:t>
            </w:r>
          </w:p>
        </w:tc>
        <w:tc>
          <w:tcPr>
            <w:tcW w:w="5737"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r>
              <w:rPr>
                <w:rFonts w:hint="eastAsia"/>
              </w:rPr>
              <w:t xml:space="preserve">人力资源与团队建设  Human Resources Management and Teamwork </w:t>
            </w:r>
          </w:p>
        </w:tc>
      </w:tr>
    </w:tbl>
    <w:p/>
    <w:p>
      <w:pPr>
        <w:rPr>
          <w:b/>
          <w:bCs/>
          <w:color w:val="C00000"/>
          <w:sz w:val="24"/>
          <w:szCs w:val="24"/>
        </w:rPr>
      </w:pPr>
      <w:r>
        <w:rPr>
          <w:rFonts w:hint="eastAsia"/>
          <w:b/>
          <w:bCs/>
          <w:color w:val="C00000"/>
          <w:sz w:val="24"/>
          <w:szCs w:val="24"/>
        </w:rPr>
        <w:t>毕业论文</w:t>
      </w:r>
    </w:p>
    <w:p>
      <w:pPr>
        <w:rPr>
          <w:b/>
          <w:bCs/>
          <w:color w:val="C00000"/>
          <w:sz w:val="24"/>
          <w:szCs w:val="24"/>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学员需要完成论文及答辩方可毕业，学员将采用课程中所学到的研究方法，就工作中所遇到的实际课题进行研究，完成论文及答辩。</w:t>
      </w:r>
    </w:p>
    <w:p>
      <w:pPr>
        <w:spacing w:line="360" w:lineRule="auto"/>
        <w:rPr>
          <w:sz w:val="18"/>
          <w:szCs w:val="18"/>
        </w:rPr>
      </w:pPr>
      <w:r>
        <w:rPr>
          <w:rFonts w:hint="eastAsia"/>
          <w:sz w:val="18"/>
          <w:szCs w:val="18"/>
        </w:rPr>
        <w:t>◆</w:t>
      </w:r>
      <w:r>
        <w:rPr>
          <w:sz w:val="18"/>
          <w:szCs w:val="18"/>
        </w:rPr>
        <w:t xml:space="preserve">  </w:t>
      </w:r>
      <w:r>
        <w:rPr>
          <w:rFonts w:hint="eastAsia"/>
          <w:sz w:val="18"/>
          <w:szCs w:val="18"/>
        </w:rPr>
        <w:t>在整个论文研究写作过程中，学员将得到不同教授的指导。</w:t>
      </w:r>
    </w:p>
    <w:p>
      <w:pPr>
        <w:spacing w:line="360" w:lineRule="auto"/>
      </w:pPr>
      <w:r>
        <w:rPr>
          <w:rFonts w:hint="eastAsia"/>
          <w:sz w:val="18"/>
          <w:szCs w:val="18"/>
        </w:rPr>
        <w:t>◆</w:t>
      </w:r>
      <w:r>
        <w:rPr>
          <w:sz w:val="18"/>
          <w:szCs w:val="18"/>
        </w:rPr>
        <w:t xml:space="preserve">  </w:t>
      </w:r>
      <w:r>
        <w:rPr>
          <w:rFonts w:hint="eastAsia"/>
          <w:sz w:val="18"/>
          <w:szCs w:val="18"/>
        </w:rPr>
        <w:t>内容构成：</w:t>
      </w:r>
      <w:r>
        <w:rPr>
          <w:sz w:val="18"/>
          <w:szCs w:val="18"/>
        </w:rPr>
        <w:t>1</w:t>
      </w:r>
      <w:r>
        <w:rPr>
          <w:rFonts w:hint="eastAsia"/>
          <w:sz w:val="18"/>
          <w:szCs w:val="18"/>
        </w:rPr>
        <w:t>、论文开题</w:t>
      </w:r>
      <w:r>
        <w:rPr>
          <w:sz w:val="18"/>
          <w:szCs w:val="18"/>
        </w:rPr>
        <w:t xml:space="preserve"> 2</w:t>
      </w:r>
      <w:r>
        <w:rPr>
          <w:rFonts w:hint="eastAsia"/>
          <w:sz w:val="18"/>
          <w:szCs w:val="18"/>
        </w:rPr>
        <w:t>、选题报告</w:t>
      </w:r>
      <w:r>
        <w:rPr>
          <w:sz w:val="18"/>
          <w:szCs w:val="18"/>
        </w:rPr>
        <w:t>3</w:t>
      </w:r>
      <w:r>
        <w:rPr>
          <w:rFonts w:hint="eastAsia"/>
          <w:sz w:val="18"/>
          <w:szCs w:val="18"/>
        </w:rPr>
        <w:t>、论文研讨与撰写</w:t>
      </w:r>
      <w:r>
        <w:rPr>
          <w:sz w:val="18"/>
          <w:szCs w:val="18"/>
        </w:rPr>
        <w:t xml:space="preserve"> 4</w:t>
      </w:r>
      <w:r>
        <w:rPr>
          <w:rFonts w:hint="eastAsia"/>
          <w:sz w:val="18"/>
          <w:szCs w:val="18"/>
        </w:rPr>
        <w:t>、论文中期检查</w:t>
      </w:r>
      <w:r>
        <w:rPr>
          <w:sz w:val="18"/>
          <w:szCs w:val="18"/>
        </w:rPr>
        <w:t xml:space="preserve"> 5</w:t>
      </w:r>
      <w:r>
        <w:rPr>
          <w:rFonts w:hint="eastAsia"/>
          <w:sz w:val="18"/>
          <w:szCs w:val="18"/>
        </w:rPr>
        <w:t>、调研报</w:t>
      </w:r>
      <w:r>
        <w:rPr>
          <w:rFonts w:hint="eastAsia"/>
        </w:rPr>
        <w:t>告</w:t>
      </w:r>
    </w:p>
    <w:p/>
    <w:p>
      <w:pPr>
        <w:rPr>
          <w:b/>
          <w:bCs/>
          <w:color w:val="C00000"/>
          <w:sz w:val="24"/>
          <w:szCs w:val="24"/>
        </w:rPr>
      </w:pPr>
      <w:r>
        <w:rPr>
          <w:rFonts w:hint="eastAsia"/>
          <w:b/>
          <w:bCs/>
          <w:color w:val="C00000"/>
          <w:sz w:val="24"/>
          <w:szCs w:val="24"/>
        </w:rPr>
        <w:t>欢迎加入 NI</w:t>
      </w:r>
    </w:p>
    <w:p>
      <w:pPr>
        <w:rPr>
          <w:b/>
          <w:bCs/>
          <w:color w:val="C00000"/>
          <w:sz w:val="24"/>
          <w:szCs w:val="24"/>
        </w:rPr>
      </w:pPr>
    </w:p>
    <w:p>
      <w:pPr>
        <w:rPr>
          <w:b/>
          <w:bCs/>
        </w:rPr>
      </w:pPr>
      <w:r>
        <w:rPr>
          <w:rFonts w:hint="eastAsia"/>
          <w:b/>
          <w:bCs/>
        </w:rPr>
        <w:t>1、入学条件</w:t>
      </w:r>
    </w:p>
    <w:p>
      <w:pPr>
        <w:rPr>
          <w:b/>
          <w:bCs/>
        </w:rPr>
      </w:pPr>
    </w:p>
    <w:p>
      <w:r>
        <w:rPr>
          <w:rFonts w:hint="eastAsia"/>
        </w:rPr>
        <w:t>【硕士申请】</w:t>
      </w:r>
    </w:p>
    <w:p/>
    <w:p>
      <w:pPr>
        <w:pStyle w:val="10"/>
        <w:numPr>
          <w:ilvl w:val="0"/>
          <w:numId w:val="1"/>
        </w:numPr>
        <w:ind w:firstLineChars="0"/>
      </w:pPr>
      <w:r>
        <w:rPr>
          <w:rFonts w:hint="eastAsia"/>
        </w:rPr>
        <w:t>本科学历，要求有三年以上工作经验</w:t>
      </w:r>
    </w:p>
    <w:p/>
    <w:p>
      <w:r>
        <w:rPr>
          <w:rFonts w:hint="eastAsia"/>
          <w:b/>
          <w:bCs/>
        </w:rPr>
        <w:t>2、提交资料</w:t>
      </w:r>
    </w:p>
    <w:p/>
    <w:p>
      <w:pPr>
        <w:spacing w:line="360" w:lineRule="auto"/>
      </w:pPr>
      <w:r>
        <w:rPr>
          <w:rFonts w:hint="eastAsia"/>
        </w:rPr>
        <w:t>◆</w:t>
      </w:r>
      <w:r>
        <w:t xml:space="preserve">  </w:t>
      </w:r>
      <w:r>
        <w:rPr>
          <w:rFonts w:hint="eastAsia"/>
        </w:rPr>
        <w:t>报名表（中英文）</w:t>
      </w:r>
    </w:p>
    <w:p>
      <w:pPr>
        <w:spacing w:line="360" w:lineRule="auto"/>
      </w:pPr>
      <w:r>
        <w:rPr>
          <w:rFonts w:hint="eastAsia"/>
        </w:rPr>
        <w:t>◆</w:t>
      </w:r>
      <w:r>
        <w:t xml:space="preserve">  </w:t>
      </w:r>
      <w:r>
        <w:rPr>
          <w:rFonts w:hint="eastAsia"/>
        </w:rPr>
        <w:t>身份证和护照</w:t>
      </w:r>
    </w:p>
    <w:p>
      <w:pPr>
        <w:spacing w:line="360" w:lineRule="auto"/>
      </w:pPr>
      <w:r>
        <w:rPr>
          <w:rFonts w:hint="eastAsia"/>
        </w:rPr>
        <w:t>◆</w:t>
      </w:r>
      <w:r>
        <w:t xml:space="preserve">  </w:t>
      </w:r>
      <w:r>
        <w:rPr>
          <w:rFonts w:hint="eastAsia"/>
        </w:rPr>
        <w:t>最高学历证书及成绩单</w:t>
      </w:r>
    </w:p>
    <w:p>
      <w:pPr>
        <w:spacing w:line="360" w:lineRule="auto"/>
      </w:pPr>
      <w:r>
        <w:rPr>
          <w:rFonts w:hint="eastAsia"/>
        </w:rPr>
        <w:t>◆</w:t>
      </w:r>
      <w:r>
        <w:t xml:space="preserve">  </w:t>
      </w:r>
      <w:r>
        <w:rPr>
          <w:rFonts w:hint="eastAsia"/>
        </w:rPr>
        <w:t>个人</w:t>
      </w:r>
      <w:r>
        <w:t>2</w:t>
      </w:r>
      <w:r>
        <w:rPr>
          <w:rFonts w:hint="eastAsia"/>
        </w:rPr>
        <w:t>寸白底照电子档</w:t>
      </w:r>
    </w:p>
    <w:p>
      <w:pPr>
        <w:spacing w:line="360" w:lineRule="auto"/>
      </w:pPr>
      <w:r>
        <w:rPr>
          <w:rFonts w:hint="eastAsia"/>
        </w:rPr>
        <w:t>◆</w:t>
      </w:r>
      <w:r>
        <w:t xml:space="preserve">  </w:t>
      </w:r>
      <w:r>
        <w:rPr>
          <w:rFonts w:hint="eastAsia"/>
        </w:rPr>
        <w:t>报名费</w:t>
      </w:r>
    </w:p>
    <w:p/>
    <w:p>
      <w:r>
        <w:rPr>
          <w:rFonts w:hint="eastAsia"/>
          <w:b/>
          <w:bCs/>
        </w:rPr>
        <w:t>3、学制学费</w:t>
      </w:r>
    </w:p>
    <w:p/>
    <w:p>
      <w:pPr>
        <w:spacing w:line="360" w:lineRule="auto"/>
      </w:pPr>
      <w:r>
        <w:rPr>
          <w:rFonts w:hint="eastAsia"/>
        </w:rPr>
        <w:t>学费：</w:t>
      </w:r>
      <w:r>
        <w:rPr>
          <w:rFonts w:hint="eastAsia"/>
          <w:b/>
          <w:color w:val="C00000"/>
        </w:rPr>
        <w:t>18.8W</w:t>
      </w:r>
      <w:r>
        <w:t>+</w:t>
      </w:r>
      <w:r>
        <w:rPr>
          <w:rFonts w:hint="eastAsia"/>
        </w:rPr>
        <w:t>报名费：</w:t>
      </w:r>
      <w:r>
        <w:rPr>
          <w:rFonts w:hint="eastAsia"/>
          <w:b/>
          <w:color w:val="C00000"/>
        </w:rPr>
        <w:t>2000</w:t>
      </w:r>
      <w:r>
        <w:rPr>
          <w:rFonts w:hint="eastAsia"/>
        </w:rPr>
        <w:t>，学制：1-1.5年，</w:t>
      </w:r>
    </w:p>
    <w:p>
      <w:pPr>
        <w:spacing w:line="360" w:lineRule="auto"/>
      </w:pPr>
      <w:r>
        <w:rPr>
          <w:rFonts w:hint="eastAsia"/>
        </w:rPr>
        <w:t>毕业获美国尼尔大学硕士学位证书。</w:t>
      </w:r>
    </w:p>
    <w:p/>
    <w:p>
      <w:r>
        <w:drawing>
          <wp:inline distT="0" distB="0" distL="0" distR="0">
            <wp:extent cx="3347085" cy="190119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87345" cy="1980812"/>
                    </a:xfrm>
                    <a:prstGeom prst="rect">
                      <a:avLst/>
                    </a:prstGeom>
                  </pic:spPr>
                </pic:pic>
              </a:graphicData>
            </a:graphic>
          </wp:inline>
        </w:drawing>
      </w:r>
    </w:p>
    <w:p/>
    <w:p>
      <w:pPr>
        <w:rPr>
          <w:b/>
          <w:bCs/>
        </w:rPr>
      </w:pPr>
      <w:r>
        <w:rPr>
          <w:rFonts w:hint="eastAsia"/>
          <w:b/>
          <w:bCs/>
        </w:rPr>
        <w:t>4、学籍查询方法</w:t>
      </w:r>
    </w:p>
    <w:p/>
    <w:p>
      <w:r>
        <w:drawing>
          <wp:inline distT="0" distB="0" distL="0" distR="0">
            <wp:extent cx="5061585" cy="3790950"/>
            <wp:effectExtent l="0" t="0" r="571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2143" cy="3790983"/>
                    </a:xfrm>
                    <a:prstGeom prst="rect">
                      <a:avLst/>
                    </a:prstGeom>
                  </pic:spPr>
                </pic:pic>
              </a:graphicData>
            </a:graphic>
          </wp:inline>
        </w:drawing>
      </w:r>
    </w:p>
    <w:p>
      <w:pPr>
        <w:rPr>
          <w:b/>
          <w:bCs/>
        </w:rPr>
      </w:pPr>
      <w:r>
        <w:rPr>
          <w:rFonts w:hint="eastAsia"/>
          <w:b/>
          <w:bCs/>
        </w:rPr>
        <w:t>5、证书样本</w:t>
      </w:r>
    </w:p>
    <w:p>
      <w:pPr>
        <w:rPr>
          <w:b/>
          <w:bCs/>
        </w:rPr>
      </w:pPr>
    </w:p>
    <w:p>
      <w:r>
        <w:drawing>
          <wp:inline distT="0" distB="0" distL="0" distR="0">
            <wp:extent cx="5015865" cy="376174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16176" cy="3762132"/>
                    </a:xfrm>
                    <a:prstGeom prst="rect">
                      <a:avLst/>
                    </a:prstGeom>
                  </pic:spPr>
                </pic:pic>
              </a:graphicData>
            </a:graphic>
          </wp:inline>
        </w:drawing>
      </w:r>
    </w:p>
    <w:p>
      <w:pPr>
        <w:rPr>
          <w:b/>
          <w:bCs/>
        </w:rPr>
      </w:pPr>
    </w:p>
    <w:p>
      <w:pPr>
        <w:rPr>
          <w:b/>
          <w:bCs/>
        </w:rPr>
      </w:pPr>
      <w:r>
        <w:rPr>
          <w:rFonts w:hint="eastAsia"/>
          <w:b/>
          <w:bCs/>
        </w:rPr>
        <w:t>6、证书认证</w:t>
      </w:r>
    </w:p>
    <w:p>
      <w:pPr>
        <w:rPr>
          <w:b/>
          <w:bCs/>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学员所获</w:t>
      </w:r>
      <w:r>
        <w:rPr>
          <w:sz w:val="18"/>
          <w:szCs w:val="18"/>
        </w:rPr>
        <w:t>FMBA/FDBA</w:t>
      </w:r>
      <w:r>
        <w:rPr>
          <w:rFonts w:hint="eastAsia"/>
          <w:sz w:val="18"/>
          <w:szCs w:val="18"/>
        </w:rPr>
        <w:t>学位证书（含录取通知书、成绩单、学生证）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校方中国办事处可协助其办理相关认证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企认证项目：</w:t>
      </w:r>
    </w:p>
    <w:p>
      <w:pPr>
        <w:spacing w:line="360" w:lineRule="auto"/>
        <w:rPr>
          <w:sz w:val="18"/>
          <w:szCs w:val="18"/>
        </w:rPr>
      </w:pPr>
      <w:r>
        <w:rPr>
          <w:rFonts w:hint="eastAsia"/>
          <w:sz w:val="18"/>
          <w:szCs w:val="18"/>
        </w:rPr>
        <w:t>　</w:t>
      </w:r>
      <w:r>
        <w:rPr>
          <w:sz w:val="18"/>
          <w:szCs w:val="18"/>
        </w:rPr>
        <w:t xml:space="preserve">   1</w:t>
      </w:r>
      <w:r>
        <w:rPr>
          <w:rFonts w:hint="eastAsia"/>
          <w:sz w:val="18"/>
          <w:szCs w:val="18"/>
        </w:rPr>
        <w:t>、美国州政府（相当于美国教育部）</w:t>
      </w:r>
    </w:p>
    <w:p>
      <w:pPr>
        <w:spacing w:line="360" w:lineRule="auto"/>
        <w:rPr>
          <w:sz w:val="18"/>
          <w:szCs w:val="18"/>
        </w:rPr>
      </w:pPr>
      <w:r>
        <w:rPr>
          <w:rFonts w:hint="eastAsia"/>
          <w:sz w:val="18"/>
          <w:szCs w:val="18"/>
        </w:rPr>
        <w:t>　</w:t>
      </w:r>
      <w:r>
        <w:rPr>
          <w:sz w:val="18"/>
          <w:szCs w:val="18"/>
        </w:rPr>
        <w:t xml:space="preserve">   2</w:t>
      </w:r>
      <w:r>
        <w:rPr>
          <w:rFonts w:hint="eastAsia"/>
          <w:sz w:val="18"/>
          <w:szCs w:val="18"/>
        </w:rPr>
        <w:t>、国际高等学术评估委员会（</w:t>
      </w:r>
      <w:r>
        <w:rPr>
          <w:sz w:val="18"/>
          <w:szCs w:val="18"/>
        </w:rPr>
        <w:t>ICAAE</w:t>
      </w:r>
      <w:r>
        <w:rPr>
          <w:rFonts w:hint="eastAsia"/>
          <w:sz w:val="18"/>
          <w:szCs w:val="18"/>
        </w:rPr>
        <w:t>，全球权威的学历评估机构之一，由一个专业人士组成的非营利</w:t>
      </w:r>
    </w:p>
    <w:p>
      <w:pPr>
        <w:spacing w:line="360" w:lineRule="auto"/>
        <w:rPr>
          <w:sz w:val="18"/>
          <w:szCs w:val="18"/>
        </w:rPr>
      </w:pPr>
      <w:r>
        <w:rPr>
          <w:rFonts w:hint="eastAsia"/>
          <w:sz w:val="18"/>
          <w:szCs w:val="18"/>
        </w:rPr>
        <w:t xml:space="preserve">        性组织，成员来自</w:t>
      </w:r>
      <w:r>
        <w:rPr>
          <w:sz w:val="18"/>
          <w:szCs w:val="18"/>
        </w:rPr>
        <w:t>30</w:t>
      </w:r>
      <w:r>
        <w:rPr>
          <w:rFonts w:hint="eastAsia"/>
          <w:sz w:val="18"/>
          <w:szCs w:val="18"/>
        </w:rPr>
        <w:t>多个国家）</w:t>
      </w:r>
    </w:p>
    <w:p>
      <w:pPr>
        <w:spacing w:line="360" w:lineRule="auto"/>
        <w:rPr>
          <w:sz w:val="18"/>
          <w:szCs w:val="18"/>
        </w:rPr>
      </w:pPr>
      <w:r>
        <w:rPr>
          <w:rFonts w:hint="eastAsia"/>
          <w:sz w:val="18"/>
          <w:szCs w:val="18"/>
        </w:rPr>
        <w:t>　</w:t>
      </w:r>
      <w:r>
        <w:rPr>
          <w:sz w:val="18"/>
          <w:szCs w:val="18"/>
        </w:rPr>
        <w:t xml:space="preserve">   3</w:t>
      </w:r>
      <w:r>
        <w:rPr>
          <w:rFonts w:hint="eastAsia"/>
          <w:sz w:val="18"/>
          <w:szCs w:val="18"/>
        </w:rPr>
        <w:t>、中国驻美领事馆（证明学校</w:t>
      </w:r>
      <w:r>
        <w:rPr>
          <w:sz w:val="18"/>
          <w:szCs w:val="18"/>
        </w:rPr>
        <w:t>/</w:t>
      </w:r>
      <w:r>
        <w:rPr>
          <w:rFonts w:hint="eastAsia"/>
          <w:sz w:val="18"/>
          <w:szCs w:val="18"/>
        </w:rPr>
        <w:t>学习的真实性）</w:t>
      </w:r>
    </w:p>
    <w:p>
      <w:pPr>
        <w:spacing w:line="360" w:lineRule="auto"/>
        <w:rPr>
          <w:sz w:val="18"/>
          <w:szCs w:val="18"/>
        </w:rPr>
      </w:pPr>
      <w:r>
        <w:rPr>
          <w:rFonts w:hint="eastAsia"/>
          <w:sz w:val="18"/>
          <w:szCs w:val="18"/>
        </w:rPr>
        <w:t>　</w:t>
      </w:r>
      <w:r>
        <w:rPr>
          <w:sz w:val="18"/>
          <w:szCs w:val="18"/>
        </w:rPr>
        <w:t xml:space="preserve">   4</w:t>
      </w:r>
      <w:r>
        <w:rPr>
          <w:rFonts w:hint="eastAsia"/>
          <w:sz w:val="18"/>
          <w:szCs w:val="18"/>
        </w:rPr>
        <w:t>、海牙认证（对原证件的签发人进行的二级认证）</w:t>
      </w:r>
    </w:p>
    <w:p/>
    <w:p>
      <w:r>
        <w:drawing>
          <wp:inline distT="0" distB="0" distL="0" distR="0">
            <wp:extent cx="4403090" cy="218059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3637" cy="2180605"/>
                    </a:xfrm>
                    <a:prstGeom prst="rect">
                      <a:avLst/>
                    </a:prstGeom>
                  </pic:spPr>
                </pic:pic>
              </a:graphicData>
            </a:graphic>
          </wp:inline>
        </w:drawing>
      </w:r>
      <w:r>
        <w:drawing>
          <wp:inline distT="0" distB="0" distL="0" distR="0">
            <wp:extent cx="4391660" cy="2395220"/>
            <wp:effectExtent l="0" t="0" r="889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92288" cy="2395794"/>
                    </a:xfrm>
                    <a:prstGeom prst="rect">
                      <a:avLst/>
                    </a:prstGeom>
                  </pic:spPr>
                </pic:pic>
              </a:graphicData>
            </a:graphic>
          </wp:inline>
        </w:drawing>
      </w:r>
      <w:r>
        <w:drawing>
          <wp:inline distT="0" distB="0" distL="0" distR="0">
            <wp:extent cx="5274310" cy="4248785"/>
            <wp:effectExtent l="0" t="0" r="254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248785"/>
                    </a:xfrm>
                    <a:prstGeom prst="rect">
                      <a:avLst/>
                    </a:prstGeom>
                  </pic:spPr>
                </pic:pic>
              </a:graphicData>
            </a:graphic>
          </wp:inline>
        </w:drawing>
      </w:r>
    </w:p>
    <w:p/>
    <w:p/>
    <w:p>
      <w:pPr>
        <w:rPr>
          <w:color w:val="C00000"/>
        </w:rPr>
      </w:pPr>
      <w:r>
        <w:rPr>
          <w:rFonts w:hint="eastAsia"/>
          <w:b/>
          <w:bCs/>
          <w:color w:val="C00000"/>
        </w:rPr>
        <w:t>我们的优势</w:t>
      </w:r>
    </w:p>
    <w:p/>
    <w:p>
      <w:pPr>
        <w:spacing w:line="360" w:lineRule="auto"/>
        <w:rPr>
          <w:sz w:val="18"/>
          <w:szCs w:val="18"/>
        </w:rPr>
      </w:pPr>
      <w:r>
        <w:rPr>
          <w:rFonts w:hint="eastAsia"/>
          <w:sz w:val="18"/>
          <w:szCs w:val="18"/>
        </w:rPr>
        <w:t>◆</w:t>
      </w:r>
      <w:r>
        <w:rPr>
          <w:sz w:val="18"/>
          <w:szCs w:val="18"/>
        </w:rPr>
        <w:t xml:space="preserve">   </w:t>
      </w:r>
      <w:r>
        <w:rPr>
          <w:rFonts w:hint="eastAsia"/>
          <w:sz w:val="18"/>
          <w:szCs w:val="18"/>
        </w:rPr>
        <w:t>首选美国，美国是</w:t>
      </w:r>
      <w:r>
        <w:rPr>
          <w:sz w:val="18"/>
          <w:szCs w:val="18"/>
        </w:rPr>
        <w:t>FMBA/FDBA</w:t>
      </w:r>
      <w:r>
        <w:rPr>
          <w:rFonts w:hint="eastAsia"/>
          <w:sz w:val="18"/>
          <w:szCs w:val="18"/>
        </w:rPr>
        <w:t>的发源地，世界大学排名前</w:t>
      </w:r>
      <w:r>
        <w:rPr>
          <w:sz w:val="18"/>
          <w:szCs w:val="18"/>
        </w:rPr>
        <w:t>100</w:t>
      </w:r>
      <w:r>
        <w:rPr>
          <w:rFonts w:hint="eastAsia"/>
          <w:sz w:val="18"/>
          <w:szCs w:val="18"/>
        </w:rPr>
        <w:t>，有</w:t>
      </w:r>
      <w:r>
        <w:rPr>
          <w:sz w:val="18"/>
          <w:szCs w:val="18"/>
        </w:rPr>
        <w:t>3</w:t>
      </w:r>
      <w:r>
        <w:rPr>
          <w:rFonts w:hint="eastAsia"/>
          <w:sz w:val="18"/>
          <w:szCs w:val="18"/>
        </w:rPr>
        <w:t>分之</w:t>
      </w:r>
      <w:r>
        <w:rPr>
          <w:sz w:val="18"/>
          <w:szCs w:val="18"/>
        </w:rPr>
        <w:t>2</w:t>
      </w:r>
      <w:r>
        <w:rPr>
          <w:rFonts w:hint="eastAsia"/>
          <w:sz w:val="18"/>
          <w:szCs w:val="18"/>
        </w:rPr>
        <w:t>都在美国。</w:t>
      </w:r>
    </w:p>
    <w:p>
      <w:pPr>
        <w:spacing w:line="360" w:lineRule="auto"/>
        <w:rPr>
          <w:sz w:val="18"/>
          <w:szCs w:val="18"/>
        </w:rPr>
      </w:pPr>
      <w:r>
        <w:rPr>
          <w:rFonts w:hint="eastAsia"/>
          <w:sz w:val="18"/>
          <w:szCs w:val="18"/>
        </w:rPr>
        <w:t>◆</w:t>
      </w:r>
      <w:r>
        <w:rPr>
          <w:sz w:val="18"/>
          <w:szCs w:val="18"/>
        </w:rPr>
        <w:t xml:space="preserve">   </w:t>
      </w:r>
      <w:r>
        <w:rPr>
          <w:rFonts w:hint="eastAsia"/>
          <w:sz w:val="18"/>
          <w:szCs w:val="18"/>
        </w:rPr>
        <w:t>美国学校的硕博文凭含金量更高。</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性价比最高，市场上美国学校的</w:t>
      </w:r>
      <w:r>
        <w:rPr>
          <w:sz w:val="18"/>
          <w:szCs w:val="18"/>
        </w:rPr>
        <w:t>FMBA</w:t>
      </w:r>
      <w:r>
        <w:rPr>
          <w:rFonts w:hint="eastAsia"/>
          <w:sz w:val="18"/>
          <w:szCs w:val="18"/>
        </w:rPr>
        <w:t>学费均在</w:t>
      </w:r>
      <w:r>
        <w:rPr>
          <w:sz w:val="18"/>
          <w:szCs w:val="18"/>
        </w:rPr>
        <w:t>20</w:t>
      </w:r>
      <w:r>
        <w:rPr>
          <w:rFonts w:hint="eastAsia"/>
          <w:sz w:val="18"/>
          <w:szCs w:val="18"/>
        </w:rPr>
        <w:t>万以上，</w:t>
      </w:r>
      <w:r>
        <w:rPr>
          <w:sz w:val="18"/>
          <w:szCs w:val="18"/>
        </w:rPr>
        <w:t>FDBA</w:t>
      </w:r>
      <w:r>
        <w:rPr>
          <w:rFonts w:hint="eastAsia"/>
          <w:sz w:val="18"/>
          <w:szCs w:val="18"/>
        </w:rPr>
        <w:t>学费在</w:t>
      </w:r>
      <w:r>
        <w:rPr>
          <w:sz w:val="18"/>
          <w:szCs w:val="18"/>
        </w:rPr>
        <w:t>40</w:t>
      </w:r>
      <w:r>
        <w:rPr>
          <w:rFonts w:hint="eastAsia"/>
          <w:sz w:val="18"/>
          <w:szCs w:val="18"/>
        </w:rPr>
        <w:t>万以上。</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教授不局限于某一高校，均来自清华北大等高校，师资更丰富，通理论实战国际，享受更多名校的师</w:t>
      </w:r>
    </w:p>
    <w:p>
      <w:pPr>
        <w:spacing w:line="360" w:lineRule="auto"/>
        <w:rPr>
          <w:sz w:val="18"/>
          <w:szCs w:val="18"/>
        </w:rPr>
      </w:pPr>
      <w:r>
        <w:rPr>
          <w:rFonts w:hint="eastAsia"/>
          <w:sz w:val="18"/>
          <w:szCs w:val="18"/>
        </w:rPr>
        <w:t xml:space="preserve">   </w:t>
      </w:r>
      <w:r>
        <w:rPr>
          <w:sz w:val="18"/>
          <w:szCs w:val="18"/>
        </w:rPr>
        <w:t xml:space="preserve">  </w:t>
      </w:r>
      <w:r>
        <w:rPr>
          <w:rFonts w:hint="eastAsia"/>
          <w:sz w:val="18"/>
          <w:szCs w:val="18"/>
        </w:rPr>
        <w:t>资、课程体验</w:t>
      </w:r>
      <w:r>
        <w:rPr>
          <w:rFonts w:hint="eastAsia"/>
        </w:rPr>
        <w:t>。</w:t>
      </w:r>
    </w:p>
    <w:p/>
    <w:p/>
    <w:p/>
    <w:p/>
    <w:p/>
    <w:p/>
    <w:p/>
    <w:p/>
    <w:p/>
    <w:p/>
    <w:p/>
    <w:p>
      <w:pPr>
        <w:autoSpaceDN w:val="0"/>
        <w:spacing w:beforeAutospacing="1" w:afterAutospacing="1"/>
        <w:rPr>
          <w:rFonts w:ascii="宋体" w:hAnsi="宋体"/>
          <w:sz w:val="24"/>
        </w:rPr>
      </w:pPr>
      <w:r>
        <w:rPr>
          <w:rFonts w:hint="eastAsia" w:eastAsia="楷体_GB2312"/>
          <w:sz w:val="36"/>
        </w:rPr>
        <w:t xml:space="preserve"> </w:t>
      </w:r>
      <w:r>
        <w:rPr>
          <w:rFonts w:hint="eastAsia" w:ascii="宋体" w:hAnsi="宋体"/>
          <w:sz w:val="24"/>
        </w:rPr>
        <w:t xml:space="preserve"> </w:t>
      </w:r>
      <w:r>
        <w:rPr>
          <w:rFonts w:ascii="宋体" w:hAnsi="宋体"/>
          <w:sz w:val="24"/>
        </w:rPr>
        <w:drawing>
          <wp:inline distT="0" distB="0" distL="114300" distR="114300">
            <wp:extent cx="1402715" cy="1448435"/>
            <wp:effectExtent l="0" t="0" r="6985" b="18415"/>
            <wp:docPr id="1" name="图片 1" descr="a37366da173863c7a0ba8f3ed69a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7366da173863c7a0ba8f3ed69af66"/>
                    <pic:cNvPicPr>
                      <a:picLocks noChangeAspect="1"/>
                    </pic:cNvPicPr>
                  </pic:nvPicPr>
                  <pic:blipFill>
                    <a:blip r:embed="rId19"/>
                    <a:stretch>
                      <a:fillRect/>
                    </a:stretch>
                  </pic:blipFill>
                  <pic:spPr>
                    <a:xfrm>
                      <a:off x="0" y="0"/>
                      <a:ext cx="1402715" cy="1448435"/>
                    </a:xfrm>
                    <a:prstGeom prst="rect">
                      <a:avLst/>
                    </a:prstGeom>
                    <a:noFill/>
                    <a:ln>
                      <a:noFill/>
                    </a:ln>
                  </pic:spPr>
                </pic:pic>
              </a:graphicData>
            </a:graphic>
          </wp:inline>
        </w:drawing>
      </w:r>
      <w:r>
        <w:rPr>
          <w:rFonts w:hint="eastAsia" w:ascii="宋体" w:hAnsi="宋体"/>
          <w:sz w:val="24"/>
        </w:rPr>
        <w:t xml:space="preserve">                 </w:t>
      </w:r>
      <w:r>
        <w:rPr>
          <w:rFonts w:hint="eastAsia" w:eastAsia="楷体_GB2312"/>
          <w:sz w:val="32"/>
          <w:szCs w:val="22"/>
        </w:rPr>
        <w:t>编号：</w:t>
      </w:r>
      <w:r>
        <w:rPr>
          <w:rFonts w:hint="eastAsia" w:eastAsia="楷体_GB2312"/>
          <w:sz w:val="32"/>
          <w:szCs w:val="22"/>
          <w:u w:val="single"/>
        </w:rPr>
        <w:t xml:space="preserve">             </w:t>
      </w:r>
      <w:r>
        <w:rPr>
          <w:rFonts w:hint="eastAsia" w:eastAsia="楷体_GB2312"/>
          <w:sz w:val="36"/>
        </w:rPr>
        <w:t xml:space="preserve">                  </w:t>
      </w:r>
    </w:p>
    <w:p>
      <w:pPr>
        <w:rPr>
          <w:rFonts w:hint="eastAsia"/>
          <w:sz w:val="48"/>
        </w:rPr>
      </w:pPr>
    </w:p>
    <w:p>
      <w:pPr>
        <w:ind w:left="-199" w:leftChars="-95" w:right="-218" w:rightChars="-104"/>
        <w:jc w:val="center"/>
        <w:rPr>
          <w:rFonts w:eastAsia="微软雅黑"/>
          <w:color w:val="000000"/>
          <w:sz w:val="56"/>
          <w:szCs w:val="56"/>
        </w:rPr>
      </w:pPr>
      <w:r>
        <w:rPr>
          <w:rFonts w:eastAsia="微软雅黑"/>
          <w:color w:val="000000"/>
          <w:sz w:val="56"/>
          <w:szCs w:val="56"/>
        </w:rPr>
        <w:t xml:space="preserve">Universidad </w:t>
      </w:r>
      <w:r>
        <w:rPr>
          <w:rFonts w:hint="eastAsia" w:eastAsia="微软雅黑"/>
          <w:color w:val="000000"/>
          <w:sz w:val="56"/>
          <w:szCs w:val="56"/>
        </w:rPr>
        <w:t>Neill institute</w:t>
      </w:r>
      <w:r>
        <w:rPr>
          <w:rFonts w:eastAsia="微软雅黑"/>
          <w:color w:val="000000"/>
          <w:sz w:val="56"/>
          <w:szCs w:val="56"/>
        </w:rPr>
        <w:t xml:space="preserve"> </w:t>
      </w:r>
    </w:p>
    <w:p>
      <w:pPr>
        <w:ind w:left="-199" w:leftChars="-95" w:right="-218" w:rightChars="-104"/>
        <w:jc w:val="center"/>
        <w:rPr>
          <w:rFonts w:hint="eastAsia" w:eastAsia="微软雅黑"/>
          <w:color w:val="000000"/>
          <w:sz w:val="56"/>
          <w:szCs w:val="56"/>
        </w:rPr>
      </w:pPr>
      <w:r>
        <w:rPr>
          <w:rFonts w:eastAsia="微软雅黑"/>
          <w:color w:val="000000"/>
          <w:sz w:val="56"/>
          <w:szCs w:val="56"/>
        </w:rPr>
        <w:t xml:space="preserve"> </w:t>
      </w:r>
      <w:r>
        <w:rPr>
          <w:rFonts w:hint="eastAsia" w:eastAsia="微软雅黑"/>
          <w:color w:val="000000"/>
          <w:sz w:val="56"/>
          <w:szCs w:val="56"/>
        </w:rPr>
        <w:t xml:space="preserve">Master of Science in finance </w:t>
      </w:r>
    </w:p>
    <w:p>
      <w:pPr>
        <w:ind w:left="-199" w:leftChars="-95" w:right="-218" w:rightChars="-104"/>
        <w:jc w:val="center"/>
        <w:rPr>
          <w:rFonts w:eastAsia="微软雅黑"/>
          <w:color w:val="000000"/>
          <w:sz w:val="56"/>
          <w:szCs w:val="56"/>
        </w:rPr>
      </w:pPr>
      <w:r>
        <w:rPr>
          <w:rFonts w:eastAsia="微软雅黑"/>
          <w:color w:val="000000"/>
          <w:sz w:val="56"/>
          <w:szCs w:val="56"/>
        </w:rPr>
        <w:t>Application Form</w:t>
      </w:r>
    </w:p>
    <w:p>
      <w:pPr>
        <w:ind w:left="-199" w:leftChars="-95" w:right="-218" w:rightChars="-104"/>
        <w:jc w:val="center"/>
        <w:rPr>
          <w:rFonts w:hint="eastAsia" w:eastAsia="楷体_GB2312"/>
          <w:b/>
          <w:sz w:val="48"/>
          <w:szCs w:val="48"/>
        </w:rPr>
      </w:pPr>
      <w:r>
        <w:rPr>
          <w:rFonts w:hint="eastAsia" w:ascii="楷体_GB2312" w:eastAsia="楷体_GB2312"/>
          <w:b/>
          <w:sz w:val="48"/>
          <w:szCs w:val="48"/>
        </w:rPr>
        <w:t>尼尔大学金融硕士</w:t>
      </w:r>
      <w:r>
        <w:rPr>
          <w:rFonts w:eastAsia="楷体_GB2312"/>
          <w:b/>
          <w:sz w:val="48"/>
          <w:szCs w:val="48"/>
        </w:rPr>
        <w:t>学位班</w:t>
      </w:r>
    </w:p>
    <w:p>
      <w:pPr>
        <w:jc w:val="center"/>
        <w:rPr>
          <w:rFonts w:hint="eastAsia" w:ascii="楷体_GB2312" w:eastAsia="楷体_GB2312"/>
          <w:b/>
          <w:sz w:val="52"/>
          <w:szCs w:val="52"/>
        </w:rPr>
      </w:pPr>
      <w:r>
        <w:rPr>
          <w:rFonts w:hint="eastAsia" w:ascii="楷体_GB2312" w:eastAsia="楷体_GB2312"/>
          <w:b/>
          <w:sz w:val="52"/>
          <w:szCs w:val="52"/>
        </w:rPr>
        <w:t>申   请   表</w:t>
      </w:r>
    </w:p>
    <w:p>
      <w:pPr>
        <w:jc w:val="center"/>
        <w:rPr>
          <w:rFonts w:hint="eastAsia" w:ascii="楷体_GB2312" w:eastAsia="楷体_GB2312"/>
          <w:b/>
          <w:sz w:val="52"/>
          <w:szCs w:val="52"/>
        </w:rPr>
      </w:pPr>
    </w:p>
    <w:p>
      <w:pPr>
        <w:autoSpaceDN w:val="0"/>
        <w:spacing w:beforeAutospacing="1" w:afterAutospacing="1"/>
        <w:jc w:val="center"/>
        <w:rPr>
          <w:rFonts w:ascii="楷体_GB2312" w:eastAsia="楷体_GB2312"/>
          <w:b/>
          <w:sz w:val="56"/>
          <w:szCs w:val="56"/>
        </w:rPr>
      </w:pPr>
      <w:r>
        <w:rPr>
          <w:rFonts w:ascii="楷体_GB2312" w:eastAsia="楷体_GB2312"/>
          <w:b/>
          <w:sz w:val="56"/>
          <w:szCs w:val="56"/>
        </w:rPr>
        <w:drawing>
          <wp:inline distT="0" distB="0" distL="114300" distR="114300">
            <wp:extent cx="5925820" cy="2898775"/>
            <wp:effectExtent l="0" t="0" r="17780" b="15875"/>
            <wp:docPr id="2" name="图片 2" descr="f920e67bef8ab6f52fcf840da955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20e67bef8ab6f52fcf840da955c65"/>
                    <pic:cNvPicPr>
                      <a:picLocks noChangeAspect="1"/>
                    </pic:cNvPicPr>
                  </pic:nvPicPr>
                  <pic:blipFill>
                    <a:blip r:embed="rId20"/>
                    <a:stretch>
                      <a:fillRect/>
                    </a:stretch>
                  </pic:blipFill>
                  <pic:spPr>
                    <a:xfrm>
                      <a:off x="0" y="0"/>
                      <a:ext cx="5925820" cy="2898775"/>
                    </a:xfrm>
                    <a:prstGeom prst="rect">
                      <a:avLst/>
                    </a:prstGeom>
                    <a:noFill/>
                    <a:ln>
                      <a:noFill/>
                    </a:ln>
                  </pic:spPr>
                </pic:pic>
              </a:graphicData>
            </a:graphic>
          </wp:inline>
        </w:drawing>
      </w:r>
    </w:p>
    <w:p>
      <w:pPr>
        <w:autoSpaceDN w:val="0"/>
        <w:spacing w:beforeAutospacing="1" w:afterAutospacing="1"/>
        <w:jc w:val="center"/>
        <w:rPr>
          <w:rFonts w:hint="eastAsia"/>
        </w:rPr>
      </w:pPr>
      <w:r>
        <w:rPr>
          <w:rFonts w:hint="eastAsia" w:ascii="楷体_GB2312" w:eastAsia="楷体_GB2312"/>
          <w:b/>
          <w:sz w:val="56"/>
          <w:szCs w:val="56"/>
        </w:rPr>
        <w:t>美国尼尔大学</w:t>
      </w:r>
    </w:p>
    <w:p>
      <w:pPr>
        <w:autoSpaceDN w:val="0"/>
        <w:spacing w:beforeAutospacing="1" w:afterAutospacing="1"/>
        <w:jc w:val="center"/>
        <w:rPr>
          <w:rFonts w:hint="eastAsia" w:ascii="楷体_GB2312" w:eastAsia="楷体_GB2312"/>
          <w:b/>
          <w:sz w:val="56"/>
          <w:szCs w:val="56"/>
        </w:rPr>
      </w:pPr>
      <w:r>
        <w:rPr>
          <w:rFonts w:hint="eastAsia" w:ascii="楷体_GB2312" w:eastAsia="楷体_GB2312"/>
          <w:b/>
          <w:sz w:val="56"/>
          <w:szCs w:val="56"/>
        </w:rPr>
        <w:t>金融硕士学位班申请表</w:t>
      </w:r>
    </w:p>
    <w:p>
      <w:pPr>
        <w:snapToGrid w:val="0"/>
        <w:spacing w:before="40" w:line="360" w:lineRule="atLeast"/>
        <w:jc w:val="center"/>
        <w:rPr>
          <w:sz w:val="24"/>
        </w:rPr>
      </w:pPr>
    </w:p>
    <w:p>
      <w:pPr>
        <w:snapToGrid w:val="0"/>
        <w:spacing w:before="40" w:line="360" w:lineRule="atLeast"/>
        <w:jc w:val="center"/>
        <w:rPr>
          <w:sz w:val="24"/>
        </w:rPr>
      </w:pPr>
    </w:p>
    <w:tbl>
      <w:tblPr>
        <w:tblStyle w:val="5"/>
        <w:tblW w:w="0" w:type="auto"/>
        <w:tblInd w:w="-6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45"/>
        <w:gridCol w:w="585"/>
        <w:gridCol w:w="180"/>
        <w:gridCol w:w="705"/>
        <w:gridCol w:w="189"/>
        <w:gridCol w:w="81"/>
        <w:gridCol w:w="645"/>
        <w:gridCol w:w="90"/>
        <w:gridCol w:w="450"/>
        <w:gridCol w:w="360"/>
        <w:gridCol w:w="285"/>
        <w:gridCol w:w="260"/>
        <w:gridCol w:w="175"/>
        <w:gridCol w:w="720"/>
        <w:gridCol w:w="360"/>
        <w:gridCol w:w="125"/>
        <w:gridCol w:w="235"/>
        <w:gridCol w:w="180"/>
        <w:gridCol w:w="260"/>
        <w:gridCol w:w="100"/>
        <w:gridCol w:w="540"/>
        <w:gridCol w:w="35"/>
        <w:gridCol w:w="150"/>
        <w:gridCol w:w="555"/>
        <w:gridCol w:w="160"/>
        <w:gridCol w:w="360"/>
        <w:gridCol w:w="360"/>
        <w:gridCol w:w="13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70" w:hRule="atLeast"/>
        </w:trPr>
        <w:tc>
          <w:tcPr>
            <w:tcW w:w="10400" w:type="dxa"/>
            <w:gridSpan w:val="28"/>
            <w:noWrap w:val="0"/>
            <w:vAlign w:val="center"/>
          </w:tcPr>
          <w:p>
            <w:pPr>
              <w:snapToGrid w:val="0"/>
              <w:spacing w:before="40" w:line="400" w:lineRule="exact"/>
              <w:rPr>
                <w:rFonts w:hint="eastAsia"/>
                <w:b/>
                <w:bCs/>
                <w:sz w:val="28"/>
              </w:rPr>
            </w:pPr>
            <w:r>
              <w:rPr>
                <w:rFonts w:hint="eastAsia" w:ascii="华文楷体" w:hAnsi="华文楷体" w:eastAsia="华文楷体" w:cs="华文楷体"/>
                <w:b/>
                <w:bCs/>
                <w:sz w:val="28"/>
              </w:rPr>
              <w:t>Ⅰ. 个人信息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6" w:hRule="atLeast"/>
        </w:trPr>
        <w:tc>
          <w:tcPr>
            <w:tcW w:w="1530" w:type="dxa"/>
            <w:gridSpan w:val="2"/>
            <w:noWrap w:val="0"/>
            <w:vAlign w:val="center"/>
          </w:tcPr>
          <w:p>
            <w:pPr>
              <w:snapToGrid w:val="0"/>
              <w:spacing w:before="40" w:line="400" w:lineRule="exact"/>
              <w:jc w:val="center"/>
              <w:rPr>
                <w:rFonts w:hint="eastAsia" w:ascii="宋体" w:hAnsi="宋体" w:cs="宋体"/>
              </w:rPr>
            </w:pPr>
            <w:r>
              <w:rPr>
                <w:rFonts w:hint="eastAsia" w:ascii="宋体" w:hAnsi="宋体" w:cs="宋体"/>
              </w:rPr>
              <w:t>姓名</w:t>
            </w:r>
          </w:p>
        </w:tc>
        <w:tc>
          <w:tcPr>
            <w:tcW w:w="4625" w:type="dxa"/>
            <w:gridSpan w:val="14"/>
            <w:tcBorders>
              <w:right w:val="single" w:color="auto" w:sz="4" w:space="0"/>
            </w:tcBorders>
            <w:noWrap w:val="0"/>
            <w:vAlign w:val="top"/>
          </w:tcPr>
          <w:p>
            <w:pPr>
              <w:snapToGrid w:val="0"/>
              <w:spacing w:before="40" w:line="400" w:lineRule="exact"/>
              <w:rPr>
                <w:rFonts w:hint="eastAsia" w:ascii="宋体" w:hAnsi="宋体" w:cs="宋体"/>
              </w:rPr>
            </w:pPr>
          </w:p>
        </w:tc>
        <w:tc>
          <w:tcPr>
            <w:tcW w:w="675" w:type="dxa"/>
            <w:gridSpan w:val="3"/>
            <w:tcBorders>
              <w:left w:val="single" w:color="auto" w:sz="4" w:space="0"/>
              <w:right w:val="single" w:color="auto" w:sz="4" w:space="0"/>
            </w:tcBorders>
            <w:noWrap w:val="0"/>
            <w:vAlign w:val="center"/>
          </w:tcPr>
          <w:p>
            <w:pPr>
              <w:snapToGrid w:val="0"/>
              <w:spacing w:before="40" w:line="400" w:lineRule="exact"/>
              <w:jc w:val="center"/>
              <w:rPr>
                <w:rFonts w:hint="eastAsia" w:ascii="宋体" w:hAnsi="宋体" w:cs="宋体"/>
              </w:rPr>
            </w:pPr>
            <w:r>
              <w:rPr>
                <w:rFonts w:hint="eastAsia" w:ascii="宋体" w:hAnsi="宋体" w:cs="宋体"/>
              </w:rPr>
              <w:t>性别</w:t>
            </w:r>
          </w:p>
        </w:tc>
        <w:tc>
          <w:tcPr>
            <w:tcW w:w="1540" w:type="dxa"/>
            <w:gridSpan w:val="6"/>
            <w:tcBorders>
              <w:top w:val="single" w:color="auto" w:sz="4" w:space="0"/>
              <w:left w:val="nil"/>
            </w:tcBorders>
            <w:noWrap w:val="0"/>
            <w:vAlign w:val="top"/>
          </w:tcPr>
          <w:p>
            <w:pPr>
              <w:snapToGrid w:val="0"/>
              <w:spacing w:before="40" w:line="400" w:lineRule="exact"/>
              <w:jc w:val="center"/>
              <w:rPr>
                <w:rFonts w:hint="eastAsia" w:ascii="宋体" w:hAnsi="宋体" w:cs="宋体"/>
              </w:rPr>
            </w:pPr>
          </w:p>
        </w:tc>
        <w:tc>
          <w:tcPr>
            <w:tcW w:w="2030" w:type="dxa"/>
            <w:gridSpan w:val="3"/>
            <w:vMerge w:val="restart"/>
            <w:tcBorders>
              <w:top w:val="single" w:color="auto" w:sz="4" w:space="0"/>
            </w:tcBorders>
            <w:noWrap w:val="0"/>
            <w:vAlign w:val="top"/>
          </w:tcPr>
          <w:p>
            <w:pPr>
              <w:snapToGrid w:val="0"/>
              <w:spacing w:before="40" w:line="400" w:lineRule="exact"/>
              <w:jc w:val="center"/>
              <w:rPr>
                <w:rFonts w:hint="eastAsia" w:ascii="宋体" w:hAnsi="宋体" w:cs="宋体"/>
              </w:rPr>
            </w:pPr>
          </w:p>
          <w:p>
            <w:pPr>
              <w:snapToGrid w:val="0"/>
              <w:spacing w:before="40" w:line="400" w:lineRule="exact"/>
              <w:jc w:val="center"/>
              <w:rPr>
                <w:rFonts w:hint="eastAsia" w:ascii="华文楷体" w:hAnsi="华文楷体" w:eastAsia="华文楷体" w:cs="华文楷体"/>
              </w:rPr>
            </w:pPr>
            <w:r>
              <w:rPr>
                <w:rFonts w:hint="eastAsia" w:ascii="华文楷体" w:hAnsi="华文楷体" w:eastAsia="华文楷体" w:cs="华文楷体"/>
              </w:rPr>
              <w:t>请贴2寸免冠照片</w:t>
            </w:r>
          </w:p>
          <w:p>
            <w:pPr>
              <w:snapToGrid w:val="0"/>
              <w:spacing w:before="40" w:line="400" w:lineRule="exact"/>
              <w:jc w:val="center"/>
              <w:rPr>
                <w:rFonts w:hint="eastAsia" w:ascii="宋体" w:hAnsi="宋体" w:cs="宋体"/>
              </w:rPr>
            </w:pPr>
            <w:r>
              <w:t>Please attach one recent 2”×1” photo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国籍</w:t>
            </w:r>
          </w:p>
        </w:tc>
        <w:tc>
          <w:tcPr>
            <w:tcW w:w="1074" w:type="dxa"/>
            <w:gridSpan w:val="3"/>
            <w:noWrap w:val="0"/>
            <w:vAlign w:val="top"/>
          </w:tcPr>
          <w:p>
            <w:pPr>
              <w:snapToGrid w:val="0"/>
              <w:spacing w:before="40" w:line="400" w:lineRule="exact"/>
              <w:jc w:val="center"/>
              <w:rPr>
                <w:rFonts w:hint="eastAsia" w:ascii="宋体" w:hAnsi="宋体" w:cs="宋体"/>
              </w:rPr>
            </w:pPr>
          </w:p>
        </w:tc>
        <w:tc>
          <w:tcPr>
            <w:tcW w:w="1266"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民族</w:t>
            </w:r>
          </w:p>
        </w:tc>
        <w:tc>
          <w:tcPr>
            <w:tcW w:w="1080" w:type="dxa"/>
            <w:gridSpan w:val="4"/>
            <w:noWrap w:val="0"/>
            <w:vAlign w:val="top"/>
          </w:tcPr>
          <w:p>
            <w:pPr>
              <w:snapToGrid w:val="0"/>
              <w:spacing w:before="40" w:line="400" w:lineRule="exact"/>
              <w:jc w:val="center"/>
              <w:rPr>
                <w:rFonts w:hint="eastAsia" w:ascii="宋体" w:hAnsi="宋体" w:cs="宋体"/>
              </w:rPr>
            </w:pPr>
          </w:p>
        </w:tc>
        <w:tc>
          <w:tcPr>
            <w:tcW w:w="1620" w:type="dxa"/>
            <w:gridSpan w:val="5"/>
            <w:noWrap w:val="0"/>
            <w:vAlign w:val="top"/>
          </w:tcPr>
          <w:p>
            <w:pPr>
              <w:snapToGrid w:val="0"/>
              <w:spacing w:before="40" w:line="400" w:lineRule="exact"/>
              <w:jc w:val="center"/>
              <w:rPr>
                <w:rFonts w:hint="eastAsia" w:ascii="宋体" w:hAnsi="宋体" w:cs="宋体"/>
              </w:rPr>
            </w:pPr>
            <w:r>
              <w:rPr>
                <w:rFonts w:hint="eastAsia" w:ascii="宋体" w:hAnsi="宋体" w:cs="宋体"/>
              </w:rPr>
              <w:t>婚姻状况</w:t>
            </w:r>
          </w:p>
        </w:tc>
        <w:tc>
          <w:tcPr>
            <w:tcW w:w="1800" w:type="dxa"/>
            <w:gridSpan w:val="7"/>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03"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出生日期</w:t>
            </w:r>
          </w:p>
        </w:tc>
        <w:tc>
          <w:tcPr>
            <w:tcW w:w="234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年     月     日</w:t>
            </w:r>
          </w:p>
        </w:tc>
        <w:tc>
          <w:tcPr>
            <w:tcW w:w="1080" w:type="dxa"/>
            <w:gridSpan w:val="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出生地</w:t>
            </w:r>
          </w:p>
        </w:tc>
        <w:tc>
          <w:tcPr>
            <w:tcW w:w="3420" w:type="dxa"/>
            <w:gridSpan w:val="1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省        市        县</w:t>
            </w: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身份证号码</w:t>
            </w:r>
          </w:p>
        </w:tc>
        <w:tc>
          <w:tcPr>
            <w:tcW w:w="6840" w:type="dxa"/>
            <w:gridSpan w:val="23"/>
            <w:tcBorders>
              <w:bottom w:val="single" w:color="auto" w:sz="4" w:space="0"/>
            </w:tcBorders>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7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sz w:val="22"/>
                <w:szCs w:val="28"/>
              </w:rPr>
              <w:t xml:space="preserve">工作单位 </w:t>
            </w:r>
          </w:p>
        </w:tc>
        <w:tc>
          <w:tcPr>
            <w:tcW w:w="8870" w:type="dxa"/>
            <w:gridSpan w:val="26"/>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公司类型</w:t>
            </w:r>
          </w:p>
        </w:tc>
        <w:tc>
          <w:tcPr>
            <w:tcW w:w="8870" w:type="dxa"/>
            <w:gridSpan w:val="26"/>
            <w:tcBorders>
              <w:bottom w:val="single" w:color="auto" w:sz="4" w:space="0"/>
            </w:tcBorders>
            <w:noWrap w:val="0"/>
            <w:vAlign w:val="top"/>
          </w:tcPr>
          <w:p>
            <w:pPr>
              <w:snapToGrid w:val="0"/>
              <w:spacing w:before="40" w:line="400" w:lineRule="exact"/>
              <w:rPr>
                <w:rFonts w:hint="eastAsia" w:ascii="宋体" w:hAnsi="宋体" w:cs="宋体"/>
                <w:u w:val="single"/>
              </w:rPr>
            </w:pPr>
            <w:r>
              <w:rPr>
                <w:rFonts w:hint="eastAsia" w:ascii="宋体" w:hAnsi="宋体" w:cs="宋体"/>
              </w:rPr>
              <w:t>〇 国有或国有控股 〇民营或私人控股 〇外资控股 〇政府部门和事业单位  〇其他类型单位</w:t>
            </w:r>
          </w:p>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top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所属行业</w:t>
            </w:r>
          </w:p>
        </w:tc>
        <w:tc>
          <w:tcPr>
            <w:tcW w:w="4500" w:type="dxa"/>
            <w:gridSpan w:val="13"/>
            <w:tcBorders>
              <w:top w:val="single" w:color="auto" w:sz="4" w:space="0"/>
              <w:bottom w:val="nil"/>
              <w:right w:val="single" w:color="auto" w:sz="4" w:space="0"/>
            </w:tcBorders>
            <w:noWrap w:val="0"/>
            <w:vAlign w:val="top"/>
          </w:tcPr>
          <w:p>
            <w:pPr>
              <w:snapToGrid w:val="0"/>
              <w:spacing w:before="40" w:line="400" w:lineRule="exact"/>
              <w:jc w:val="right"/>
              <w:rPr>
                <w:rFonts w:hint="eastAsia" w:ascii="宋体" w:hAnsi="宋体" w:cs="宋体"/>
              </w:rPr>
            </w:pPr>
          </w:p>
          <w:p>
            <w:pPr>
              <w:snapToGrid w:val="0"/>
              <w:spacing w:before="40" w:line="400" w:lineRule="exact"/>
              <w:jc w:val="center"/>
              <w:rPr>
                <w:rFonts w:hint="eastAsia" w:ascii="宋体" w:hAnsi="宋体" w:cs="宋体"/>
              </w:rPr>
            </w:pPr>
          </w:p>
          <w:p>
            <w:pPr>
              <w:snapToGrid w:val="0"/>
              <w:spacing w:before="40" w:line="400" w:lineRule="exact"/>
              <w:jc w:val="center"/>
              <w:rPr>
                <w:rFonts w:hint="eastAsia" w:ascii="宋体" w:hAnsi="宋体" w:cs="宋体"/>
              </w:rPr>
            </w:pPr>
          </w:p>
        </w:tc>
        <w:tc>
          <w:tcPr>
            <w:tcW w:w="1440" w:type="dxa"/>
            <w:gridSpan w:val="6"/>
            <w:tcBorders>
              <w:top w:val="single" w:color="auto" w:sz="4" w:space="0"/>
              <w:left w:val="single" w:color="auto" w:sz="4" w:space="0"/>
              <w:bottom w:val="nil"/>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公司员工人数</w:t>
            </w:r>
          </w:p>
        </w:tc>
        <w:tc>
          <w:tcPr>
            <w:tcW w:w="2930" w:type="dxa"/>
            <w:gridSpan w:val="7"/>
            <w:tcBorders>
              <w:top w:val="single" w:color="auto" w:sz="4" w:space="0"/>
              <w:left w:val="single" w:color="auto" w:sz="4" w:space="0"/>
              <w:bottom w:val="nil"/>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5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所在部门</w:t>
            </w:r>
          </w:p>
        </w:tc>
        <w:tc>
          <w:tcPr>
            <w:tcW w:w="4500" w:type="dxa"/>
            <w:gridSpan w:val="13"/>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职  务</w:t>
            </w:r>
          </w:p>
        </w:tc>
        <w:tc>
          <w:tcPr>
            <w:tcW w:w="2930" w:type="dxa"/>
            <w:gridSpan w:val="7"/>
            <w:tcBorders>
              <w:righ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办公电话</w:t>
            </w:r>
          </w:p>
        </w:tc>
        <w:tc>
          <w:tcPr>
            <w:tcW w:w="1800" w:type="dxa"/>
            <w:gridSpan w:val="5"/>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1185" w:type="dxa"/>
            <w:gridSpan w:val="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家庭电话</w:t>
            </w:r>
          </w:p>
        </w:tc>
        <w:tc>
          <w:tcPr>
            <w:tcW w:w="1515"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传  真</w:t>
            </w:r>
          </w:p>
        </w:tc>
        <w:tc>
          <w:tcPr>
            <w:tcW w:w="2930" w:type="dxa"/>
            <w:gridSpan w:val="7"/>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手  机</w:t>
            </w:r>
          </w:p>
        </w:tc>
        <w:tc>
          <w:tcPr>
            <w:tcW w:w="4500" w:type="dxa"/>
            <w:gridSpan w:val="13"/>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E-mail</w:t>
            </w:r>
          </w:p>
        </w:tc>
        <w:tc>
          <w:tcPr>
            <w:tcW w:w="2930" w:type="dxa"/>
            <w:gridSpan w:val="7"/>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6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rPr>
            </w:pPr>
            <w:r>
              <w:rPr>
                <w:rFonts w:hint="eastAsia"/>
              </w:rPr>
              <w:t>学费来源</w:t>
            </w:r>
          </w:p>
          <w:p>
            <w:pPr>
              <w:snapToGrid w:val="0"/>
              <w:spacing w:before="40" w:line="400" w:lineRule="exact"/>
              <w:jc w:val="center"/>
              <w:rPr>
                <w:rFonts w:hint="eastAsia" w:ascii="楷体" w:eastAsia="楷体"/>
              </w:rPr>
            </w:pPr>
            <w:r>
              <w:rPr>
                <w:rFonts w:hint="eastAsia" w:ascii="华文楷体" w:hAnsi="华文楷体" w:eastAsia="华文楷体" w:cs="华文楷体"/>
              </w:rPr>
              <w:t>（请划勾）</w:t>
            </w:r>
          </w:p>
        </w:tc>
        <w:tc>
          <w:tcPr>
            <w:tcW w:w="8870" w:type="dxa"/>
            <w:gridSpan w:val="26"/>
            <w:tcBorders>
              <w:left w:val="single" w:color="auto" w:sz="4" w:space="0"/>
            </w:tcBorders>
            <w:noWrap w:val="0"/>
            <w:vAlign w:val="top"/>
          </w:tcPr>
          <w:p>
            <w:pPr>
              <w:snapToGrid w:val="0"/>
              <w:spacing w:before="40" w:line="400" w:lineRule="exact"/>
              <w:jc w:val="center"/>
              <w:rPr>
                <w:rFonts w:ascii="楷体" w:eastAsia="楷体"/>
              </w:rPr>
            </w:pPr>
            <w:r>
              <w:rPr>
                <w:rFonts w:hint="eastAsia" w:ascii="宋体" w:hAnsi="宋体"/>
              </w:rPr>
              <w:t>○  公司全额支付    ○  公司部分支付    ○  学员本人支付     ○  其它来源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7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您希望我们联系您的  □ 现家庭住址    □  办公地址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7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现家庭住址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办公地址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5"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请您指定一位紧急联系人：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紧急联系人姓名</w:t>
            </w:r>
          </w:p>
        </w:tc>
        <w:tc>
          <w:tcPr>
            <w:tcW w:w="3245" w:type="dxa"/>
            <w:gridSpan w:val="10"/>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89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关系</w:t>
            </w:r>
          </w:p>
        </w:tc>
        <w:tc>
          <w:tcPr>
            <w:tcW w:w="4730" w:type="dxa"/>
            <w:gridSpan w:val="1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2" w:hRule="atLeast"/>
        </w:trPr>
        <w:tc>
          <w:tcPr>
            <w:tcW w:w="1530" w:type="dxa"/>
            <w:gridSpan w:val="2"/>
            <w:tcBorders>
              <w:right w:val="single" w:color="auto" w:sz="4" w:space="0"/>
            </w:tcBorders>
            <w:noWrap w:val="0"/>
            <w:vAlign w:val="top"/>
          </w:tcPr>
          <w:p>
            <w:pPr>
              <w:snapToGrid w:val="0"/>
              <w:spacing w:before="40" w:line="400" w:lineRule="exact"/>
              <w:rPr>
                <w:rFonts w:hint="eastAsia" w:ascii="宋体" w:hAnsi="宋体" w:cs="宋体"/>
              </w:rPr>
            </w:pPr>
            <w:r>
              <w:rPr>
                <w:rFonts w:hint="eastAsia" w:ascii="宋体" w:hAnsi="宋体" w:cs="宋体"/>
              </w:rPr>
              <w:t>联系方式</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ascii="楷体" w:eastAsia="楷体"/>
                <w:b/>
                <w:bCs/>
                <w:sz w:val="24"/>
              </w:rPr>
            </w:pPr>
            <w:r>
              <w:rPr>
                <w:rFonts w:hint="eastAsia" w:ascii="华文楷体" w:hAnsi="华文楷体" w:eastAsia="华文楷体" w:cs="华文楷体"/>
                <w:b/>
                <w:bCs/>
                <w:sz w:val="28"/>
                <w:szCs w:val="28"/>
              </w:rPr>
              <w:t>Ⅱ. 教育背景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 xml:space="preserve">毕业院校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最高学历</w:t>
            </w:r>
            <w:r>
              <w:rPr>
                <w:rFonts w:hint="eastAsia" w:ascii="华文楷体" w:hAnsi="华文楷体" w:eastAsia="华文楷体" w:cs="华文楷体"/>
              </w:rPr>
              <w:t>（请划勾）</w:t>
            </w:r>
            <w:r>
              <w:rPr>
                <w:rFonts w:hint="eastAsia" w:ascii="宋体" w:hAnsi="宋体" w:cs="宋体"/>
              </w:rPr>
              <w:t xml:space="preserve"> ○  博士         ○  硕士        ○  本科        ○  专科       ○  高中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全日制高等教育：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85" w:type="dxa"/>
            <w:gridSpan w:val="6"/>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学校名称</w:t>
            </w:r>
          </w:p>
        </w:tc>
        <w:tc>
          <w:tcPr>
            <w:tcW w:w="4245" w:type="dxa"/>
            <w:gridSpan w:val="1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业余教育和在职培训：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学校或教育机构名称</w:t>
            </w:r>
          </w:p>
        </w:tc>
        <w:tc>
          <w:tcPr>
            <w:tcW w:w="4245" w:type="dxa"/>
            <w:gridSpan w:val="1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lef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rPr>
            </w:pPr>
            <w:r>
              <w:rPr>
                <w:rFonts w:hint="eastAsia" w:ascii="华文楷体" w:hAnsi="华文楷体" w:eastAsia="华文楷体" w:cs="华文楷体"/>
                <w:b/>
                <w:bCs/>
                <w:sz w:val="28"/>
                <w:szCs w:val="28"/>
              </w:rPr>
              <w:t>Ⅲ. 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8" w:hRule="atLeast"/>
        </w:trPr>
        <w:tc>
          <w:tcPr>
            <w:tcW w:w="1710" w:type="dxa"/>
            <w:gridSpan w:val="3"/>
            <w:noWrap w:val="0"/>
            <w:vAlign w:val="top"/>
          </w:tcPr>
          <w:p>
            <w:pPr>
              <w:snapToGrid w:val="0"/>
              <w:spacing w:before="40" w:line="400" w:lineRule="exact"/>
              <w:rPr>
                <w:rFonts w:hint="eastAsia" w:ascii="楷体" w:eastAsia="楷体"/>
                <w:b/>
                <w:bCs/>
              </w:rPr>
            </w:pPr>
            <w:r>
              <w:rPr>
                <w:rFonts w:hint="eastAsia"/>
              </w:rPr>
              <w:t>累计工作年数</w:t>
            </w:r>
          </w:p>
        </w:tc>
        <w:tc>
          <w:tcPr>
            <w:tcW w:w="3065" w:type="dxa"/>
            <w:gridSpan w:val="9"/>
            <w:noWrap w:val="0"/>
            <w:vAlign w:val="top"/>
          </w:tcPr>
          <w:p>
            <w:pPr>
              <w:snapToGrid w:val="0"/>
              <w:spacing w:before="40" w:line="400" w:lineRule="exact"/>
              <w:rPr>
                <w:rFonts w:hint="eastAsia" w:ascii="宋体" w:hAnsi="宋体" w:cs="宋体"/>
                <w:b/>
                <w:bCs/>
              </w:rPr>
            </w:pPr>
          </w:p>
        </w:tc>
        <w:tc>
          <w:tcPr>
            <w:tcW w:w="2880" w:type="dxa"/>
            <w:gridSpan w:val="11"/>
            <w:noWrap w:val="0"/>
            <w:vAlign w:val="top"/>
          </w:tcPr>
          <w:p>
            <w:pPr>
              <w:jc w:val="center"/>
              <w:rPr>
                <w:rFonts w:hint="eastAsia" w:ascii="宋体" w:hAnsi="宋体" w:cs="宋体"/>
                <w:b/>
                <w:bCs/>
              </w:rPr>
            </w:pPr>
            <w:r>
              <w:rPr>
                <w:rFonts w:hint="eastAsia" w:ascii="宋体" w:hAnsi="宋体" w:cs="宋体"/>
              </w:rPr>
              <w:t>累计管理年数</w:t>
            </w:r>
          </w:p>
        </w:tc>
        <w:tc>
          <w:tcPr>
            <w:tcW w:w="2745" w:type="dxa"/>
            <w:gridSpan w:val="5"/>
            <w:noWrap w:val="0"/>
            <w:vAlign w:val="top"/>
          </w:tcPr>
          <w:p>
            <w:pPr>
              <w:snapToGrid w:val="0"/>
              <w:spacing w:before="40" w:line="400" w:lineRule="exact"/>
              <w:rPr>
                <w:rFonts w:hint="eastAsia" w:ascii="宋体" w:hAnsi="宋体" w:cs="宋体"/>
                <w:b/>
                <w:bCs/>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工作经历</w:t>
            </w:r>
            <w:r>
              <w:rPr>
                <w:rFonts w:hint="eastAsia" w:ascii="华文楷体" w:hAnsi="华文楷体" w:eastAsia="华文楷体" w:cs="华文楷体"/>
              </w:rPr>
              <w:t>(从最近填起)</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2160" w:type="dxa"/>
            <w:gridSpan w:val="7"/>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340" w:type="dxa"/>
            <w:gridSpan w:val="9"/>
            <w:noWrap w:val="0"/>
            <w:vAlign w:val="top"/>
          </w:tcPr>
          <w:p>
            <w:pPr>
              <w:snapToGrid w:val="0"/>
              <w:spacing w:before="40" w:line="400" w:lineRule="exact"/>
              <w:jc w:val="center"/>
              <w:rPr>
                <w:rFonts w:hint="eastAsia" w:ascii="宋体" w:hAnsi="宋体" w:cs="宋体"/>
              </w:rPr>
            </w:pPr>
            <w:r>
              <w:rPr>
                <w:rFonts w:hint="eastAsia" w:ascii="宋体" w:hAnsi="宋体" w:cs="宋体"/>
              </w:rPr>
              <w:t>部  门</w:t>
            </w:r>
          </w:p>
        </w:tc>
        <w:tc>
          <w:tcPr>
            <w:tcW w:w="167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职  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楷体" w:eastAsia="楷体"/>
                <w:b/>
                <w:bCs/>
                <w:sz w:val="24"/>
              </w:rPr>
            </w:pPr>
            <w:r>
              <w:rPr>
                <w:rFonts w:hint="eastAsia" w:ascii="华文楷体" w:hAnsi="华文楷体" w:eastAsia="华文楷体" w:cs="华文楷体"/>
                <w:b/>
                <w:bCs/>
                <w:sz w:val="28"/>
                <w:szCs w:val="28"/>
              </w:rPr>
              <w:t>Ⅳ. 推荐人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姓名</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4085" w:type="dxa"/>
            <w:gridSpan w:val="14"/>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70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职位</w:t>
            </w:r>
          </w:p>
        </w:tc>
        <w:tc>
          <w:tcPr>
            <w:tcW w:w="2190"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电话</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通信地址</w:t>
            </w:r>
          </w:p>
        </w:tc>
        <w:tc>
          <w:tcPr>
            <w:tcW w:w="4085" w:type="dxa"/>
            <w:gridSpan w:val="14"/>
            <w:noWrap w:val="0"/>
            <w:vAlign w:val="top"/>
          </w:tcPr>
          <w:p>
            <w:pPr>
              <w:snapToGrid w:val="0"/>
              <w:spacing w:before="40" w:line="400" w:lineRule="exact"/>
              <w:jc w:val="center"/>
              <w:rPr>
                <w:rFonts w:hint="eastAsia" w:ascii="宋体" w:hAnsi="宋体" w:cs="宋体"/>
              </w:rPr>
            </w:pPr>
          </w:p>
        </w:tc>
        <w:tc>
          <w:tcPr>
            <w:tcW w:w="705"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邮编</w:t>
            </w:r>
          </w:p>
        </w:tc>
        <w:tc>
          <w:tcPr>
            <w:tcW w:w="2190" w:type="dxa"/>
            <w:gridSpan w:val="4"/>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345" w:hRule="atLeast"/>
        </w:trPr>
        <w:tc>
          <w:tcPr>
            <w:tcW w:w="10400" w:type="dxa"/>
            <w:gridSpan w:val="28"/>
            <w:noWrap w:val="0"/>
            <w:vAlign w:val="top"/>
          </w:tcPr>
          <w:p>
            <w:pPr>
              <w:snapToGrid w:val="0"/>
              <w:spacing w:before="40" w:line="400" w:lineRule="exact"/>
              <w:ind w:right="77"/>
              <w:rPr>
                <w:rFonts w:hint="eastAsia" w:ascii="楷体" w:eastAsia="楷体"/>
              </w:rPr>
            </w:pPr>
            <w:r>
              <w:rPr>
                <w:rFonts w:hint="eastAsia" w:ascii="楷体" w:eastAsia="楷体"/>
              </w:rPr>
              <w:t>我保证所提交的上述任何资料均真实可靠，并愿对因虚假资料导致的申请失败及学籍的取消承担全部责任。</w:t>
            </w:r>
          </w:p>
          <w:p>
            <w:pPr>
              <w:snapToGrid w:val="0"/>
              <w:spacing w:before="40" w:line="400" w:lineRule="exact"/>
              <w:ind w:right="77"/>
              <w:rPr>
                <w:rFonts w:hint="eastAsia" w:ascii="楷体" w:eastAsia="楷体"/>
              </w:rPr>
            </w:pPr>
          </w:p>
          <w:p>
            <w:pPr>
              <w:snapToGrid w:val="0"/>
              <w:spacing w:before="40" w:line="400" w:lineRule="exact"/>
              <w:rPr>
                <w:rFonts w:ascii="楷体" w:eastAsia="楷体"/>
              </w:rPr>
            </w:pPr>
            <w:r>
              <w:rPr>
                <w:rFonts w:hint="eastAsia" w:ascii="楷体" w:eastAsia="楷体"/>
              </w:rPr>
              <w:t xml:space="preserve">                                         </w:t>
            </w:r>
            <w:r>
              <w:rPr>
                <w:rFonts w:hint="eastAsia" w:ascii="宋体" w:hAnsi="宋体" w:cs="宋体"/>
              </w:rPr>
              <w:t>申请人</w:t>
            </w:r>
            <w:r>
              <w:rPr>
                <w:rFonts w:hint="eastAsia" w:ascii="楷体"/>
              </w:rPr>
              <w:t xml:space="preserve">签名：                    日期：    </w:t>
            </w:r>
          </w:p>
        </w:tc>
      </w:tr>
    </w:tbl>
    <w:p>
      <w:pPr>
        <w:snapToGrid w:val="0"/>
        <w:spacing w:line="360" w:lineRule="atLeast"/>
        <w:rPr>
          <w:rFonts w:ascii="楷体" w:eastAsia="楷体"/>
          <w:sz w:val="18"/>
          <w:szCs w:val="18"/>
        </w:rPr>
      </w:pPr>
    </w:p>
    <w:p>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r>
      <w:drawing>
        <wp:anchor distT="0" distB="0" distL="114300" distR="114300" simplePos="0" relativeHeight="251660288" behindDoc="0" locked="0" layoutInCell="1" allowOverlap="1">
          <wp:simplePos x="0" y="0"/>
          <wp:positionH relativeFrom="margin">
            <wp:posOffset>120015</wp:posOffset>
          </wp:positionH>
          <wp:positionV relativeFrom="margin">
            <wp:posOffset>-580390</wp:posOffset>
          </wp:positionV>
          <wp:extent cx="508635" cy="524510"/>
          <wp:effectExtent l="0" t="0" r="635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421" cy="524786"/>
                  </a:xfrm>
                  <a:prstGeom prst="rect">
                    <a:avLst/>
                  </a:prstGeom>
                </pic:spPr>
              </pic:pic>
            </a:graphicData>
          </a:graphic>
        </wp:anchor>
      </w:drawing>
    </w:r>
    <w:r>
      <w:rPr>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52.4pt;width:580.8pt;mso-position-horizontal:center;mso-position-horizontal-relative:page;mso-position-vertical:center;mso-position-vertical-relative:page;z-index:251659264;v-text-anchor:middle;mso-width-relative:page;mso-height-relative:page;mso-width-percent:950;mso-height-percent:950;" filled="f" stroked="t" coordsize="21600,21600" o:gfxdata="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4AB7VAAAABwEAAA8AAAAAAAAAAQAgAAAA&#10;IgAAAGRycy9kb3ducmV2LnhtbFBLAQIUABQAAAAIAIdO4kAQwlLygAIAAPIEAAAOAAAAAAAAAAEA&#10;IAAAACQBAABkcnMvZTJvRG9jLnhtbFBLBQYAAAAABgAGAFkBAAAWBgAAAAA=&#10;">
              <v:fill on="f" focussize="0,0"/>
              <v:stroke weight="1.25pt" color="#767171 [1614]" miterlimit="8" joinstyle="miter"/>
              <v:imagedata o:title=""/>
              <o:lock v:ext="edit" aspectratio="f"/>
            </v:rect>
          </w:pict>
        </mc:Fallback>
      </mc:AlternateConten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E2CE2"/>
    <w:multiLevelType w:val="multilevel"/>
    <w:tmpl w:val="1E1E2CE2"/>
    <w:lvl w:ilvl="0" w:tentative="0">
      <w:start w:val="1"/>
      <w:numFmt w:val="bullet"/>
      <w:lvlText w:val="◆"/>
      <w:lvlJc w:val="left"/>
      <w:pPr>
        <w:ind w:left="360" w:hanging="360"/>
      </w:pPr>
      <w:rPr>
        <w:rFonts w:hint="eastAsia" w:ascii="宋体" w:hAnsi="宋体" w:eastAsia="宋体"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5E"/>
    <w:rsid w:val="00103D69"/>
    <w:rsid w:val="001145BA"/>
    <w:rsid w:val="0024428D"/>
    <w:rsid w:val="00433C5E"/>
    <w:rsid w:val="0054414B"/>
    <w:rsid w:val="005A2BD1"/>
    <w:rsid w:val="006515EF"/>
    <w:rsid w:val="007B2A22"/>
    <w:rsid w:val="007F386D"/>
    <w:rsid w:val="007F3FEA"/>
    <w:rsid w:val="00960F72"/>
    <w:rsid w:val="00A159E8"/>
    <w:rsid w:val="00A23F04"/>
    <w:rsid w:val="00A76632"/>
    <w:rsid w:val="00B47492"/>
    <w:rsid w:val="00DE79F6"/>
    <w:rsid w:val="0CB90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qFormat/>
    <w:uiPriority w:val="0"/>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E27CE4-C365-40EA-A8E1-E5FDD8B1701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384</Words>
  <Characters>2193</Characters>
  <Lines>18</Lines>
  <Paragraphs>5</Paragraphs>
  <TotalTime>0</TotalTime>
  <ScaleCrop>false</ScaleCrop>
  <LinksUpToDate>false</LinksUpToDate>
  <CharactersWithSpaces>2572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2020-12-09T07:34:00Z</dcterms:created>
  <dc:creator>qingyouhui</dc:creator>
  <cp:lastModifiedBy>Administrator</cp:lastModifiedBy>
  <dcterms:modified xsi:type="dcterms:W3CDTF">2020-12-15T06:24:24Z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