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2"/>
        <w:jc w:val="center"/>
        <w:rPr>
          <w:rFonts w:hint="eastAsia"/>
          <w:b/>
          <w:bCs/>
        </w:rPr>
      </w:pPr>
      <w:r>
        <w:rPr>
          <w:rFonts w:hint="eastAsia"/>
          <w:b/>
          <w:bCs/>
        </w:rPr>
        <w:t>马来西亚思特雅大学教育学博士（研究型）项目</w:t>
      </w:r>
    </w:p>
    <w:p>
      <w:pPr>
        <w:ind w:left="142"/>
        <w:jc w:val="center"/>
        <w:rPr>
          <w:rFonts w:hint="eastAsia"/>
          <w:b/>
          <w:bCs/>
        </w:rPr>
      </w:pPr>
      <w:r>
        <w:rPr>
          <w:rFonts w:hint="eastAsia"/>
          <w:b/>
          <w:bCs/>
        </w:rPr>
        <w:t>马来西亚思特雅大学工程学博士（研究型）项目</w:t>
      </w:r>
    </w:p>
    <w:p>
      <w:pPr>
        <w:ind w:left="142"/>
        <w:jc w:val="center"/>
        <w:rPr>
          <w:rFonts w:hint="eastAsia"/>
          <w:b/>
          <w:bCs/>
        </w:rPr>
      </w:pPr>
      <w:r>
        <w:rPr>
          <w:rFonts w:hint="eastAsia"/>
          <w:b/>
          <w:bCs/>
        </w:rPr>
        <w:t>马来西亚思特雅大学建筑学博士（研究型）项目</w:t>
      </w:r>
    </w:p>
    <w:p>
      <w:pPr>
        <w:ind w:left="142"/>
        <w:jc w:val="center"/>
        <w:rPr>
          <w:rFonts w:hint="eastAsia"/>
          <w:b/>
          <w:bCs/>
        </w:rPr>
      </w:pPr>
      <w:r>
        <w:rPr>
          <w:rFonts w:hint="eastAsia"/>
          <w:b/>
          <w:bCs/>
        </w:rPr>
        <w:t>马来西亚思特雅大学药剂学博士（研究型）项目</w:t>
      </w:r>
    </w:p>
    <w:p>
      <w:pPr>
        <w:ind w:left="142"/>
        <w:jc w:val="center"/>
        <w:rPr>
          <w:rFonts w:hint="eastAsia"/>
          <w:b/>
          <w:bCs/>
        </w:rPr>
      </w:pPr>
      <w:r>
        <w:rPr>
          <w:rFonts w:hint="eastAsia"/>
          <w:b/>
          <w:bCs/>
        </w:rPr>
        <w:t>马来西亚思特雅大学商业与管理博士（研究型）项目</w:t>
      </w:r>
    </w:p>
    <w:p>
      <w:pPr>
        <w:ind w:left="142"/>
        <w:rPr>
          <w:b/>
          <w:bCs/>
        </w:rPr>
      </w:pPr>
      <w:r>
        <w:rPr>
          <w:rFonts w:hint="eastAsia"/>
          <w:b/>
          <w:bCs/>
        </w:rPr>
        <w:t>一、思特雅大学介绍</w:t>
      </w:r>
    </w:p>
    <w:p>
      <w:pPr>
        <w:ind w:left="870"/>
      </w:pPr>
      <w:r>
        <w:rPr>
          <w:rFonts w:hint="eastAsia"/>
        </w:rPr>
        <w:t>思特雅大学（UCSIUniversity)成立于1986年，是马来西亚教育部批准成立，中国教育部及全球承认的可授予大学学士、硕士及博士文凭的海外综合高校，并于2003年成为有史以来第一所被马来西亚教育部批准开设医学类课程的大学，是大马唯一一所提供多元化课程的综合性大学。</w:t>
      </w:r>
    </w:p>
    <w:p>
      <w:pPr>
        <w:pStyle w:val="5"/>
        <w:ind w:left="870" w:firstLine="0" w:firstLineChars="0"/>
      </w:pPr>
      <w:r>
        <w:t>2020年QS世界大学排名第391名，高于北京理工大学（第391）。UCSI在2018年起在QS世界排名被评为在表演艺术领域全球前100位的大学。思特雅大学有来自世界各地110个国家的学生在此就读，国际生占比例为30%。</w:t>
      </w:r>
    </w:p>
    <w:p>
      <w:pPr>
        <w:pStyle w:val="5"/>
        <w:ind w:left="870" w:firstLine="0" w:firstLineChars="0"/>
      </w:pPr>
      <w:r>
        <w:t>2021 QS世界大学排名391</w:t>
      </w:r>
    </w:p>
    <w:p>
      <w:pPr>
        <w:pStyle w:val="5"/>
        <w:ind w:left="870" w:firstLine="0" w:firstLineChars="0"/>
      </w:pPr>
      <w:r>
        <w:t>2020 QS世界大学排名442</w:t>
      </w:r>
    </w:p>
    <w:p>
      <w:pPr>
        <w:pStyle w:val="5"/>
        <w:ind w:left="870" w:firstLine="0" w:firstLineChars="0"/>
      </w:pPr>
      <w:r>
        <w:t>2019 QS世界大学排名481</w:t>
      </w:r>
    </w:p>
    <w:p>
      <w:pPr>
        <w:pStyle w:val="5"/>
        <w:ind w:left="870" w:firstLine="0" w:firstLineChars="0"/>
      </w:pPr>
      <w:r>
        <w:rPr>
          <w:rFonts w:hint="eastAsia"/>
        </w:rPr>
        <w:t>思特雅大学是五星级私立大学</w:t>
      </w:r>
    </w:p>
    <w:p>
      <w:pPr>
        <w:pStyle w:val="5"/>
        <w:ind w:left="592" w:firstLine="0" w:firstLineChars="0"/>
        <w:rPr>
          <w:b/>
          <w:bCs/>
        </w:rPr>
      </w:pPr>
      <w:r>
        <w:rPr>
          <w:rFonts w:hint="eastAsia"/>
          <w:b/>
          <w:bCs/>
        </w:rPr>
        <w:t>二、思特雅大学博士项目优势</w:t>
      </w:r>
    </w:p>
    <w:p>
      <w:pPr>
        <w:pStyle w:val="5"/>
        <w:ind w:left="592" w:firstLine="0" w:firstLineChars="0"/>
      </w:pPr>
      <w:r>
        <w:t>1、</w:t>
      </w:r>
      <w:r>
        <w:rPr>
          <w:rFonts w:hint="eastAsia"/>
        </w:rPr>
        <w:t>思特雅大学在马来西亚高校排名第七，是亚洲排名百强大学；</w:t>
      </w:r>
    </w:p>
    <w:p>
      <w:pPr>
        <w:pStyle w:val="5"/>
        <w:ind w:left="592" w:firstLine="0" w:firstLineChars="0"/>
      </w:pPr>
      <w:r>
        <w:t>2、正规全日制注册学籍，在职不脱产学习；</w:t>
      </w:r>
    </w:p>
    <w:p>
      <w:pPr>
        <w:pStyle w:val="5"/>
        <w:ind w:left="592" w:firstLine="0" w:firstLineChars="0"/>
      </w:pPr>
      <w:r>
        <w:t>3、入学无语言要求；</w:t>
      </w:r>
    </w:p>
    <w:p>
      <w:pPr>
        <w:pStyle w:val="5"/>
        <w:ind w:left="592" w:firstLine="0" w:firstLineChars="0"/>
      </w:pPr>
      <w:r>
        <w:t>4、上课时间灵活，每年四次，每次14天；</w:t>
      </w:r>
    </w:p>
    <w:p>
      <w:pPr>
        <w:pStyle w:val="5"/>
        <w:ind w:left="592" w:firstLine="0" w:firstLineChars="0"/>
      </w:pPr>
      <w:r>
        <w:t>5、雅思、文章发表、毕业论文，全程协助；</w:t>
      </w:r>
    </w:p>
    <w:p>
      <w:pPr>
        <w:pStyle w:val="5"/>
        <w:ind w:left="592" w:firstLine="0" w:firstLineChars="0"/>
      </w:pPr>
      <w:r>
        <w:t>6、博士学位在中国教育部留学服务中心学历学位双认证；</w:t>
      </w:r>
    </w:p>
    <w:p>
      <w:pPr>
        <w:ind w:left="142" w:firstLine="420" w:firstLineChars="200"/>
      </w:pPr>
      <w:r>
        <w:t>7、课余时间，学员可在马来西亚知名企业交流学习，游学访问。</w:t>
      </w:r>
    </w:p>
    <w:p>
      <w:pPr>
        <w:ind w:left="142" w:firstLine="422" w:firstLineChars="200"/>
        <w:rPr>
          <w:b/>
          <w:bCs/>
        </w:rPr>
      </w:pPr>
      <w:r>
        <w:rPr>
          <w:rFonts w:hint="eastAsia"/>
          <w:b/>
          <w:bCs/>
        </w:rPr>
        <w:t>三、思特雅博士项目专业介绍</w:t>
      </w:r>
    </w:p>
    <w:tbl>
      <w:tblPr>
        <w:tblStyle w:val="3"/>
        <w:tblW w:w="9636" w:type="dxa"/>
        <w:tblInd w:w="0" w:type="dxa"/>
        <w:tblLayout w:type="autofit"/>
        <w:tblCellMar>
          <w:top w:w="0" w:type="dxa"/>
          <w:left w:w="0" w:type="dxa"/>
          <w:bottom w:w="0" w:type="dxa"/>
          <w:right w:w="0" w:type="dxa"/>
        </w:tblCellMar>
      </w:tblPr>
      <w:tblGrid>
        <w:gridCol w:w="3514"/>
        <w:gridCol w:w="1332"/>
        <w:gridCol w:w="913"/>
        <w:gridCol w:w="1623"/>
        <w:gridCol w:w="2254"/>
      </w:tblGrid>
      <w:tr>
        <w:tblPrEx>
          <w:tblCellMar>
            <w:top w:w="0" w:type="dxa"/>
            <w:left w:w="0" w:type="dxa"/>
            <w:bottom w:w="0" w:type="dxa"/>
            <w:right w:w="0" w:type="dxa"/>
          </w:tblCellMar>
        </w:tblPrEx>
        <w:trPr>
          <w:trHeight w:val="676" w:hRule="atLeast"/>
        </w:trPr>
        <w:tc>
          <w:tcPr>
            <w:tcW w:w="3541"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2" w:firstLineChars="200"/>
              <w:jc w:val="left"/>
            </w:pPr>
            <w:r>
              <w:rPr>
                <w:rFonts w:hint="eastAsia"/>
                <w:b/>
                <w:bCs/>
              </w:rPr>
              <w:t>专业及学制3年</w:t>
            </w:r>
          </w:p>
        </w:tc>
        <w:tc>
          <w:tcPr>
            <w:tcW w:w="1275"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jc w:val="left"/>
            </w:pPr>
            <w:r>
              <w:rPr>
                <w:rFonts w:hint="eastAsia"/>
                <w:b/>
                <w:bCs/>
              </w:rPr>
              <w:t>开学时间</w:t>
            </w:r>
          </w:p>
        </w:tc>
        <w:tc>
          <w:tcPr>
            <w:tcW w:w="913"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jc w:val="left"/>
            </w:pPr>
            <w:r>
              <w:rPr>
                <w:rFonts w:hint="eastAsia"/>
                <w:b/>
                <w:bCs/>
              </w:rPr>
              <w:t>雅思/分</w:t>
            </w:r>
          </w:p>
        </w:tc>
        <w:tc>
          <w:tcPr>
            <w:tcW w:w="1639"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jc w:val="left"/>
            </w:pPr>
            <w:r>
              <w:rPr>
                <w:rFonts w:hint="eastAsia"/>
                <w:b/>
                <w:bCs/>
              </w:rPr>
              <w:t>学术要求</w:t>
            </w:r>
          </w:p>
        </w:tc>
        <w:tc>
          <w:tcPr>
            <w:tcW w:w="2268"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2" w:firstLineChars="200"/>
              <w:jc w:val="left"/>
            </w:pPr>
            <w:r>
              <w:rPr>
                <w:rFonts w:hint="eastAsia"/>
                <w:b/>
                <w:bCs/>
              </w:rPr>
              <w:t>毕业要求</w:t>
            </w:r>
          </w:p>
        </w:tc>
      </w:tr>
      <w:tr>
        <w:tblPrEx>
          <w:tblCellMar>
            <w:top w:w="0" w:type="dxa"/>
            <w:left w:w="0" w:type="dxa"/>
            <w:bottom w:w="0" w:type="dxa"/>
            <w:right w:w="0" w:type="dxa"/>
          </w:tblCellMar>
        </w:tblPrEx>
        <w:trPr>
          <w:trHeight w:val="1453" w:hRule="atLeast"/>
        </w:trPr>
        <w:tc>
          <w:tcPr>
            <w:tcW w:w="3541" w:type="dxa"/>
            <w:tcBorders>
              <w:top w:val="single" w:color="646464" w:sz="18"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哲学博士-PHD（教育学）</w:t>
            </w:r>
          </w:p>
          <w:p>
            <w:pPr>
              <w:ind w:left="142" w:firstLine="420" w:firstLineChars="200"/>
              <w:jc w:val="left"/>
            </w:pPr>
            <w:r>
              <w:rPr>
                <w:rFonts w:hint="eastAsia"/>
              </w:rPr>
              <w:t>Doctorate of Philosophy (Eeducation)</w:t>
            </w:r>
          </w:p>
        </w:tc>
        <w:tc>
          <w:tcPr>
            <w:tcW w:w="1275" w:type="dxa"/>
            <w:tcBorders>
              <w:top w:val="single" w:color="646464" w:sz="18"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1月、5月、9月</w:t>
            </w:r>
          </w:p>
        </w:tc>
        <w:tc>
          <w:tcPr>
            <w:tcW w:w="913" w:type="dxa"/>
            <w:tcBorders>
              <w:top w:val="single" w:color="646464" w:sz="18"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jc w:val="left"/>
            </w:pPr>
            <w:r>
              <w:rPr>
                <w:rFonts w:hint="eastAsia"/>
              </w:rPr>
              <w:t>5</w:t>
            </w:r>
          </w:p>
        </w:tc>
        <w:tc>
          <w:tcPr>
            <w:tcW w:w="1639" w:type="dxa"/>
            <w:tcBorders>
              <w:top w:val="single" w:color="646464" w:sz="18"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硕士</w:t>
            </w:r>
          </w:p>
        </w:tc>
        <w:tc>
          <w:tcPr>
            <w:tcW w:w="2268" w:type="dxa"/>
            <w:tcBorders>
              <w:top w:val="single" w:color="646464" w:sz="18"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1. 完成并通过全部课程；</w:t>
            </w:r>
          </w:p>
          <w:p>
            <w:pPr>
              <w:ind w:left="142" w:firstLine="420" w:firstLineChars="200"/>
              <w:jc w:val="left"/>
            </w:pPr>
            <w:r>
              <w:rPr>
                <w:rFonts w:hint="eastAsia"/>
              </w:rPr>
              <w:t>2. 在国际索引期刊（Scopus/ISI）上至少发表的一篇文章，提交一篇文章</w:t>
            </w:r>
          </w:p>
        </w:tc>
      </w:tr>
      <w:tr>
        <w:tblPrEx>
          <w:tblCellMar>
            <w:top w:w="0" w:type="dxa"/>
            <w:left w:w="0" w:type="dxa"/>
            <w:bottom w:w="0" w:type="dxa"/>
            <w:right w:w="0" w:type="dxa"/>
          </w:tblCellMar>
        </w:tblPrEx>
        <w:trPr>
          <w:trHeight w:val="612" w:hRule="atLeast"/>
        </w:trPr>
        <w:tc>
          <w:tcPr>
            <w:tcW w:w="354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哲学博士-PHD（建筑学）</w:t>
            </w:r>
          </w:p>
          <w:p>
            <w:pPr>
              <w:ind w:left="142" w:firstLine="420" w:firstLineChars="200"/>
              <w:jc w:val="left"/>
            </w:pPr>
            <w:r>
              <w:rPr>
                <w:rFonts w:hint="eastAsia"/>
              </w:rPr>
              <w:t>Doctorate of Philosophy in Architecture</w:t>
            </w:r>
          </w:p>
        </w:tc>
        <w:tc>
          <w:tcPr>
            <w:tcW w:w="1275"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全年开课</w:t>
            </w:r>
          </w:p>
        </w:tc>
        <w:tc>
          <w:tcPr>
            <w:tcW w:w="913"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jc w:val="left"/>
            </w:pPr>
            <w:r>
              <w:rPr>
                <w:rFonts w:hint="eastAsia"/>
              </w:rPr>
              <w:t>6</w:t>
            </w:r>
          </w:p>
        </w:tc>
        <w:tc>
          <w:tcPr>
            <w:tcW w:w="1639"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相关专业硕士3.0</w:t>
            </w:r>
          </w:p>
        </w:tc>
        <w:tc>
          <w:tcPr>
            <w:tcW w:w="2268" w:type="dxa"/>
            <w:vMerge w:val="restart"/>
            <w:tcBorders>
              <w:top w:val="dashSmallGap" w:color="646464" w:sz="6"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1.完成并通过全部课程；</w:t>
            </w:r>
          </w:p>
          <w:p>
            <w:pPr>
              <w:ind w:left="142" w:firstLine="420" w:firstLineChars="200"/>
              <w:jc w:val="left"/>
            </w:pPr>
            <w:r>
              <w:rPr>
                <w:rFonts w:hint="eastAsia"/>
              </w:rPr>
              <w:t>2. 在国际索引期刊（Scopus/ISI）上至少发表的一篇文章</w:t>
            </w:r>
          </w:p>
        </w:tc>
      </w:tr>
      <w:tr>
        <w:tblPrEx>
          <w:tblCellMar>
            <w:top w:w="0" w:type="dxa"/>
            <w:left w:w="0" w:type="dxa"/>
            <w:bottom w:w="0" w:type="dxa"/>
            <w:right w:w="0" w:type="dxa"/>
          </w:tblCellMar>
        </w:tblPrEx>
        <w:trPr>
          <w:trHeight w:val="612" w:hRule="atLeast"/>
        </w:trPr>
        <w:tc>
          <w:tcPr>
            <w:tcW w:w="354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哲学博士-PHD（工程学）</w:t>
            </w:r>
          </w:p>
          <w:p>
            <w:pPr>
              <w:ind w:left="142" w:firstLine="420" w:firstLineChars="200"/>
              <w:jc w:val="left"/>
            </w:pPr>
            <w:r>
              <w:rPr>
                <w:rFonts w:hint="eastAsia"/>
              </w:rPr>
              <w:t>Doctorate of Philosophy  in Engineering</w:t>
            </w:r>
          </w:p>
        </w:tc>
        <w:tc>
          <w:tcPr>
            <w:tcW w:w="1275"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全年开课</w:t>
            </w:r>
          </w:p>
        </w:tc>
        <w:tc>
          <w:tcPr>
            <w:tcW w:w="913"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jc w:val="left"/>
            </w:pPr>
            <w:r>
              <w:rPr>
                <w:rFonts w:hint="eastAsia"/>
              </w:rPr>
              <w:t>6</w:t>
            </w:r>
          </w:p>
        </w:tc>
        <w:tc>
          <w:tcPr>
            <w:tcW w:w="1639"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相关专业硕士</w:t>
            </w:r>
          </w:p>
        </w:tc>
        <w:tc>
          <w:tcPr>
            <w:tcW w:w="2268" w:type="dxa"/>
            <w:vMerge w:val="continue"/>
            <w:tcBorders>
              <w:top w:val="dashSmallGap" w:color="646464" w:sz="6" w:space="0"/>
              <w:left w:val="dashSmallGap" w:color="646464" w:sz="6" w:space="0"/>
              <w:bottom w:val="single" w:color="646464" w:sz="18" w:space="0"/>
              <w:right w:val="dashSmallGap" w:color="646464" w:sz="6" w:space="0"/>
            </w:tcBorders>
            <w:vAlign w:val="center"/>
          </w:tcPr>
          <w:p>
            <w:pPr>
              <w:ind w:left="142" w:firstLine="420" w:firstLineChars="200"/>
              <w:jc w:val="left"/>
            </w:pPr>
          </w:p>
        </w:tc>
      </w:tr>
      <w:tr>
        <w:tblPrEx>
          <w:tblCellMar>
            <w:top w:w="0" w:type="dxa"/>
            <w:left w:w="0" w:type="dxa"/>
            <w:bottom w:w="0" w:type="dxa"/>
            <w:right w:w="0" w:type="dxa"/>
          </w:tblCellMar>
        </w:tblPrEx>
        <w:trPr>
          <w:trHeight w:val="822" w:hRule="atLeast"/>
        </w:trPr>
        <w:tc>
          <w:tcPr>
            <w:tcW w:w="354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 xml:space="preserve">哲学博士-PHD（药剂科学）   （3-5年）     </w:t>
            </w:r>
          </w:p>
          <w:p>
            <w:pPr>
              <w:ind w:left="142" w:firstLine="420" w:firstLineChars="200"/>
              <w:jc w:val="left"/>
            </w:pPr>
            <w:r>
              <w:rPr>
                <w:rFonts w:hint="eastAsia"/>
              </w:rPr>
              <w:t>Doctorate of Philosophy(Pharmaceutical Sciences)</w:t>
            </w:r>
          </w:p>
        </w:tc>
        <w:tc>
          <w:tcPr>
            <w:tcW w:w="1275"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2月、8月</w:t>
            </w:r>
          </w:p>
        </w:tc>
        <w:tc>
          <w:tcPr>
            <w:tcW w:w="913"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jc w:val="left"/>
            </w:pPr>
            <w:r>
              <w:rPr>
                <w:rFonts w:hint="eastAsia"/>
              </w:rPr>
              <w:t>6</w:t>
            </w:r>
          </w:p>
        </w:tc>
        <w:tc>
          <w:tcPr>
            <w:tcW w:w="1639"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相关专业硕士</w:t>
            </w:r>
          </w:p>
        </w:tc>
        <w:tc>
          <w:tcPr>
            <w:tcW w:w="2268" w:type="dxa"/>
            <w:vMerge w:val="continue"/>
            <w:tcBorders>
              <w:top w:val="dashSmallGap" w:color="646464" w:sz="6" w:space="0"/>
              <w:left w:val="dashSmallGap" w:color="646464" w:sz="6" w:space="0"/>
              <w:bottom w:val="single" w:color="646464" w:sz="18" w:space="0"/>
              <w:right w:val="dashSmallGap" w:color="646464" w:sz="6" w:space="0"/>
            </w:tcBorders>
            <w:vAlign w:val="center"/>
          </w:tcPr>
          <w:p>
            <w:pPr>
              <w:ind w:left="142" w:firstLine="420" w:firstLineChars="200"/>
              <w:jc w:val="left"/>
            </w:pPr>
          </w:p>
        </w:tc>
      </w:tr>
      <w:tr>
        <w:tblPrEx>
          <w:tblCellMar>
            <w:top w:w="0" w:type="dxa"/>
            <w:left w:w="0" w:type="dxa"/>
            <w:bottom w:w="0" w:type="dxa"/>
            <w:right w:w="0" w:type="dxa"/>
          </w:tblCellMar>
        </w:tblPrEx>
        <w:trPr>
          <w:trHeight w:val="822" w:hRule="atLeast"/>
        </w:trPr>
        <w:tc>
          <w:tcPr>
            <w:tcW w:w="3541" w:type="dxa"/>
            <w:tcBorders>
              <w:top w:val="dashSmallGap" w:color="646464" w:sz="6"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 xml:space="preserve">哲学博士-PHD（商学与管理学）    </w:t>
            </w:r>
          </w:p>
          <w:p>
            <w:pPr>
              <w:ind w:left="142" w:firstLine="420" w:firstLineChars="200"/>
              <w:jc w:val="left"/>
            </w:pPr>
            <w:r>
              <w:rPr>
                <w:rFonts w:hint="eastAsia"/>
              </w:rPr>
              <w:t>Doctorate of Philosophy (Business and Management)</w:t>
            </w:r>
          </w:p>
        </w:tc>
        <w:tc>
          <w:tcPr>
            <w:tcW w:w="1275" w:type="dxa"/>
            <w:tcBorders>
              <w:top w:val="dashSmallGap" w:color="646464" w:sz="6"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1月、5月、9月</w:t>
            </w:r>
          </w:p>
        </w:tc>
        <w:tc>
          <w:tcPr>
            <w:tcW w:w="913" w:type="dxa"/>
            <w:tcBorders>
              <w:top w:val="dashSmallGap" w:color="646464" w:sz="6"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jc w:val="left"/>
            </w:pPr>
            <w:r>
              <w:rPr>
                <w:rFonts w:hint="eastAsia"/>
              </w:rPr>
              <w:t>6</w:t>
            </w:r>
          </w:p>
        </w:tc>
        <w:tc>
          <w:tcPr>
            <w:tcW w:w="1639" w:type="dxa"/>
            <w:tcBorders>
              <w:top w:val="dashSmallGap" w:color="646464" w:sz="6" w:space="0"/>
              <w:left w:val="dashSmallGap" w:color="646464" w:sz="6" w:space="0"/>
              <w:bottom w:val="single" w:color="646464" w:sz="18" w:space="0"/>
              <w:right w:val="dashSmallGap" w:color="646464" w:sz="6" w:space="0"/>
            </w:tcBorders>
            <w:shd w:val="clear" w:color="auto" w:fill="auto"/>
            <w:tcMar>
              <w:top w:w="170" w:type="dxa"/>
              <w:left w:w="280" w:type="dxa"/>
              <w:bottom w:w="170" w:type="dxa"/>
              <w:right w:w="280" w:type="dxa"/>
            </w:tcMar>
            <w:vAlign w:val="center"/>
          </w:tcPr>
          <w:p>
            <w:pPr>
              <w:ind w:left="142" w:firstLine="420" w:firstLineChars="200"/>
              <w:jc w:val="left"/>
            </w:pPr>
            <w:r>
              <w:rPr>
                <w:rFonts w:hint="eastAsia"/>
              </w:rPr>
              <w:t>硕士3.0</w:t>
            </w:r>
          </w:p>
        </w:tc>
        <w:tc>
          <w:tcPr>
            <w:tcW w:w="2268" w:type="dxa"/>
            <w:vMerge w:val="continue"/>
            <w:tcBorders>
              <w:top w:val="dashSmallGap" w:color="646464" w:sz="6" w:space="0"/>
              <w:left w:val="dashSmallGap" w:color="646464" w:sz="6" w:space="0"/>
              <w:bottom w:val="single" w:color="646464" w:sz="18" w:space="0"/>
              <w:right w:val="dashSmallGap" w:color="646464" w:sz="6" w:space="0"/>
            </w:tcBorders>
            <w:vAlign w:val="center"/>
          </w:tcPr>
          <w:p>
            <w:pPr>
              <w:ind w:left="142" w:firstLine="420" w:firstLineChars="200"/>
              <w:jc w:val="left"/>
            </w:pPr>
          </w:p>
        </w:tc>
      </w:tr>
    </w:tbl>
    <w:p>
      <w:pPr>
        <w:ind w:left="142" w:firstLine="420" w:firstLineChars="200"/>
        <w:jc w:val="left"/>
      </w:pPr>
    </w:p>
    <w:p>
      <w:pPr>
        <w:ind w:left="142"/>
      </w:pPr>
    </w:p>
    <w:p>
      <w:pPr>
        <w:pStyle w:val="5"/>
        <w:ind w:left="450" w:firstLine="0" w:firstLineChars="0"/>
        <w:rPr>
          <w:b/>
          <w:bCs/>
        </w:rPr>
      </w:pPr>
      <w:r>
        <w:rPr>
          <w:rFonts w:hint="eastAsia"/>
          <w:b/>
          <w:bCs/>
        </w:rPr>
        <w:t>四、研究方向</w:t>
      </w:r>
    </w:p>
    <w:tbl>
      <w:tblPr>
        <w:tblStyle w:val="3"/>
        <w:tblW w:w="9450" w:type="dxa"/>
        <w:tblInd w:w="0" w:type="dxa"/>
        <w:tblLayout w:type="fixed"/>
        <w:tblCellMar>
          <w:top w:w="0" w:type="dxa"/>
          <w:left w:w="0" w:type="dxa"/>
          <w:bottom w:w="0" w:type="dxa"/>
          <w:right w:w="0" w:type="dxa"/>
        </w:tblCellMar>
      </w:tblPr>
      <w:tblGrid>
        <w:gridCol w:w="2388"/>
        <w:gridCol w:w="1701"/>
        <w:gridCol w:w="1581"/>
        <w:gridCol w:w="1890"/>
        <w:gridCol w:w="1890"/>
      </w:tblGrid>
      <w:tr>
        <w:tblPrEx>
          <w:tblCellMar>
            <w:top w:w="0" w:type="dxa"/>
            <w:left w:w="0" w:type="dxa"/>
            <w:bottom w:w="0" w:type="dxa"/>
            <w:right w:w="0" w:type="dxa"/>
          </w:tblCellMar>
        </w:tblPrEx>
        <w:trPr>
          <w:trHeight w:val="1183" w:hRule="atLeast"/>
        </w:trPr>
        <w:tc>
          <w:tcPr>
            <w:tcW w:w="2388"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pStyle w:val="5"/>
              <w:ind w:left="450" w:firstLine="422"/>
            </w:pPr>
            <w:r>
              <w:rPr>
                <w:rFonts w:hint="eastAsia"/>
                <w:b/>
                <w:bCs/>
              </w:rPr>
              <w:t>教育学博士（研究型）</w:t>
            </w:r>
          </w:p>
        </w:tc>
        <w:tc>
          <w:tcPr>
            <w:tcW w:w="1701"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pStyle w:val="5"/>
              <w:ind w:left="450" w:firstLine="422"/>
            </w:pPr>
            <w:r>
              <w:rPr>
                <w:rFonts w:hint="eastAsia"/>
                <w:b/>
                <w:bCs/>
              </w:rPr>
              <w:t>工程学博士（工业型与研究型）</w:t>
            </w:r>
          </w:p>
        </w:tc>
        <w:tc>
          <w:tcPr>
            <w:tcW w:w="1581"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pStyle w:val="5"/>
              <w:ind w:left="450" w:firstLine="422"/>
            </w:pPr>
            <w:r>
              <w:rPr>
                <w:rFonts w:hint="eastAsia"/>
                <w:b/>
                <w:bCs/>
              </w:rPr>
              <w:t>建筑学博士（研究型）</w:t>
            </w:r>
          </w:p>
        </w:tc>
        <w:tc>
          <w:tcPr>
            <w:tcW w:w="1890"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pStyle w:val="5"/>
              <w:ind w:left="450" w:firstLine="422"/>
            </w:pPr>
            <w:r>
              <w:rPr>
                <w:rFonts w:hint="eastAsia"/>
                <w:b/>
                <w:bCs/>
              </w:rPr>
              <w:t>药剂学博士（研究型）</w:t>
            </w:r>
          </w:p>
        </w:tc>
        <w:tc>
          <w:tcPr>
            <w:tcW w:w="1890"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pStyle w:val="5"/>
              <w:ind w:left="450" w:firstLine="422"/>
            </w:pPr>
            <w:r>
              <w:rPr>
                <w:rFonts w:hint="eastAsia"/>
                <w:b/>
                <w:bCs/>
              </w:rPr>
              <w:t>商业与管理博士（研究型）</w:t>
            </w:r>
          </w:p>
        </w:tc>
      </w:tr>
      <w:tr>
        <w:tblPrEx>
          <w:tblCellMar>
            <w:top w:w="0" w:type="dxa"/>
            <w:left w:w="0" w:type="dxa"/>
            <w:bottom w:w="0" w:type="dxa"/>
            <w:right w:w="0" w:type="dxa"/>
          </w:tblCellMar>
        </w:tblPrEx>
        <w:trPr>
          <w:trHeight w:val="3906" w:hRule="atLeast"/>
        </w:trPr>
        <w:tc>
          <w:tcPr>
            <w:tcW w:w="2388"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rPr>
                <w:sz w:val="18"/>
                <w:szCs w:val="18"/>
              </w:rPr>
            </w:pPr>
            <w:r>
              <w:rPr>
                <w:rFonts w:hint="eastAsia"/>
                <w:sz w:val="18"/>
                <w:szCs w:val="18"/>
              </w:rPr>
              <w:t>教育管理与领导力</w:t>
            </w:r>
          </w:p>
          <w:p>
            <w:pPr>
              <w:rPr>
                <w:sz w:val="18"/>
                <w:szCs w:val="18"/>
              </w:rPr>
            </w:pPr>
            <w:r>
              <w:rPr>
                <w:rFonts w:hint="eastAsia"/>
                <w:sz w:val="18"/>
                <w:szCs w:val="18"/>
              </w:rPr>
              <w:t>课程设计与教学</w:t>
            </w:r>
          </w:p>
          <w:p>
            <w:pPr>
              <w:rPr>
                <w:sz w:val="18"/>
                <w:szCs w:val="18"/>
              </w:rPr>
            </w:pPr>
            <w:r>
              <w:rPr>
                <w:rFonts w:hint="eastAsia"/>
                <w:sz w:val="18"/>
                <w:szCs w:val="18"/>
              </w:rPr>
              <w:t>教育科技、创新与学习设计</w:t>
            </w:r>
          </w:p>
          <w:p>
            <w:pPr>
              <w:rPr>
                <w:sz w:val="18"/>
                <w:szCs w:val="18"/>
              </w:rPr>
            </w:pPr>
            <w:r>
              <w:rPr>
                <w:rFonts w:hint="eastAsia"/>
                <w:sz w:val="18"/>
                <w:szCs w:val="18"/>
              </w:rPr>
              <w:t>教育评估</w:t>
            </w:r>
          </w:p>
          <w:p>
            <w:pPr>
              <w:rPr>
                <w:sz w:val="18"/>
                <w:szCs w:val="18"/>
              </w:rPr>
            </w:pPr>
            <w:r>
              <w:rPr>
                <w:rFonts w:hint="eastAsia"/>
                <w:sz w:val="18"/>
                <w:szCs w:val="18"/>
              </w:rPr>
              <w:t>教师教育与开发</w:t>
            </w:r>
          </w:p>
          <w:p>
            <w:pPr>
              <w:rPr>
                <w:sz w:val="18"/>
                <w:szCs w:val="18"/>
              </w:rPr>
            </w:pPr>
            <w:r>
              <w:rPr>
                <w:rFonts w:hint="eastAsia"/>
                <w:sz w:val="18"/>
                <w:szCs w:val="18"/>
              </w:rPr>
              <w:t>语言、文学与多语种教育</w:t>
            </w:r>
          </w:p>
          <w:p>
            <w:pPr>
              <w:rPr>
                <w:sz w:val="18"/>
                <w:szCs w:val="18"/>
              </w:rPr>
            </w:pPr>
            <w:r>
              <w:rPr>
                <w:rFonts w:hint="eastAsia"/>
                <w:sz w:val="18"/>
                <w:szCs w:val="18"/>
              </w:rPr>
              <w:t>特殊教育与全纳教育</w:t>
            </w:r>
          </w:p>
          <w:p>
            <w:pPr>
              <w:rPr>
                <w:sz w:val="18"/>
                <w:szCs w:val="18"/>
              </w:rPr>
            </w:pPr>
            <w:r>
              <w:rPr>
                <w:rFonts w:hint="eastAsia"/>
                <w:sz w:val="18"/>
                <w:szCs w:val="18"/>
              </w:rPr>
              <w:t>教育心理学</w:t>
            </w:r>
          </w:p>
          <w:p>
            <w:pPr>
              <w:rPr>
                <w:sz w:val="18"/>
                <w:szCs w:val="18"/>
              </w:rPr>
            </w:pPr>
            <w:r>
              <w:rPr>
                <w:rFonts w:hint="eastAsia"/>
                <w:sz w:val="18"/>
                <w:szCs w:val="18"/>
              </w:rPr>
              <w:t>跨学科研究</w:t>
            </w:r>
          </w:p>
          <w:p>
            <w:pPr>
              <w:rPr>
                <w:sz w:val="18"/>
                <w:szCs w:val="18"/>
              </w:rPr>
            </w:pPr>
            <w:r>
              <w:rPr>
                <w:rFonts w:hint="eastAsia"/>
                <w:sz w:val="18"/>
                <w:szCs w:val="18"/>
              </w:rPr>
              <w:t>其他和教育相关的领域</w:t>
            </w:r>
          </w:p>
        </w:tc>
        <w:tc>
          <w:tcPr>
            <w:tcW w:w="1701"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rPr>
                <w:sz w:val="18"/>
                <w:szCs w:val="18"/>
              </w:rPr>
            </w:pPr>
            <w:r>
              <w:rPr>
                <w:rFonts w:hint="eastAsia"/>
                <w:sz w:val="18"/>
                <w:szCs w:val="18"/>
              </w:rPr>
              <w:t>电子工程</w:t>
            </w:r>
          </w:p>
          <w:p>
            <w:pPr>
              <w:rPr>
                <w:sz w:val="18"/>
                <w:szCs w:val="18"/>
              </w:rPr>
            </w:pPr>
            <w:r>
              <w:rPr>
                <w:rFonts w:hint="eastAsia"/>
                <w:sz w:val="18"/>
                <w:szCs w:val="18"/>
              </w:rPr>
              <w:t>电机工程</w:t>
            </w:r>
          </w:p>
          <w:p>
            <w:pPr>
              <w:rPr>
                <w:sz w:val="18"/>
                <w:szCs w:val="18"/>
              </w:rPr>
            </w:pPr>
            <w:r>
              <w:rPr>
                <w:rFonts w:hint="eastAsia"/>
                <w:sz w:val="18"/>
                <w:szCs w:val="18"/>
              </w:rPr>
              <w:t>机械工程</w:t>
            </w:r>
          </w:p>
          <w:p>
            <w:pPr>
              <w:rPr>
                <w:sz w:val="18"/>
                <w:szCs w:val="18"/>
              </w:rPr>
            </w:pPr>
            <w:r>
              <w:rPr>
                <w:rFonts w:hint="eastAsia"/>
                <w:sz w:val="18"/>
                <w:szCs w:val="18"/>
              </w:rPr>
              <w:t>石油工程</w:t>
            </w:r>
          </w:p>
          <w:p>
            <w:pPr>
              <w:rPr>
                <w:sz w:val="18"/>
                <w:szCs w:val="18"/>
              </w:rPr>
            </w:pPr>
            <w:r>
              <w:rPr>
                <w:rFonts w:hint="eastAsia"/>
                <w:sz w:val="18"/>
                <w:szCs w:val="18"/>
              </w:rPr>
              <w:t>化学工程</w:t>
            </w:r>
          </w:p>
          <w:p>
            <w:pPr>
              <w:rPr>
                <w:sz w:val="18"/>
                <w:szCs w:val="18"/>
              </w:rPr>
            </w:pPr>
            <w:r>
              <w:rPr>
                <w:rFonts w:hint="eastAsia"/>
                <w:sz w:val="18"/>
                <w:szCs w:val="18"/>
              </w:rPr>
              <w:t>通讯工程</w:t>
            </w:r>
          </w:p>
          <w:p>
            <w:pPr>
              <w:rPr>
                <w:sz w:val="18"/>
                <w:szCs w:val="18"/>
              </w:rPr>
            </w:pPr>
            <w:r>
              <w:rPr>
                <w:rFonts w:hint="eastAsia"/>
                <w:sz w:val="18"/>
                <w:szCs w:val="18"/>
              </w:rPr>
              <w:t>土木工程</w:t>
            </w:r>
          </w:p>
          <w:p>
            <w:pPr>
              <w:rPr>
                <w:sz w:val="18"/>
                <w:szCs w:val="18"/>
              </w:rPr>
            </w:pPr>
            <w:r>
              <w:rPr>
                <w:rFonts w:hint="eastAsia"/>
                <w:sz w:val="18"/>
                <w:szCs w:val="18"/>
              </w:rPr>
              <w:t>人工智能</w:t>
            </w:r>
          </w:p>
          <w:p>
            <w:pPr>
              <w:rPr>
                <w:sz w:val="18"/>
                <w:szCs w:val="18"/>
              </w:rPr>
            </w:pPr>
            <w:r>
              <w:rPr>
                <w:rFonts w:hint="eastAsia"/>
                <w:sz w:val="18"/>
                <w:szCs w:val="18"/>
              </w:rPr>
              <w:t>其他和工程相关的领域</w:t>
            </w:r>
          </w:p>
        </w:tc>
        <w:tc>
          <w:tcPr>
            <w:tcW w:w="1581"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rPr>
                <w:sz w:val="18"/>
                <w:szCs w:val="18"/>
              </w:rPr>
            </w:pPr>
            <w:r>
              <w:rPr>
                <w:rFonts w:hint="eastAsia"/>
                <w:sz w:val="18"/>
                <w:szCs w:val="18"/>
              </w:rPr>
              <w:t>建筑设计研究</w:t>
            </w:r>
          </w:p>
          <w:p>
            <w:pPr>
              <w:rPr>
                <w:sz w:val="18"/>
                <w:szCs w:val="18"/>
              </w:rPr>
            </w:pPr>
            <w:r>
              <w:rPr>
                <w:rFonts w:hint="eastAsia"/>
                <w:sz w:val="18"/>
                <w:szCs w:val="18"/>
              </w:rPr>
              <w:t>综合体设计研究</w:t>
            </w:r>
          </w:p>
          <w:p>
            <w:pPr>
              <w:rPr>
                <w:sz w:val="18"/>
                <w:szCs w:val="18"/>
              </w:rPr>
            </w:pPr>
            <w:r>
              <w:rPr>
                <w:rFonts w:hint="eastAsia"/>
                <w:sz w:val="18"/>
                <w:szCs w:val="18"/>
              </w:rPr>
              <w:t>城镇和城市的设计和规划实践</w:t>
            </w:r>
          </w:p>
        </w:tc>
        <w:tc>
          <w:tcPr>
            <w:tcW w:w="1890"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rPr>
                <w:sz w:val="18"/>
                <w:szCs w:val="18"/>
              </w:rPr>
            </w:pPr>
            <w:r>
              <w:rPr>
                <w:rFonts w:hint="eastAsia"/>
                <w:sz w:val="18"/>
                <w:szCs w:val="18"/>
              </w:rPr>
              <w:t>药物化学</w:t>
            </w:r>
          </w:p>
          <w:p>
            <w:pPr>
              <w:rPr>
                <w:sz w:val="18"/>
                <w:szCs w:val="18"/>
              </w:rPr>
            </w:pPr>
            <w:r>
              <w:rPr>
                <w:rFonts w:hint="eastAsia"/>
                <w:sz w:val="18"/>
                <w:szCs w:val="18"/>
              </w:rPr>
              <w:t>药物制剂</w:t>
            </w:r>
          </w:p>
          <w:p>
            <w:pPr>
              <w:rPr>
                <w:sz w:val="18"/>
                <w:szCs w:val="18"/>
              </w:rPr>
            </w:pPr>
            <w:r>
              <w:rPr>
                <w:rFonts w:hint="eastAsia"/>
                <w:sz w:val="18"/>
                <w:szCs w:val="18"/>
              </w:rPr>
              <w:t>生物信息学</w:t>
            </w:r>
          </w:p>
          <w:p>
            <w:pPr>
              <w:rPr>
                <w:sz w:val="18"/>
                <w:szCs w:val="18"/>
              </w:rPr>
            </w:pPr>
            <w:r>
              <w:rPr>
                <w:rFonts w:hint="eastAsia"/>
                <w:sz w:val="18"/>
                <w:szCs w:val="18"/>
              </w:rPr>
              <w:t>生理学</w:t>
            </w:r>
          </w:p>
          <w:p>
            <w:pPr>
              <w:rPr>
                <w:sz w:val="18"/>
                <w:szCs w:val="18"/>
              </w:rPr>
            </w:pPr>
            <w:r>
              <w:rPr>
                <w:rFonts w:hint="eastAsia"/>
                <w:sz w:val="18"/>
                <w:szCs w:val="18"/>
              </w:rPr>
              <w:t>药理学</w:t>
            </w:r>
          </w:p>
          <w:p>
            <w:pPr>
              <w:rPr>
                <w:sz w:val="18"/>
                <w:szCs w:val="18"/>
              </w:rPr>
            </w:pPr>
            <w:r>
              <w:rPr>
                <w:rFonts w:hint="eastAsia"/>
                <w:sz w:val="18"/>
                <w:szCs w:val="18"/>
              </w:rPr>
              <w:t>微生物学</w:t>
            </w:r>
          </w:p>
          <w:p>
            <w:pPr>
              <w:rPr>
                <w:sz w:val="18"/>
                <w:szCs w:val="18"/>
              </w:rPr>
            </w:pPr>
            <w:r>
              <w:rPr>
                <w:rFonts w:hint="eastAsia"/>
                <w:sz w:val="18"/>
                <w:szCs w:val="18"/>
              </w:rPr>
              <w:t>药代动力学</w:t>
            </w:r>
          </w:p>
          <w:p>
            <w:pPr>
              <w:rPr>
                <w:sz w:val="18"/>
                <w:szCs w:val="18"/>
              </w:rPr>
            </w:pPr>
            <w:r>
              <w:rPr>
                <w:rFonts w:hint="eastAsia"/>
                <w:sz w:val="18"/>
                <w:szCs w:val="18"/>
              </w:rPr>
              <w:t>临床药学</w:t>
            </w:r>
          </w:p>
          <w:p>
            <w:pPr>
              <w:rPr>
                <w:sz w:val="18"/>
                <w:szCs w:val="18"/>
              </w:rPr>
            </w:pPr>
            <w:r>
              <w:rPr>
                <w:rFonts w:hint="eastAsia"/>
                <w:sz w:val="18"/>
                <w:szCs w:val="18"/>
              </w:rPr>
              <w:t>配方科学</w:t>
            </w:r>
          </w:p>
          <w:p>
            <w:pPr>
              <w:rPr>
                <w:sz w:val="18"/>
                <w:szCs w:val="18"/>
              </w:rPr>
            </w:pPr>
            <w:r>
              <w:rPr>
                <w:rFonts w:hint="eastAsia"/>
                <w:sz w:val="18"/>
                <w:szCs w:val="18"/>
              </w:rPr>
              <w:t>药学实践研究</w:t>
            </w:r>
          </w:p>
          <w:p>
            <w:pPr>
              <w:rPr>
                <w:sz w:val="18"/>
                <w:szCs w:val="18"/>
              </w:rPr>
            </w:pPr>
            <w:r>
              <w:rPr>
                <w:rFonts w:hint="eastAsia"/>
                <w:sz w:val="18"/>
                <w:szCs w:val="18"/>
              </w:rPr>
              <w:t>其他的药剂相关的领域</w:t>
            </w:r>
          </w:p>
        </w:tc>
        <w:tc>
          <w:tcPr>
            <w:tcW w:w="1890" w:type="dxa"/>
            <w:tcBorders>
              <w:top w:val="single" w:color="646464" w:sz="18" w:space="0"/>
              <w:left w:val="dashSmallGap" w:color="646464" w:sz="6" w:space="0"/>
              <w:bottom w:val="single" w:color="646464" w:sz="18" w:space="0"/>
              <w:right w:val="dashSmallGap" w:color="646464" w:sz="6" w:space="0"/>
            </w:tcBorders>
            <w:shd w:val="clear" w:color="auto" w:fill="auto"/>
            <w:tcMar>
              <w:top w:w="170" w:type="dxa"/>
              <w:left w:w="120" w:type="dxa"/>
              <w:bottom w:w="170" w:type="dxa"/>
              <w:right w:w="120" w:type="dxa"/>
            </w:tcMar>
            <w:vAlign w:val="center"/>
          </w:tcPr>
          <w:p>
            <w:pPr>
              <w:rPr>
                <w:sz w:val="18"/>
                <w:szCs w:val="18"/>
              </w:rPr>
            </w:pPr>
            <w:r>
              <w:rPr>
                <w:rFonts w:hint="eastAsia"/>
                <w:sz w:val="18"/>
                <w:szCs w:val="18"/>
              </w:rPr>
              <w:t xml:space="preserve">金融与经济 </w:t>
            </w:r>
          </w:p>
          <w:p>
            <w:pPr>
              <w:rPr>
                <w:sz w:val="18"/>
                <w:szCs w:val="18"/>
              </w:rPr>
            </w:pPr>
            <w:r>
              <w:rPr>
                <w:rFonts w:hint="eastAsia"/>
                <w:sz w:val="18"/>
                <w:szCs w:val="18"/>
              </w:rPr>
              <w:t xml:space="preserve">人力资源 </w:t>
            </w:r>
          </w:p>
          <w:p>
            <w:pPr>
              <w:rPr>
                <w:sz w:val="18"/>
                <w:szCs w:val="18"/>
              </w:rPr>
            </w:pPr>
            <w:r>
              <w:rPr>
                <w:rFonts w:hint="eastAsia"/>
                <w:sz w:val="18"/>
                <w:szCs w:val="18"/>
              </w:rPr>
              <w:t xml:space="preserve">会计 </w:t>
            </w:r>
          </w:p>
          <w:p>
            <w:pPr>
              <w:rPr>
                <w:sz w:val="18"/>
                <w:szCs w:val="18"/>
              </w:rPr>
            </w:pPr>
            <w:r>
              <w:rPr>
                <w:rFonts w:hint="eastAsia"/>
                <w:sz w:val="18"/>
                <w:szCs w:val="18"/>
              </w:rPr>
              <w:t xml:space="preserve">市场与品牌管理 </w:t>
            </w:r>
          </w:p>
          <w:p>
            <w:pPr>
              <w:rPr>
                <w:sz w:val="18"/>
                <w:szCs w:val="18"/>
              </w:rPr>
            </w:pPr>
            <w:r>
              <w:rPr>
                <w:rFonts w:hint="eastAsia"/>
                <w:sz w:val="18"/>
                <w:szCs w:val="18"/>
              </w:rPr>
              <w:t xml:space="preserve">战略管理 </w:t>
            </w:r>
          </w:p>
          <w:p>
            <w:pPr>
              <w:rPr>
                <w:sz w:val="18"/>
                <w:szCs w:val="18"/>
              </w:rPr>
            </w:pPr>
            <w:r>
              <w:rPr>
                <w:rFonts w:hint="eastAsia"/>
                <w:sz w:val="18"/>
                <w:szCs w:val="18"/>
              </w:rPr>
              <w:t xml:space="preserve">物流与供应链管理 </w:t>
            </w:r>
          </w:p>
          <w:p>
            <w:pPr>
              <w:rPr>
                <w:sz w:val="18"/>
                <w:szCs w:val="18"/>
              </w:rPr>
            </w:pPr>
            <w:r>
              <w:rPr>
                <w:rFonts w:hint="eastAsia"/>
                <w:sz w:val="18"/>
                <w:szCs w:val="18"/>
              </w:rPr>
              <w:t xml:space="preserve">信息技术管理 </w:t>
            </w:r>
          </w:p>
          <w:p>
            <w:pPr>
              <w:rPr>
                <w:sz w:val="18"/>
                <w:szCs w:val="18"/>
              </w:rPr>
            </w:pPr>
            <w:r>
              <w:rPr>
                <w:rFonts w:hint="eastAsia"/>
                <w:sz w:val="18"/>
                <w:szCs w:val="18"/>
              </w:rPr>
              <w:t xml:space="preserve">可持续发展 </w:t>
            </w:r>
          </w:p>
          <w:p>
            <w:pPr>
              <w:rPr>
                <w:sz w:val="18"/>
                <w:szCs w:val="18"/>
              </w:rPr>
            </w:pPr>
            <w:r>
              <w:rPr>
                <w:rFonts w:hint="eastAsia"/>
                <w:sz w:val="18"/>
                <w:szCs w:val="18"/>
              </w:rPr>
              <w:t xml:space="preserve">旅游经济学 </w:t>
            </w:r>
          </w:p>
          <w:p>
            <w:pPr>
              <w:rPr>
                <w:sz w:val="18"/>
                <w:szCs w:val="18"/>
              </w:rPr>
            </w:pPr>
            <w:r>
              <w:rPr>
                <w:rFonts w:hint="eastAsia"/>
                <w:sz w:val="18"/>
                <w:szCs w:val="18"/>
              </w:rPr>
              <w:t xml:space="preserve">电子商务 </w:t>
            </w:r>
          </w:p>
          <w:p>
            <w:pPr>
              <w:rPr>
                <w:sz w:val="18"/>
                <w:szCs w:val="18"/>
              </w:rPr>
            </w:pPr>
            <w:r>
              <w:rPr>
                <w:rFonts w:hint="eastAsia"/>
                <w:sz w:val="18"/>
                <w:szCs w:val="18"/>
              </w:rPr>
              <w:t xml:space="preserve">其他和商业管理相关的领域 </w:t>
            </w:r>
          </w:p>
        </w:tc>
      </w:tr>
    </w:tbl>
    <w:p>
      <w:pPr>
        <w:pStyle w:val="5"/>
        <w:ind w:left="450" w:firstLine="0" w:firstLineChars="0"/>
        <w:rPr>
          <w:b/>
          <w:bCs/>
        </w:rPr>
      </w:pPr>
      <w:r>
        <w:rPr>
          <w:rFonts w:hint="eastAsia"/>
          <w:b/>
          <w:bCs/>
        </w:rPr>
        <w:t>五、服务及费用</w:t>
      </w:r>
    </w:p>
    <w:p>
      <w:pPr>
        <w:pStyle w:val="5"/>
        <w:ind w:left="450" w:firstLine="422"/>
      </w:pPr>
      <w:r>
        <w:rPr>
          <w:rFonts w:hint="eastAsia"/>
          <w:b/>
          <w:bCs/>
        </w:rPr>
        <w:t>总费用:</w:t>
      </w:r>
    </w:p>
    <w:p>
      <w:pPr>
        <w:pStyle w:val="5"/>
        <w:ind w:left="450" w:firstLine="422"/>
      </w:pPr>
      <w:r>
        <w:rPr>
          <w:b/>
          <w:bCs/>
        </w:rPr>
        <w:t xml:space="preserve">           贰拾肆万捌仟元（2</w:t>
      </w:r>
      <w:r>
        <w:rPr>
          <w:rFonts w:hint="eastAsia"/>
          <w:b/>
          <w:bCs/>
          <w:lang w:val="en-US" w:eastAsia="zh-CN"/>
        </w:rPr>
        <w:t>7</w:t>
      </w:r>
      <w:r>
        <w:rPr>
          <w:b/>
          <w:bCs/>
        </w:rPr>
        <w:t>8,000.00）。</w:t>
      </w:r>
      <w:bookmarkStart w:id="0" w:name="_GoBack"/>
      <w:bookmarkEnd w:id="0"/>
    </w:p>
    <w:p>
      <w:pPr>
        <w:pStyle w:val="5"/>
        <w:ind w:left="450" w:firstLine="422"/>
      </w:pPr>
      <w:r>
        <w:rPr>
          <w:b/>
          <w:bCs/>
        </w:rPr>
        <w:t xml:space="preserve">           药剂学博士总费用叁拾肆万捌仟元（348,000.00）</w:t>
      </w:r>
    </w:p>
    <w:p>
      <w:pPr>
        <w:pStyle w:val="5"/>
        <w:ind w:left="450" w:firstLine="422"/>
      </w:pPr>
      <w:r>
        <w:rPr>
          <w:rFonts w:hint="eastAsia"/>
          <w:b/>
          <w:bCs/>
        </w:rPr>
        <w:t>从申请到毕业全程服务：学费、杂费、申请费、签证费、全程托管费等。</w:t>
      </w:r>
    </w:p>
    <w:p>
      <w:pPr>
        <w:pStyle w:val="5"/>
        <w:ind w:left="450" w:firstLine="422"/>
      </w:pPr>
      <w:r>
        <w:rPr>
          <w:rFonts w:hint="eastAsia"/>
          <w:b/>
          <w:bCs/>
        </w:rPr>
        <w:t>服务列表：</w:t>
      </w:r>
    </w:p>
    <w:p>
      <w:pPr>
        <w:pStyle w:val="5"/>
        <w:ind w:left="450"/>
      </w:pPr>
      <w:r>
        <w:t>1、代交三年总学费及杂费等；</w:t>
      </w:r>
    </w:p>
    <w:p>
      <w:pPr>
        <w:pStyle w:val="5"/>
        <w:ind w:left="450"/>
      </w:pPr>
      <w:r>
        <w:t>2、入学前资料审核、递交、通知书发放、签证办理（含签证费），贴签办理等；</w:t>
      </w:r>
    </w:p>
    <w:p>
      <w:pPr>
        <w:pStyle w:val="5"/>
        <w:ind w:left="450"/>
      </w:pPr>
      <w:r>
        <w:t>3、学历公证及双认证（入学前学历，学位，成绩单，护照，翻译及公证）；</w:t>
      </w:r>
    </w:p>
    <w:p>
      <w:pPr>
        <w:pStyle w:val="5"/>
        <w:ind w:left="450"/>
      </w:pPr>
      <w:r>
        <w:t>4、入学前所有资料翻译；</w:t>
      </w:r>
    </w:p>
    <w:p>
      <w:pPr>
        <w:pStyle w:val="5"/>
        <w:ind w:left="450"/>
      </w:pPr>
      <w:r>
        <w:t>5、境外接机（专人接机，进行城市重要景点讲解，城市介绍，协助学员办理电话卡，交通卡常用卡件办理）；</w:t>
      </w:r>
    </w:p>
    <w:p>
      <w:pPr>
        <w:pStyle w:val="5"/>
        <w:ind w:left="450"/>
      </w:pPr>
      <w:r>
        <w:t>6、入学注册、手续办理；</w:t>
      </w:r>
    </w:p>
    <w:p>
      <w:pPr>
        <w:pStyle w:val="5"/>
        <w:ind w:left="450"/>
      </w:pPr>
      <w:r>
        <w:t>7、住宿办理（协助学员申请住宿，了解宿舍真实概况）；</w:t>
      </w:r>
    </w:p>
    <w:p>
      <w:pPr>
        <w:pStyle w:val="5"/>
        <w:ind w:left="450"/>
      </w:pPr>
      <w:r>
        <w:t>8、日常学习监督；</w:t>
      </w:r>
    </w:p>
    <w:p>
      <w:pPr>
        <w:pStyle w:val="5"/>
        <w:ind w:left="450"/>
      </w:pPr>
      <w:r>
        <w:t>9、学员毕业后协助办理学历学位认证报告；</w:t>
      </w:r>
    </w:p>
    <w:p>
      <w:pPr>
        <w:pStyle w:val="5"/>
        <w:ind w:left="450"/>
      </w:pPr>
      <w:r>
        <w:t>10、学员就读期间语言辅导，协助解决文章发表，协助解决毕业论文。</w:t>
      </w:r>
    </w:p>
    <w:p>
      <w:pPr>
        <w:pStyle w:val="5"/>
        <w:ind w:left="450" w:firstLine="0" w:firstLineChars="0"/>
        <w:rPr>
          <w:b/>
          <w:bCs/>
        </w:rPr>
      </w:pPr>
      <w:r>
        <w:rPr>
          <w:rFonts w:hint="eastAsia"/>
          <w:b/>
          <w:bCs/>
        </w:rPr>
        <w:t>六、授课时间和方式</w:t>
      </w:r>
    </w:p>
    <w:p>
      <w:pPr>
        <w:pStyle w:val="5"/>
        <w:ind w:left="450" w:firstLine="422"/>
      </w:pPr>
      <w:r>
        <w:rPr>
          <w:b/>
          <w:bCs/>
        </w:rPr>
        <w:t>1、</w:t>
      </w:r>
      <w:r>
        <w:rPr>
          <w:rFonts w:hint="eastAsia"/>
        </w:rPr>
        <w:t>学制3年；入学注册学籍后在学校学习2个月，完成2—3门学分课，以后可以回国写论文，每年需要赴马来西亚学习4次</w:t>
      </w:r>
      <w:r>
        <w:t>/</w:t>
      </w:r>
      <w:r>
        <w:rPr>
          <w:rFonts w:hint="eastAsia"/>
        </w:rPr>
        <w:t>年，每次14天。</w:t>
      </w:r>
    </w:p>
    <w:p>
      <w:pPr>
        <w:pStyle w:val="5"/>
        <w:ind w:left="450" w:firstLine="422"/>
      </w:pPr>
      <w:r>
        <w:rPr>
          <w:b/>
          <w:bCs/>
        </w:rPr>
        <w:t>2、</w:t>
      </w:r>
      <w:r>
        <w:rPr>
          <w:rFonts w:hint="eastAsia"/>
        </w:rPr>
        <w:t>本项目英文授课，可以聘翻译辅助学习（包括论文答辩），入学及入读专业课均无语言成绩要求。</w:t>
      </w:r>
    </w:p>
    <w:p>
      <w:pPr>
        <w:pStyle w:val="5"/>
        <w:ind w:left="450" w:firstLine="422"/>
      </w:pPr>
      <w:r>
        <w:rPr>
          <w:b/>
          <w:bCs/>
        </w:rPr>
        <w:t>3、</w:t>
      </w:r>
      <w:r>
        <w:rPr>
          <w:rFonts w:hint="eastAsia"/>
        </w:rPr>
        <w:t>单独编班上课。</w:t>
      </w:r>
    </w:p>
    <w:p>
      <w:pPr>
        <w:pStyle w:val="5"/>
        <w:ind w:left="450"/>
      </w:pPr>
      <w:r>
        <w:rPr>
          <w:rFonts w:hint="eastAsia"/>
        </w:rPr>
        <w:t>备注：</w:t>
      </w:r>
    </w:p>
    <w:p>
      <w:pPr>
        <w:pStyle w:val="5"/>
        <w:numPr>
          <w:ilvl w:val="0"/>
          <w:numId w:val="1"/>
        </w:numPr>
        <w:ind w:firstLine="420"/>
      </w:pPr>
      <w:r>
        <w:rPr>
          <w:rFonts w:hint="eastAsia"/>
        </w:rPr>
        <w:t>申请需要提交（健康证明），乙肝患者及携带者或有其他传染病的学生均不能申请；</w:t>
      </w:r>
    </w:p>
    <w:p>
      <w:pPr>
        <w:pStyle w:val="5"/>
        <w:numPr>
          <w:ilvl w:val="0"/>
          <w:numId w:val="1"/>
        </w:numPr>
        <w:ind w:firstLine="420"/>
      </w:pPr>
      <w:r>
        <w:rPr>
          <w:rFonts w:hint="eastAsia"/>
        </w:rPr>
        <w:t>学生签证必须每年更新，不含更新费，具体金额以移民局公布为准；</w:t>
      </w:r>
    </w:p>
    <w:p>
      <w:pPr>
        <w:pStyle w:val="5"/>
        <w:numPr>
          <w:ilvl w:val="0"/>
          <w:numId w:val="1"/>
        </w:numPr>
        <w:ind w:firstLine="420"/>
      </w:pPr>
      <w:r>
        <w:t>UCSI接受其他机构的同等英语考试成绩，如雅思、托福和MUET等。</w:t>
      </w:r>
    </w:p>
    <w:p>
      <w:pPr>
        <w:pStyle w:val="5"/>
        <w:ind w:left="450" w:firstLine="0" w:firstLineChars="0"/>
        <w:rPr>
          <w:b/>
          <w:bCs/>
        </w:rPr>
      </w:pPr>
      <w:r>
        <w:rPr>
          <w:rFonts w:hint="eastAsia"/>
          <w:b/>
          <w:bCs/>
        </w:rPr>
        <w:t>七、服务流程</w:t>
      </w:r>
    </w:p>
    <w:p>
      <w:pPr>
        <w:pStyle w:val="5"/>
        <w:ind w:left="450"/>
      </w:pPr>
      <w:r>
        <w:t>1、填写UCSI大学申请表格并交纳报名费1000元；</w:t>
      </w:r>
    </w:p>
    <w:p>
      <w:pPr>
        <w:pStyle w:val="5"/>
        <w:ind w:left="450"/>
      </w:pPr>
      <w:r>
        <w:t>2、(本科+硕士)毕业证、学位证公证书、（本科+硕士）成绩单公证书；</w:t>
      </w:r>
    </w:p>
    <w:p>
      <w:pPr>
        <w:pStyle w:val="5"/>
        <w:ind w:left="450"/>
      </w:pPr>
      <w:r>
        <w:t>3、一篇英文简历，一篇英文自我陈述，一篇（提出自己见解的研究方向）课题报告；</w:t>
      </w:r>
    </w:p>
    <w:p>
      <w:pPr>
        <w:pStyle w:val="5"/>
        <w:ind w:left="450"/>
      </w:pPr>
      <w:r>
        <w:t>4、有效期至少在18个月以上的护照原件；</w:t>
      </w:r>
    </w:p>
    <w:p>
      <w:pPr>
        <w:pStyle w:val="5"/>
        <w:ind w:left="450"/>
      </w:pPr>
      <w:r>
        <w:t xml:space="preserve">5、白底电子版彩色照片，照片规格:高45MM*宽35MM </w:t>
      </w:r>
    </w:p>
    <w:p>
      <w:pPr>
        <w:pStyle w:val="5"/>
        <w:ind w:left="450"/>
      </w:pPr>
      <w:r>
        <w:rPr>
          <w:rFonts w:hint="eastAsia"/>
        </w:rPr>
        <w:t>（注意:深色着装，需露出额头、耳朵;可带近视眼镜，但边框不能遮挡双眼，照片不能有反光；不露齿）；</w:t>
      </w:r>
    </w:p>
    <w:p>
      <w:pPr>
        <w:pStyle w:val="5"/>
        <w:ind w:left="450"/>
      </w:pPr>
      <w:r>
        <w:t>6、预约面试时间（可远程面试）；</w:t>
      </w:r>
    </w:p>
    <w:p>
      <w:pPr>
        <w:pStyle w:val="5"/>
        <w:ind w:left="450"/>
      </w:pPr>
      <w:r>
        <w:t>7、收到面试通知+签订学习合同+交纳预付款2万；</w:t>
      </w:r>
    </w:p>
    <w:p>
      <w:pPr>
        <w:pStyle w:val="5"/>
        <w:ind w:left="450"/>
      </w:pPr>
      <w:r>
        <w:t>8、面试；</w:t>
      </w:r>
    </w:p>
    <w:p>
      <w:pPr>
        <w:pStyle w:val="5"/>
        <w:ind w:left="450"/>
      </w:pPr>
      <w:r>
        <w:t>9、收到录取通知书以及缴费通知；</w:t>
      </w:r>
    </w:p>
    <w:p>
      <w:pPr>
        <w:pStyle w:val="5"/>
        <w:ind w:left="450"/>
      </w:pPr>
      <w:r>
        <w:t>10、交纳费用余款22.7万；药剂学博士需缴纳余款32.7万。</w:t>
      </w:r>
    </w:p>
    <w:p>
      <w:pPr>
        <w:pStyle w:val="5"/>
        <w:ind w:left="450"/>
      </w:pPr>
      <w:r>
        <w:t>11、注册学籍；</w:t>
      </w:r>
    </w:p>
    <w:p>
      <w:pPr>
        <w:pStyle w:val="5"/>
        <w:ind w:left="450"/>
      </w:pPr>
      <w:r>
        <w:t>12、开学报到。</w:t>
      </w:r>
    </w:p>
    <w:p>
      <w:pPr>
        <w:pStyle w:val="5"/>
        <w:ind w:left="450" w:firstLine="0" w:firstLineChars="0"/>
        <w:rPr>
          <w:b/>
          <w:bCs/>
        </w:rPr>
      </w:pPr>
      <w:r>
        <w:rPr>
          <w:rFonts w:hint="eastAsia"/>
          <w:b/>
          <w:bCs/>
        </w:rPr>
        <w:t>八、相关信息</w:t>
      </w:r>
    </w:p>
    <w:p>
      <w:pPr>
        <w:pStyle w:val="5"/>
        <w:ind w:left="450" w:firstLine="0" w:firstLineChars="0"/>
      </w:pPr>
      <w:r>
        <w:drawing>
          <wp:inline distT="0" distB="0" distL="0" distR="0">
            <wp:extent cx="4277360" cy="2044700"/>
            <wp:effectExtent l="19050" t="0" r="8890" b="0"/>
            <wp:docPr id="1" name="图片 1" descr="f9da3f7b00d22374baa9eec7d500c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图片 1" descr="f9da3f7b00d22374baa9eec7d500c64"/>
                    <pic:cNvPicPr>
                      <a:picLocks noGrp="1" noChangeAspect="1"/>
                    </pic:cNvPicPr>
                  </pic:nvPicPr>
                  <pic:blipFill>
                    <a:blip r:embed="rId4" cstate="print"/>
                    <a:stretch>
                      <a:fillRect/>
                    </a:stretch>
                  </pic:blipFill>
                  <pic:spPr>
                    <a:xfrm>
                      <a:off x="0" y="0"/>
                      <a:ext cx="4277360" cy="2044700"/>
                    </a:xfrm>
                    <a:prstGeom prst="rect">
                      <a:avLst/>
                    </a:prstGeom>
                  </pic:spPr>
                </pic:pic>
              </a:graphicData>
            </a:graphic>
          </wp:inline>
        </w:drawing>
      </w:r>
      <w:r>
        <w:drawing>
          <wp:inline distT="0" distB="0" distL="0" distR="0">
            <wp:extent cx="4277995" cy="2057400"/>
            <wp:effectExtent l="19050" t="0" r="8255" b="0"/>
            <wp:docPr id="2" name="图片 2" descr="c7368d47f9b3c31fb341a914955c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368d47f9b3c31fb341a914955c11a"/>
                    <pic:cNvPicPr>
                      <a:picLocks noChangeAspect="1"/>
                    </pic:cNvPicPr>
                  </pic:nvPicPr>
                  <pic:blipFill>
                    <a:blip r:embed="rId5" cstate="print"/>
                    <a:stretch>
                      <a:fillRect/>
                    </a:stretch>
                  </pic:blipFill>
                  <pic:spPr>
                    <a:xfrm>
                      <a:off x="0" y="0"/>
                      <a:ext cx="4277995" cy="2057400"/>
                    </a:xfrm>
                    <a:prstGeom prst="rect">
                      <a:avLst/>
                    </a:prstGeom>
                  </pic:spPr>
                </pic:pic>
              </a:graphicData>
            </a:graphic>
          </wp:inline>
        </w:drawing>
      </w:r>
      <w:r>
        <w:drawing>
          <wp:inline distT="0" distB="0" distL="0" distR="0">
            <wp:extent cx="1785620" cy="2320290"/>
            <wp:effectExtent l="19050" t="0" r="5080" b="0"/>
            <wp:docPr id="3" name="图片 3" descr="通知书样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通知书样本_00"/>
                    <pic:cNvPicPr>
                      <a:picLocks noChangeAspect="1"/>
                    </pic:cNvPicPr>
                  </pic:nvPicPr>
                  <pic:blipFill>
                    <a:blip r:embed="rId6" cstate="print"/>
                    <a:stretch>
                      <a:fillRect/>
                    </a:stretch>
                  </pic:blipFill>
                  <pic:spPr>
                    <a:xfrm flipV="1">
                      <a:off x="0" y="0"/>
                      <a:ext cx="1785620" cy="2320290"/>
                    </a:xfrm>
                    <a:prstGeom prst="rect">
                      <a:avLst/>
                    </a:prstGeom>
                  </pic:spPr>
                </pic:pic>
              </a:graphicData>
            </a:graphic>
          </wp:inline>
        </w:drawing>
      </w:r>
      <w:r>
        <w:drawing>
          <wp:inline distT="0" distB="0" distL="0" distR="0">
            <wp:extent cx="2206625" cy="3123565"/>
            <wp:effectExtent l="19050" t="0" r="3175" b="0"/>
            <wp:docPr id="4" name="图片 4" descr="证书样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证书样本_00"/>
                    <pic:cNvPicPr>
                      <a:picLocks noChangeAspect="1"/>
                    </pic:cNvPicPr>
                  </pic:nvPicPr>
                  <pic:blipFill>
                    <a:blip r:embed="rId7" cstate="print"/>
                    <a:stretch>
                      <a:fillRect/>
                    </a:stretch>
                  </pic:blipFill>
                  <pic:spPr>
                    <a:xfrm>
                      <a:off x="0" y="0"/>
                      <a:ext cx="2206625" cy="3123565"/>
                    </a:xfrm>
                    <a:prstGeom prst="rect">
                      <a:avLst/>
                    </a:prstGeom>
                  </pic:spPr>
                </pic:pic>
              </a:graphicData>
            </a:graphic>
          </wp:inline>
        </w:drawing>
      </w:r>
      <w:r>
        <w:drawing>
          <wp:inline distT="0" distB="0" distL="0" distR="0">
            <wp:extent cx="2241550" cy="3175000"/>
            <wp:effectExtent l="19050" t="0" r="6350" b="0"/>
            <wp:docPr id="5" name="图片 5" descr="中留服样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留服样本_00"/>
                    <pic:cNvPicPr>
                      <a:picLocks noChangeAspect="1"/>
                    </pic:cNvPicPr>
                  </pic:nvPicPr>
                  <pic:blipFill>
                    <a:blip r:embed="rId8" cstate="print"/>
                    <a:stretch>
                      <a:fillRect/>
                    </a:stretch>
                  </pic:blipFill>
                  <pic:spPr>
                    <a:xfrm>
                      <a:off x="0" y="0"/>
                      <a:ext cx="2241550" cy="3175000"/>
                    </a:xfrm>
                    <a:prstGeom prst="rect">
                      <a:avLst/>
                    </a:prstGeom>
                  </pic:spPr>
                </pic:pic>
              </a:graphicData>
            </a:graphic>
          </wp:inline>
        </w:drawing>
      </w:r>
      <w:r>
        <w:drawing>
          <wp:inline distT="0" distB="0" distL="0" distR="0">
            <wp:extent cx="2032000" cy="2698750"/>
            <wp:effectExtent l="19050" t="0" r="6350" b="0"/>
            <wp:docPr id="6" name="图片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000" cy="26987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834AB"/>
    <w:multiLevelType w:val="multilevel"/>
    <w:tmpl w:val="50D834A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B05A9"/>
    <w:rsid w:val="001815B9"/>
    <w:rsid w:val="001A4169"/>
    <w:rsid w:val="001E29B1"/>
    <w:rsid w:val="00295DA2"/>
    <w:rsid w:val="008B05A9"/>
    <w:rsid w:val="009D12A6"/>
    <w:rsid w:val="00AF7EA9"/>
    <w:rsid w:val="40C02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370</Words>
  <Characters>2115</Characters>
  <Lines>17</Lines>
  <Paragraphs>4</Paragraphs>
  <TotalTime>22</TotalTime>
  <ScaleCrop>false</ScaleCrop>
  <LinksUpToDate>false</LinksUpToDate>
  <CharactersWithSpaces>2481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2020-06-23T07:45:00Z</dcterms:created>
  <dc:creator>Administrator</dc:creator>
  <cp:lastModifiedBy>Administrator</cp:lastModifiedBy>
  <dcterms:modified xsi:type="dcterms:W3CDTF">2020-12-04T01:38:48Z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