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276" w:lineRule="auto"/>
        <w:jc w:val="both"/>
        <w:rPr>
          <w:rFonts w:ascii="微软雅黑" w:hAnsi="微软雅黑" w:eastAsia="微软雅黑" w:cs="华文宋体"/>
          <w:b/>
          <w:color w:val="auto"/>
          <w:sz w:val="28"/>
          <w:szCs w:val="28"/>
          <w:u w:color="FF0000"/>
          <w:lang w:val="zh-TW" w:eastAsia="zh-TW"/>
        </w:rPr>
      </w:pPr>
    </w:p>
    <w:p>
      <w:pPr>
        <w:pStyle w:val="9"/>
        <w:tabs>
          <w:tab w:val="left" w:pos="510"/>
          <w:tab w:val="center" w:pos="4150"/>
        </w:tabs>
        <w:spacing w:line="276" w:lineRule="auto"/>
        <w:jc w:val="center"/>
        <w:rPr>
          <w:rFonts w:ascii="微软雅黑" w:hAnsi="微软雅黑" w:eastAsia="微软雅黑"/>
          <w:b/>
          <w:bCs/>
          <w:color w:val="auto"/>
          <w:sz w:val="28"/>
          <w:szCs w:val="28"/>
          <w:u w:color="943634"/>
        </w:rPr>
      </w:pPr>
      <w:r>
        <w:rPr>
          <w:rFonts w:ascii="微软雅黑" w:hAnsi="微软雅黑" w:eastAsia="微软雅黑"/>
          <w:b/>
          <w:color w:val="auto"/>
          <w:sz w:val="28"/>
          <w:szCs w:val="28"/>
          <w:u w:color="99403D"/>
          <w:lang w:val="zh-TW" w:eastAsia="zh-TW"/>
        </w:rPr>
        <w:t>中泰各级院校</w:t>
      </w:r>
      <w:r>
        <w:rPr>
          <w:rFonts w:hint="eastAsia" w:ascii="微软雅黑" w:hAnsi="微软雅黑" w:eastAsia="微软雅黑"/>
          <w:b/>
          <w:bCs/>
          <w:color w:val="auto"/>
          <w:sz w:val="28"/>
          <w:szCs w:val="28"/>
          <w:u w:color="943634"/>
          <w:lang w:val="zh-TW"/>
        </w:rPr>
        <w:t>教师进修</w:t>
      </w:r>
      <w:r>
        <w:rPr>
          <w:rFonts w:ascii="微软雅黑" w:hAnsi="微软雅黑" w:eastAsia="微软雅黑"/>
          <w:b/>
          <w:bCs/>
          <w:color w:val="auto"/>
          <w:sz w:val="28"/>
          <w:szCs w:val="28"/>
          <w:u w:color="943634"/>
          <w:lang w:val="zh-TW" w:eastAsia="zh-TW"/>
        </w:rPr>
        <w:t>硕博</w:t>
      </w:r>
      <w:r>
        <w:rPr>
          <w:rFonts w:ascii="微软雅黑" w:hAnsi="微软雅黑" w:eastAsia="微软雅黑"/>
          <w:b/>
          <w:color w:val="auto"/>
          <w:sz w:val="28"/>
          <w:szCs w:val="28"/>
          <w:u w:color="99403D"/>
          <w:lang w:val="zh-TW" w:eastAsia="zh-TW"/>
        </w:rPr>
        <w:t>学历学位</w:t>
      </w:r>
      <w:r>
        <w:rPr>
          <w:rFonts w:ascii="微软雅黑" w:hAnsi="微软雅黑" w:eastAsia="微软雅黑"/>
          <w:b/>
          <w:bCs/>
          <w:color w:val="auto"/>
          <w:sz w:val="28"/>
          <w:szCs w:val="28"/>
          <w:u w:color="943634"/>
          <w:lang w:val="zh-TW" w:eastAsia="zh-TW"/>
        </w:rPr>
        <w:t>联合培养项目</w:t>
      </w:r>
    </w:p>
    <w:p>
      <w:pPr>
        <w:pStyle w:val="9"/>
        <w:spacing w:line="276" w:lineRule="auto"/>
        <w:jc w:val="center"/>
        <w:rPr>
          <w:rFonts w:ascii="微软雅黑" w:hAnsi="微软雅黑" w:eastAsia="微软雅黑" w:cs="华文宋体"/>
          <w:color w:val="auto"/>
          <w:sz w:val="28"/>
          <w:szCs w:val="28"/>
        </w:rPr>
      </w:pPr>
      <w:r>
        <w:rPr>
          <w:rFonts w:hint="eastAsia" w:ascii="微软雅黑" w:hAnsi="微软雅黑" w:eastAsia="微软雅黑"/>
          <w:color w:val="auto"/>
          <w:sz w:val="28"/>
          <w:szCs w:val="28"/>
          <w:u w:color="99403D"/>
          <w:lang w:val="zh-TW" w:eastAsia="zh-TW"/>
        </w:rPr>
        <w:t>教育管理</w:t>
      </w:r>
    </w:p>
    <w:p>
      <w:pPr>
        <w:pStyle w:val="9"/>
        <w:spacing w:line="276" w:lineRule="auto"/>
        <w:jc w:val="center"/>
        <w:rPr>
          <w:rFonts w:ascii="微软雅黑" w:hAnsi="微软雅黑" w:eastAsia="微软雅黑" w:cs="华文宋体"/>
          <w:color w:val="auto"/>
          <w:sz w:val="28"/>
          <w:szCs w:val="28"/>
        </w:rPr>
      </w:pPr>
    </w:p>
    <w:p>
      <w:pPr>
        <w:pStyle w:val="9"/>
        <w:spacing w:line="276" w:lineRule="auto"/>
        <w:jc w:val="center"/>
        <w:rPr>
          <w:rFonts w:ascii="微软雅黑" w:hAnsi="微软雅黑" w:eastAsia="微软雅黑" w:cs="华文宋体"/>
          <w:color w:val="auto"/>
          <w:sz w:val="28"/>
          <w:szCs w:val="28"/>
          <w:u w:color="943634"/>
        </w:rPr>
      </w:pPr>
      <w:r>
        <w:rPr>
          <w:rFonts w:hint="eastAsia" w:ascii="微软雅黑" w:hAnsi="微软雅黑" w:eastAsia="微软雅黑"/>
          <w:color w:val="auto"/>
          <w:sz w:val="28"/>
          <w:szCs w:val="28"/>
          <w:u w:color="943634"/>
          <w:lang w:val="zh-TW" w:eastAsia="zh-TW"/>
        </w:rPr>
        <w:t>免联考直接申请</w:t>
      </w:r>
      <w:r>
        <w:rPr>
          <w:rFonts w:ascii="微软雅黑" w:hAnsi="微软雅黑" w:eastAsia="微软雅黑"/>
          <w:color w:val="auto"/>
          <w:sz w:val="28"/>
          <w:szCs w:val="28"/>
          <w:u w:color="943634"/>
        </w:rPr>
        <w:t>|</w:t>
      </w:r>
      <w:r>
        <w:rPr>
          <w:rFonts w:hint="eastAsia" w:ascii="微软雅黑" w:hAnsi="微软雅黑" w:eastAsia="微软雅黑"/>
          <w:color w:val="auto"/>
          <w:sz w:val="28"/>
          <w:szCs w:val="28"/>
          <w:u w:color="943634"/>
          <w:lang w:val="zh-TW" w:eastAsia="zh-TW"/>
        </w:rPr>
        <w:t>学习方式灵活</w:t>
      </w:r>
      <w:r>
        <w:rPr>
          <w:rFonts w:ascii="微软雅黑" w:hAnsi="微软雅黑" w:eastAsia="微软雅黑"/>
          <w:color w:val="auto"/>
          <w:sz w:val="28"/>
          <w:szCs w:val="28"/>
          <w:u w:color="943634"/>
        </w:rPr>
        <w:t>|</w:t>
      </w:r>
      <w:r>
        <w:rPr>
          <w:rFonts w:hint="eastAsia" w:ascii="微软雅黑" w:hAnsi="微软雅黑" w:eastAsia="微软雅黑"/>
          <w:color w:val="auto"/>
          <w:sz w:val="28"/>
          <w:szCs w:val="28"/>
          <w:u w:color="943634"/>
          <w:lang w:val="zh-TW" w:eastAsia="zh-TW"/>
        </w:rPr>
        <w:t>文凭国际通用</w:t>
      </w:r>
    </w:p>
    <w:p>
      <w:pPr>
        <w:pStyle w:val="9"/>
        <w:spacing w:line="276" w:lineRule="auto"/>
        <w:jc w:val="center"/>
        <w:rPr>
          <w:rFonts w:ascii="微软雅黑" w:hAnsi="微软雅黑" w:eastAsia="微软雅黑" w:cs="华文宋体"/>
          <w:color w:val="auto"/>
          <w:sz w:val="28"/>
          <w:szCs w:val="28"/>
          <w:u w:color="943634"/>
        </w:rPr>
      </w:pPr>
      <w:r>
        <w:rPr>
          <w:rFonts w:hint="eastAsia" w:ascii="微软雅黑" w:hAnsi="微软雅黑" w:eastAsia="微软雅黑"/>
          <w:color w:val="auto"/>
          <w:sz w:val="28"/>
          <w:szCs w:val="28"/>
          <w:u w:color="943634"/>
          <w:lang w:val="zh-TW" w:eastAsia="zh-TW"/>
        </w:rPr>
        <w:t>入学无雅思、托福语言要求</w:t>
      </w:r>
      <w:r>
        <w:rPr>
          <w:rFonts w:ascii="微软雅黑" w:hAnsi="微软雅黑" w:eastAsia="微软雅黑"/>
          <w:color w:val="auto"/>
          <w:sz w:val="28"/>
          <w:szCs w:val="28"/>
          <w:u w:color="943634"/>
        </w:rPr>
        <w:t>|</w:t>
      </w:r>
      <w:r>
        <w:rPr>
          <w:rFonts w:hint="eastAsia" w:ascii="微软雅黑" w:hAnsi="微软雅黑" w:eastAsia="微软雅黑"/>
          <w:color w:val="auto"/>
          <w:sz w:val="28"/>
          <w:szCs w:val="28"/>
          <w:u w:color="943634"/>
          <w:lang w:val="zh-TW" w:eastAsia="zh-TW"/>
        </w:rPr>
        <w:t>专业课中文授课</w:t>
      </w:r>
    </w:p>
    <w:p>
      <w:pPr>
        <w:pStyle w:val="9"/>
        <w:spacing w:line="276" w:lineRule="auto"/>
        <w:jc w:val="both"/>
        <w:rPr>
          <w:rFonts w:ascii="微软雅黑" w:hAnsi="微软雅黑" w:eastAsia="微软雅黑" w:cs="华文宋体"/>
          <w:color w:val="auto"/>
          <w:sz w:val="28"/>
          <w:szCs w:val="28"/>
          <w:u w:color="FF0000"/>
        </w:rPr>
      </w:pPr>
    </w:p>
    <w:p>
      <w:pPr>
        <w:pStyle w:val="9"/>
        <w:spacing w:line="276" w:lineRule="auto"/>
        <w:jc w:val="both"/>
        <w:rPr>
          <w:rFonts w:ascii="微软雅黑" w:hAnsi="微软雅黑" w:eastAsia="微软雅黑" w:cs="华文宋体"/>
          <w:color w:val="auto"/>
          <w:sz w:val="28"/>
          <w:szCs w:val="28"/>
          <w:u w:color="FF0000"/>
          <w:lang w:val="zh-TW" w:eastAsia="zh-TW"/>
        </w:rPr>
      </w:pPr>
      <w:r>
        <w:rPr>
          <w:rFonts w:hint="eastAsia" w:ascii="微软雅黑" w:hAnsi="微软雅黑" w:eastAsia="微软雅黑"/>
          <w:color w:val="auto"/>
          <w:sz w:val="28"/>
          <w:szCs w:val="28"/>
          <w:u w:color="FF0000"/>
          <w:lang w:val="zh-TW" w:eastAsia="zh-TW"/>
        </w:rPr>
        <w:t>落标：</w:t>
      </w:r>
    </w:p>
    <w:p>
      <w:pPr>
        <w:pStyle w:val="9"/>
        <w:spacing w:line="276" w:lineRule="auto"/>
        <w:jc w:val="both"/>
        <w:rPr>
          <w:rFonts w:ascii="微软雅黑" w:hAnsi="微软雅黑" w:eastAsia="微软雅黑" w:cs="华文宋体"/>
          <w:color w:val="auto"/>
          <w:sz w:val="28"/>
          <w:szCs w:val="28"/>
          <w:u w:color="943634"/>
          <w:lang w:val="zh-TW" w:eastAsia="zh-TW"/>
        </w:rPr>
      </w:pPr>
      <w:r>
        <w:rPr>
          <w:rFonts w:hint="eastAsia" w:ascii="微软雅黑" w:hAnsi="微软雅黑" w:eastAsia="微软雅黑"/>
          <w:color w:val="auto"/>
          <w:sz w:val="28"/>
          <w:szCs w:val="28"/>
          <w:u w:color="943634"/>
          <w:lang w:val="zh-TW" w:eastAsia="zh-TW"/>
        </w:rPr>
        <w:t>泰国教育部最早批准设立的私立大学</w:t>
      </w:r>
    </w:p>
    <w:p>
      <w:pPr>
        <w:pStyle w:val="9"/>
        <w:spacing w:line="276" w:lineRule="auto"/>
        <w:jc w:val="both"/>
        <w:rPr>
          <w:rFonts w:ascii="微软雅黑" w:hAnsi="微软雅黑" w:eastAsia="微软雅黑" w:cs="华文宋体"/>
          <w:color w:val="auto"/>
          <w:sz w:val="28"/>
          <w:szCs w:val="28"/>
          <w:u w:color="943634"/>
          <w:lang w:val="zh-TW" w:eastAsia="zh-TW"/>
        </w:rPr>
      </w:pPr>
      <w:r>
        <w:rPr>
          <w:rFonts w:hint="eastAsia" w:ascii="微软雅黑" w:hAnsi="微软雅黑" w:eastAsia="微软雅黑"/>
          <w:color w:val="auto"/>
          <w:sz w:val="28"/>
          <w:szCs w:val="28"/>
          <w:u w:color="943634"/>
          <w:lang w:val="zh-TW" w:eastAsia="zh-TW"/>
        </w:rPr>
        <w:t>泰国第一所开设英语教学的私立大学</w:t>
      </w:r>
    </w:p>
    <w:p>
      <w:pPr>
        <w:pStyle w:val="9"/>
        <w:spacing w:line="276" w:lineRule="auto"/>
        <w:jc w:val="both"/>
        <w:rPr>
          <w:rFonts w:ascii="微软雅黑" w:hAnsi="微软雅黑" w:eastAsia="微软雅黑"/>
          <w:color w:val="auto"/>
          <w:sz w:val="28"/>
          <w:szCs w:val="28"/>
          <w:u w:color="943634"/>
          <w:lang w:val="zh-TW"/>
        </w:rPr>
      </w:pPr>
      <w:r>
        <w:rPr>
          <w:rFonts w:hint="eastAsia" w:ascii="微软雅黑" w:hAnsi="微软雅黑" w:eastAsia="微软雅黑"/>
          <w:color w:val="auto"/>
          <w:sz w:val="28"/>
          <w:szCs w:val="28"/>
          <w:u w:color="943634"/>
          <w:lang w:val="zh-TW"/>
        </w:rPr>
        <w:t>泰国教育部批准中文授课多语培养国际课程基地</w:t>
      </w:r>
    </w:p>
    <w:p>
      <w:pPr>
        <w:pStyle w:val="9"/>
        <w:spacing w:line="276" w:lineRule="auto"/>
        <w:jc w:val="both"/>
        <w:rPr>
          <w:rFonts w:ascii="微软雅黑" w:hAnsi="微软雅黑" w:eastAsia="微软雅黑" w:cs="华文宋体"/>
          <w:color w:val="auto"/>
          <w:sz w:val="28"/>
          <w:szCs w:val="28"/>
          <w:u w:color="943634"/>
          <w:lang w:val="zh-TW" w:eastAsia="zh-TW"/>
        </w:rPr>
      </w:pPr>
      <w:r>
        <w:rPr>
          <w:rFonts w:hint="eastAsia" w:ascii="微软雅黑" w:hAnsi="微软雅黑" w:eastAsia="微软雅黑"/>
          <w:color w:val="auto"/>
          <w:sz w:val="28"/>
          <w:szCs w:val="28"/>
          <w:u w:color="943634"/>
          <w:lang w:val="zh-TW" w:eastAsia="zh-TW"/>
        </w:rPr>
        <w:t>中泰高等教育学历学位互认协定院校</w:t>
      </w:r>
    </w:p>
    <w:p>
      <w:pPr>
        <w:pStyle w:val="9"/>
        <w:spacing w:line="276" w:lineRule="auto"/>
        <w:jc w:val="both"/>
        <w:rPr>
          <w:rFonts w:ascii="微软雅黑" w:hAnsi="微软雅黑" w:eastAsia="微软雅黑" w:cs="华文宋体"/>
          <w:color w:val="auto"/>
          <w:sz w:val="28"/>
          <w:szCs w:val="28"/>
          <w:u w:color="943634"/>
          <w:lang w:val="zh-TW" w:eastAsia="zh-TW"/>
        </w:rPr>
      </w:pPr>
      <w:r>
        <w:rPr>
          <w:rFonts w:hint="eastAsia" w:ascii="微软雅黑" w:hAnsi="微软雅黑" w:eastAsia="微软雅黑"/>
          <w:color w:val="auto"/>
          <w:sz w:val="28"/>
          <w:szCs w:val="28"/>
          <w:u w:color="943634"/>
          <w:lang w:val="zh-TW" w:eastAsia="zh-TW"/>
        </w:rPr>
        <w:t>泰国高端政商校友资源平台</w:t>
      </w:r>
    </w:p>
    <w:p>
      <w:pPr>
        <w:pStyle w:val="9"/>
        <w:widowControl w:val="0"/>
        <w:spacing w:line="276" w:lineRule="auto"/>
        <w:jc w:val="both"/>
        <w:rPr>
          <w:rFonts w:ascii="微软雅黑" w:hAnsi="微软雅黑" w:eastAsia="微软雅黑"/>
          <w:b/>
          <w:color w:val="auto"/>
          <w:sz w:val="40"/>
          <w:szCs w:val="28"/>
          <w:u w:color="FF0000"/>
          <w:lang w:val="zh-TW"/>
        </w:rPr>
      </w:pPr>
    </w:p>
    <w:p>
      <w:pPr>
        <w:pStyle w:val="9"/>
        <w:widowControl w:val="0"/>
        <w:spacing w:line="276" w:lineRule="auto"/>
        <w:jc w:val="both"/>
        <w:rPr>
          <w:rFonts w:ascii="微软雅黑" w:hAnsi="微软雅黑" w:eastAsia="微软雅黑"/>
          <w:b/>
          <w:color w:val="auto"/>
          <w:sz w:val="40"/>
          <w:szCs w:val="28"/>
          <w:u w:color="FF0000"/>
          <w:lang w:val="zh-TW"/>
        </w:rPr>
      </w:pPr>
    </w:p>
    <w:p>
      <w:pPr>
        <w:pStyle w:val="9"/>
        <w:widowControl w:val="0"/>
        <w:spacing w:line="276" w:lineRule="auto"/>
        <w:jc w:val="both"/>
        <w:rPr>
          <w:rFonts w:ascii="微软雅黑" w:hAnsi="微软雅黑" w:eastAsia="微软雅黑"/>
          <w:b/>
          <w:color w:val="auto"/>
          <w:sz w:val="40"/>
          <w:szCs w:val="28"/>
          <w:u w:color="FF0000"/>
          <w:lang w:val="zh-TW"/>
        </w:rPr>
      </w:pPr>
    </w:p>
    <w:p>
      <w:pPr>
        <w:pStyle w:val="9"/>
        <w:widowControl w:val="0"/>
        <w:spacing w:line="276" w:lineRule="auto"/>
        <w:jc w:val="both"/>
        <w:rPr>
          <w:rFonts w:ascii="微软雅黑" w:hAnsi="微软雅黑" w:eastAsia="微软雅黑"/>
          <w:b/>
          <w:color w:val="auto"/>
          <w:sz w:val="40"/>
          <w:szCs w:val="28"/>
          <w:u w:color="FF0000"/>
          <w:lang w:val="zh-TW"/>
        </w:rPr>
      </w:pPr>
    </w:p>
    <w:p>
      <w:pPr>
        <w:pStyle w:val="9"/>
        <w:widowControl w:val="0"/>
        <w:spacing w:line="276" w:lineRule="auto"/>
        <w:jc w:val="both"/>
        <w:rPr>
          <w:rFonts w:ascii="微软雅黑" w:hAnsi="微软雅黑" w:eastAsia="微软雅黑" w:cs="华文宋体"/>
          <w:b/>
          <w:color w:val="auto"/>
          <w:sz w:val="40"/>
          <w:szCs w:val="28"/>
          <w:u w:color="FF0000"/>
          <w:lang w:val="zh-TW" w:eastAsia="zh-TW"/>
        </w:rPr>
      </w:pPr>
      <w:r>
        <w:rPr>
          <w:rFonts w:hint="eastAsia" w:ascii="微软雅黑" w:hAnsi="微软雅黑" w:eastAsia="微软雅黑"/>
          <w:b/>
          <w:color w:val="auto"/>
          <w:sz w:val="40"/>
          <w:szCs w:val="28"/>
          <w:u w:color="FF0000"/>
          <w:lang w:val="zh-TW" w:eastAsia="zh-TW"/>
        </w:rPr>
        <w:t>走进泰国</w:t>
      </w:r>
      <w:r>
        <w:rPr>
          <w:rFonts w:ascii="微软雅黑" w:hAnsi="微软雅黑" w:eastAsia="微软雅黑"/>
          <w:b/>
          <w:color w:val="auto"/>
          <w:sz w:val="28"/>
          <w:szCs w:val="28"/>
        </w:rPr>
        <w:t xml:space="preserve">                    </w:t>
      </w:r>
    </w:p>
    <w:p>
      <w:pPr>
        <w:pStyle w:val="9"/>
        <w:widowControl w:val="0"/>
        <w:spacing w:line="276" w:lineRule="auto"/>
        <w:jc w:val="both"/>
        <w:rPr>
          <w:rFonts w:ascii="微软雅黑" w:hAnsi="微软雅黑" w:eastAsia="微软雅黑" w:cs="华文宋体"/>
          <w:color w:val="auto"/>
          <w:sz w:val="28"/>
          <w:szCs w:val="28"/>
        </w:rPr>
      </w:pPr>
      <w:r>
        <w:rPr>
          <w:rFonts w:ascii="微软雅黑" w:hAnsi="微软雅黑" w:eastAsia="微软雅黑"/>
          <w:color w:val="auto"/>
          <w:sz w:val="28"/>
          <w:szCs w:val="28"/>
        </w:rPr>
        <w:t>※</w:t>
      </w:r>
      <w:r>
        <w:rPr>
          <w:rFonts w:hint="eastAsia" w:ascii="微软雅黑" w:hAnsi="微软雅黑" w:eastAsia="微软雅黑"/>
          <w:color w:val="auto"/>
          <w:sz w:val="28"/>
          <w:szCs w:val="28"/>
          <w:lang w:val="zh-TW" w:eastAsia="zh-TW"/>
        </w:rPr>
        <w:t>中泰两国地缘相近，</w:t>
      </w:r>
      <w:r>
        <w:rPr>
          <w:rFonts w:ascii="微软雅黑" w:hAnsi="微软雅黑" w:eastAsia="微软雅黑"/>
          <w:color w:val="auto"/>
          <w:sz w:val="28"/>
          <w:szCs w:val="28"/>
          <w:lang w:val="zh-TW" w:eastAsia="zh-TW"/>
        </w:rPr>
        <w:t>血缘相亲，</w:t>
      </w:r>
      <w:r>
        <w:rPr>
          <w:rFonts w:hint="eastAsia" w:ascii="微软雅黑" w:hAnsi="微软雅黑" w:eastAsia="微软雅黑"/>
          <w:color w:val="auto"/>
          <w:sz w:val="28"/>
          <w:szCs w:val="28"/>
          <w:lang w:val="zh-TW" w:eastAsia="zh-TW"/>
        </w:rPr>
        <w:t>文化相通，历</w:t>
      </w:r>
      <w:r>
        <w:rPr>
          <w:rFonts w:ascii="微软雅黑" w:hAnsi="微软雅黑" w:eastAsia="微软雅黑"/>
          <w:color w:val="auto"/>
          <w:sz w:val="28"/>
          <w:szCs w:val="28"/>
          <w:lang w:val="zh-TW" w:eastAsia="zh-TW"/>
        </w:rPr>
        <w:t>代</w:t>
      </w:r>
      <w:r>
        <w:rPr>
          <w:rFonts w:hint="eastAsia" w:ascii="微软雅黑" w:hAnsi="微软雅黑" w:eastAsia="微软雅黑"/>
          <w:color w:val="auto"/>
          <w:sz w:val="28"/>
          <w:szCs w:val="28"/>
          <w:lang w:val="zh-TW" w:eastAsia="zh-TW"/>
        </w:rPr>
        <w:t>友好。</w:t>
      </w:r>
    </w:p>
    <w:p>
      <w:pPr>
        <w:pStyle w:val="9"/>
        <w:widowControl w:val="0"/>
        <w:spacing w:line="276" w:lineRule="auto"/>
        <w:jc w:val="both"/>
        <w:rPr>
          <w:rFonts w:ascii="微软雅黑" w:hAnsi="微软雅黑" w:eastAsia="微软雅黑" w:cs="华文宋体"/>
          <w:color w:val="auto"/>
          <w:sz w:val="28"/>
          <w:szCs w:val="28"/>
        </w:rPr>
      </w:pPr>
      <w:r>
        <w:rPr>
          <w:rFonts w:ascii="微软雅黑" w:hAnsi="微软雅黑" w:eastAsia="微软雅黑"/>
          <w:color w:val="auto"/>
          <w:sz w:val="28"/>
          <w:szCs w:val="28"/>
        </w:rPr>
        <w:t>※</w:t>
      </w:r>
      <w:r>
        <w:rPr>
          <w:rFonts w:hint="eastAsia" w:ascii="微软雅黑" w:hAnsi="微软雅黑" w:eastAsia="微软雅黑"/>
          <w:color w:val="auto"/>
          <w:sz w:val="28"/>
          <w:szCs w:val="28"/>
          <w:lang w:val="zh-TW" w:eastAsia="zh-TW"/>
        </w:rPr>
        <w:t>泰国</w:t>
      </w:r>
      <w:r>
        <w:rPr>
          <w:rFonts w:ascii="微软雅黑" w:hAnsi="微软雅黑" w:eastAsia="微软雅黑"/>
          <w:color w:val="auto"/>
          <w:sz w:val="28"/>
          <w:szCs w:val="28"/>
        </w:rPr>
        <w:t>94%</w:t>
      </w:r>
      <w:r>
        <w:rPr>
          <w:rFonts w:hint="eastAsia" w:ascii="微软雅黑" w:hAnsi="微软雅黑" w:eastAsia="微软雅黑"/>
          <w:color w:val="auto"/>
          <w:sz w:val="28"/>
          <w:szCs w:val="28"/>
          <w:lang w:val="zh-TW" w:eastAsia="zh-TW"/>
        </w:rPr>
        <w:t>以上人口信仰佛教，</w:t>
      </w:r>
      <w:r>
        <w:rPr>
          <w:rFonts w:ascii="微软雅黑" w:hAnsi="微软雅黑" w:eastAsia="微软雅黑"/>
          <w:color w:val="auto"/>
          <w:sz w:val="28"/>
          <w:szCs w:val="28"/>
        </w:rPr>
        <w:t>40%</w:t>
      </w:r>
      <w:r>
        <w:rPr>
          <w:rFonts w:hint="eastAsia" w:ascii="微软雅黑" w:hAnsi="微软雅黑" w:eastAsia="微软雅黑"/>
          <w:color w:val="auto"/>
          <w:sz w:val="28"/>
          <w:szCs w:val="28"/>
          <w:lang w:val="zh-TW" w:eastAsia="zh-TW"/>
        </w:rPr>
        <w:t>以上人口拥有华裔血统。</w:t>
      </w:r>
    </w:p>
    <w:p>
      <w:pPr>
        <w:pStyle w:val="9"/>
        <w:widowControl w:val="0"/>
        <w:spacing w:line="276" w:lineRule="auto"/>
        <w:jc w:val="both"/>
        <w:rPr>
          <w:rFonts w:ascii="微软雅黑" w:hAnsi="微软雅黑" w:eastAsia="微软雅黑" w:cs="华文宋体"/>
          <w:color w:val="auto"/>
          <w:sz w:val="28"/>
          <w:szCs w:val="28"/>
        </w:rPr>
      </w:pPr>
      <w:r>
        <w:rPr>
          <w:rFonts w:ascii="微软雅黑" w:hAnsi="微软雅黑" w:eastAsia="微软雅黑"/>
          <w:color w:val="auto"/>
          <w:sz w:val="28"/>
          <w:szCs w:val="28"/>
        </w:rPr>
        <w:t>※</w:t>
      </w:r>
      <w:r>
        <w:rPr>
          <w:rFonts w:hint="eastAsia" w:ascii="微软雅黑" w:hAnsi="微软雅黑" w:eastAsia="微软雅黑"/>
          <w:color w:val="auto"/>
          <w:sz w:val="28"/>
          <w:szCs w:val="28"/>
          <w:lang w:val="zh-TW" w:eastAsia="zh-TW"/>
        </w:rPr>
        <w:t>泰国传承英联邦教育体制已有</w:t>
      </w:r>
      <w:r>
        <w:rPr>
          <w:rFonts w:ascii="微软雅黑" w:hAnsi="微软雅黑" w:eastAsia="微软雅黑"/>
          <w:color w:val="auto"/>
          <w:sz w:val="28"/>
          <w:szCs w:val="28"/>
        </w:rPr>
        <w:t>150</w:t>
      </w:r>
      <w:r>
        <w:rPr>
          <w:rFonts w:hint="eastAsia" w:ascii="微软雅黑" w:hAnsi="微软雅黑" w:eastAsia="微软雅黑"/>
          <w:color w:val="auto"/>
          <w:sz w:val="28"/>
          <w:szCs w:val="28"/>
          <w:lang w:val="zh-TW" w:eastAsia="zh-TW"/>
        </w:rPr>
        <w:t>多年历史。</w:t>
      </w:r>
    </w:p>
    <w:p>
      <w:pPr>
        <w:pStyle w:val="9"/>
        <w:widowControl w:val="0"/>
        <w:spacing w:line="276" w:lineRule="auto"/>
        <w:jc w:val="both"/>
        <w:rPr>
          <w:rFonts w:ascii="微软雅黑" w:hAnsi="微软雅黑" w:eastAsia="微软雅黑" w:cs="华文宋体"/>
          <w:color w:val="auto"/>
          <w:sz w:val="28"/>
          <w:szCs w:val="28"/>
        </w:rPr>
      </w:pPr>
      <w:r>
        <w:rPr>
          <w:rFonts w:ascii="微软雅黑" w:hAnsi="微软雅黑" w:eastAsia="微软雅黑"/>
          <w:color w:val="auto"/>
          <w:sz w:val="28"/>
          <w:szCs w:val="28"/>
        </w:rPr>
        <w:t>※</w:t>
      </w:r>
      <w:r>
        <w:rPr>
          <w:rFonts w:hint="eastAsia" w:ascii="微软雅黑" w:hAnsi="微软雅黑" w:eastAsia="微软雅黑"/>
          <w:color w:val="auto"/>
          <w:sz w:val="28"/>
          <w:szCs w:val="28"/>
          <w:lang w:val="zh-TW" w:eastAsia="zh-TW"/>
        </w:rPr>
        <w:t>教育环境、教学水平、教育国际化程度在世界范围内遥遥领先。</w:t>
      </w:r>
    </w:p>
    <w:p>
      <w:pPr>
        <w:pStyle w:val="9"/>
        <w:widowControl w:val="0"/>
        <w:spacing w:line="276" w:lineRule="auto"/>
        <w:jc w:val="both"/>
        <w:rPr>
          <w:rFonts w:ascii="微软雅黑" w:hAnsi="微软雅黑" w:eastAsia="微软雅黑" w:cs="华文宋体"/>
          <w:color w:val="auto"/>
          <w:sz w:val="28"/>
          <w:szCs w:val="28"/>
        </w:rPr>
      </w:pPr>
      <w:r>
        <w:rPr>
          <w:rFonts w:ascii="微软雅黑" w:hAnsi="微软雅黑" w:eastAsia="微软雅黑"/>
          <w:color w:val="auto"/>
          <w:sz w:val="28"/>
          <w:szCs w:val="28"/>
        </w:rPr>
        <w:t>※</w:t>
      </w:r>
      <w:r>
        <w:rPr>
          <w:rFonts w:hint="eastAsia" w:ascii="微软雅黑" w:hAnsi="微软雅黑" w:eastAsia="微软雅黑"/>
          <w:color w:val="auto"/>
          <w:sz w:val="28"/>
          <w:szCs w:val="28"/>
          <w:lang w:val="zh-TW" w:eastAsia="zh-TW"/>
        </w:rPr>
        <w:t>曼谷不仅是世界第一大旅游城市，也是亚洲国际金融中心之一。</w:t>
      </w:r>
    </w:p>
    <w:p>
      <w:pPr>
        <w:pStyle w:val="9"/>
        <w:widowControl w:val="0"/>
        <w:spacing w:line="276" w:lineRule="auto"/>
        <w:jc w:val="both"/>
        <w:rPr>
          <w:rFonts w:ascii="微软雅黑" w:hAnsi="微软雅黑" w:eastAsia="微软雅黑" w:cs="华文宋体"/>
          <w:color w:val="auto"/>
          <w:sz w:val="28"/>
          <w:szCs w:val="28"/>
        </w:rPr>
      </w:pPr>
      <w:r>
        <w:rPr>
          <w:rFonts w:ascii="微软雅黑" w:hAnsi="微软雅黑" w:eastAsia="微软雅黑"/>
          <w:color w:val="auto"/>
          <w:sz w:val="28"/>
          <w:szCs w:val="28"/>
        </w:rPr>
        <w:t>※</w:t>
      </w:r>
      <w:r>
        <w:rPr>
          <w:rFonts w:hint="eastAsia" w:ascii="微软雅黑" w:hAnsi="微软雅黑" w:eastAsia="微软雅黑"/>
          <w:color w:val="auto"/>
          <w:sz w:val="28"/>
          <w:szCs w:val="28"/>
          <w:lang w:val="zh-TW" w:eastAsia="zh-TW"/>
        </w:rPr>
        <w:t>泰国正吸引着越来越多的人前来留学、工作、旅游、定居</w:t>
      </w:r>
      <w:r>
        <w:rPr>
          <w:rFonts w:ascii="微软雅黑" w:hAnsi="微软雅黑" w:eastAsia="微软雅黑"/>
          <w:color w:val="auto"/>
          <w:sz w:val="28"/>
          <w:szCs w:val="28"/>
        </w:rPr>
        <w:t xml:space="preserve">……                                     </w:t>
      </w:r>
    </w:p>
    <w:p>
      <w:pPr>
        <w:pStyle w:val="9"/>
        <w:widowControl w:val="0"/>
        <w:spacing w:line="276" w:lineRule="auto"/>
        <w:jc w:val="both"/>
        <w:rPr>
          <w:rFonts w:ascii="微软雅黑" w:hAnsi="微软雅黑" w:eastAsia="微软雅黑" w:cs="华文宋体"/>
          <w:color w:val="auto"/>
          <w:sz w:val="28"/>
          <w:szCs w:val="28"/>
          <w:u w:color="FF0000"/>
          <w:lang w:val="zh-TW" w:eastAsia="zh-TW"/>
        </w:rPr>
      </w:pPr>
      <w:r>
        <w:rPr>
          <w:rFonts w:hint="eastAsia" w:ascii="微软雅黑" w:hAnsi="微软雅黑" w:eastAsia="微软雅黑"/>
          <w:color w:val="auto"/>
          <w:sz w:val="28"/>
          <w:szCs w:val="28"/>
          <w:u w:color="FF0000"/>
          <w:lang w:val="zh-TW" w:eastAsia="zh-TW"/>
        </w:rPr>
        <w:t>留学背景</w:t>
      </w:r>
    </w:p>
    <w:p>
      <w:pPr>
        <w:pStyle w:val="9"/>
        <w:widowControl w:val="0"/>
        <w:spacing w:line="276" w:lineRule="auto"/>
        <w:jc w:val="both"/>
        <w:rPr>
          <w:rFonts w:ascii="微软雅黑" w:hAnsi="微软雅黑" w:eastAsia="微软雅黑" w:cs="华文宋体"/>
          <w:color w:val="auto"/>
          <w:sz w:val="28"/>
          <w:szCs w:val="28"/>
        </w:rPr>
      </w:pPr>
      <w:r>
        <w:rPr>
          <w:rFonts w:ascii="微软雅黑" w:hAnsi="微软雅黑" w:eastAsia="微软雅黑"/>
          <w:color w:val="auto"/>
          <w:sz w:val="28"/>
          <w:szCs w:val="28"/>
        </w:rPr>
        <w:t>※“</w:t>
      </w:r>
      <w:r>
        <w:rPr>
          <w:rFonts w:hint="eastAsia" w:ascii="微软雅黑" w:hAnsi="微软雅黑" w:eastAsia="微软雅黑"/>
          <w:color w:val="auto"/>
          <w:sz w:val="28"/>
          <w:szCs w:val="28"/>
          <w:lang w:val="zh-TW" w:eastAsia="zh-TW"/>
        </w:rPr>
        <w:t>一带一路</w:t>
      </w:r>
      <w:r>
        <w:rPr>
          <w:rFonts w:ascii="微软雅黑" w:hAnsi="微软雅黑" w:eastAsia="微软雅黑"/>
          <w:color w:val="auto"/>
          <w:sz w:val="28"/>
          <w:szCs w:val="28"/>
        </w:rPr>
        <w:t>”</w:t>
      </w:r>
      <w:r>
        <w:rPr>
          <w:rFonts w:hint="eastAsia" w:ascii="微软雅黑" w:hAnsi="微软雅黑" w:eastAsia="微软雅黑"/>
          <w:color w:val="auto"/>
          <w:sz w:val="28"/>
          <w:szCs w:val="28"/>
          <w:lang w:val="zh-TW" w:eastAsia="zh-TW"/>
        </w:rPr>
        <w:t>沿线国家人文交流、国际教育合作越来越紧密。</w:t>
      </w:r>
    </w:p>
    <w:p>
      <w:pPr>
        <w:pStyle w:val="9"/>
        <w:widowControl w:val="0"/>
        <w:spacing w:line="276" w:lineRule="auto"/>
        <w:jc w:val="both"/>
        <w:rPr>
          <w:rFonts w:ascii="微软雅黑" w:hAnsi="微软雅黑" w:eastAsia="微软雅黑" w:cs="华文宋体"/>
          <w:color w:val="auto"/>
          <w:sz w:val="28"/>
          <w:szCs w:val="28"/>
        </w:rPr>
      </w:pPr>
      <w:r>
        <w:rPr>
          <w:rFonts w:ascii="微软雅黑" w:hAnsi="微软雅黑" w:eastAsia="微软雅黑"/>
          <w:color w:val="auto"/>
          <w:sz w:val="28"/>
          <w:szCs w:val="28"/>
        </w:rPr>
        <w:t>※</w:t>
      </w:r>
      <w:r>
        <w:rPr>
          <w:rFonts w:hint="eastAsia" w:ascii="微软雅黑" w:hAnsi="微软雅黑" w:eastAsia="微软雅黑"/>
          <w:color w:val="auto"/>
          <w:sz w:val="28"/>
          <w:szCs w:val="28"/>
          <w:lang w:val="zh-TW" w:eastAsia="zh-TW"/>
        </w:rPr>
        <w:t>助力高校</w:t>
      </w:r>
      <w:r>
        <w:rPr>
          <w:rFonts w:ascii="微软雅黑" w:hAnsi="微软雅黑" w:eastAsia="微软雅黑"/>
          <w:color w:val="auto"/>
          <w:sz w:val="28"/>
          <w:szCs w:val="28"/>
        </w:rPr>
        <w:t>“</w:t>
      </w:r>
      <w:r>
        <w:rPr>
          <w:rFonts w:hint="eastAsia" w:ascii="微软雅黑" w:hAnsi="微软雅黑" w:eastAsia="微软雅黑"/>
          <w:color w:val="auto"/>
          <w:sz w:val="28"/>
          <w:szCs w:val="28"/>
          <w:lang w:val="zh-TW" w:eastAsia="zh-TW"/>
        </w:rPr>
        <w:t>双一流</w:t>
      </w:r>
      <w:r>
        <w:rPr>
          <w:rFonts w:ascii="微软雅黑" w:hAnsi="微软雅黑" w:eastAsia="微软雅黑"/>
          <w:color w:val="auto"/>
          <w:sz w:val="28"/>
          <w:szCs w:val="28"/>
        </w:rPr>
        <w:t>”</w:t>
      </w:r>
      <w:r>
        <w:rPr>
          <w:rFonts w:hint="eastAsia" w:ascii="微软雅黑" w:hAnsi="微软雅黑" w:eastAsia="微软雅黑"/>
          <w:color w:val="auto"/>
          <w:sz w:val="28"/>
          <w:szCs w:val="28"/>
          <w:lang w:val="zh-TW" w:eastAsia="zh-TW"/>
        </w:rPr>
        <w:t>建设，满足国际师资队伍建设迫切需要。</w:t>
      </w:r>
    </w:p>
    <w:p>
      <w:pPr>
        <w:pStyle w:val="9"/>
        <w:widowControl w:val="0"/>
        <w:spacing w:line="276" w:lineRule="auto"/>
        <w:jc w:val="both"/>
        <w:rPr>
          <w:rFonts w:ascii="微软雅黑" w:hAnsi="微软雅黑" w:eastAsia="微软雅黑" w:cs="华文宋体"/>
          <w:color w:val="auto"/>
          <w:sz w:val="28"/>
          <w:szCs w:val="28"/>
        </w:rPr>
      </w:pPr>
      <w:r>
        <w:rPr>
          <w:rFonts w:ascii="微软雅黑" w:hAnsi="微软雅黑" w:eastAsia="微软雅黑"/>
          <w:color w:val="auto"/>
          <w:sz w:val="28"/>
          <w:szCs w:val="28"/>
        </w:rPr>
        <w:t>※</w:t>
      </w:r>
      <w:r>
        <w:rPr>
          <w:rFonts w:hint="eastAsia" w:ascii="微软雅黑" w:hAnsi="微软雅黑" w:eastAsia="微软雅黑"/>
          <w:color w:val="auto"/>
          <w:sz w:val="28"/>
          <w:szCs w:val="28"/>
          <w:lang w:val="zh-TW" w:eastAsia="zh-TW"/>
        </w:rPr>
        <w:t>推进中国高等教育综合实力，提升国际交流水平与世界影响力。</w:t>
      </w:r>
    </w:p>
    <w:p>
      <w:pPr>
        <w:pStyle w:val="9"/>
        <w:widowControl w:val="0"/>
        <w:spacing w:line="276" w:lineRule="auto"/>
        <w:jc w:val="both"/>
        <w:rPr>
          <w:rFonts w:ascii="微软雅黑" w:hAnsi="微软雅黑" w:eastAsia="微软雅黑" w:cs="华文宋体"/>
          <w:color w:val="auto"/>
          <w:sz w:val="28"/>
          <w:szCs w:val="28"/>
        </w:rPr>
      </w:pPr>
      <w:r>
        <w:rPr>
          <w:rFonts w:ascii="微软雅黑" w:hAnsi="微软雅黑" w:eastAsia="微软雅黑"/>
          <w:color w:val="auto"/>
          <w:sz w:val="28"/>
          <w:szCs w:val="28"/>
        </w:rPr>
        <w:t>※</w:t>
      </w:r>
      <w:r>
        <w:rPr>
          <w:rFonts w:hint="eastAsia" w:ascii="微软雅黑" w:hAnsi="微软雅黑" w:eastAsia="微软雅黑"/>
          <w:color w:val="auto"/>
          <w:sz w:val="28"/>
          <w:szCs w:val="28"/>
          <w:lang w:val="zh-TW" w:eastAsia="zh-TW"/>
        </w:rPr>
        <w:t>提升院校知名度，优化院校人才结构，深入推动院校发展。</w:t>
      </w:r>
    </w:p>
    <w:p>
      <w:pPr>
        <w:pStyle w:val="9"/>
        <w:widowControl w:val="0"/>
        <w:spacing w:line="276" w:lineRule="auto"/>
        <w:jc w:val="both"/>
        <w:outlineLvl w:val="0"/>
        <w:rPr>
          <w:rFonts w:ascii="微软雅黑" w:hAnsi="微软雅黑" w:eastAsia="微软雅黑" w:cs="华文宋体"/>
          <w:b/>
          <w:color w:val="auto"/>
          <w:sz w:val="28"/>
          <w:szCs w:val="28"/>
        </w:rPr>
      </w:pPr>
      <w:r>
        <w:rPr>
          <w:rFonts w:hint="eastAsia" w:ascii="微软雅黑" w:hAnsi="微软雅黑" w:eastAsia="微软雅黑"/>
          <w:b/>
          <w:color w:val="auto"/>
          <w:kern w:val="2"/>
          <w:sz w:val="36"/>
          <w:szCs w:val="28"/>
          <w:u w:color="FF0000"/>
          <w:lang w:val="zh-TW" w:eastAsia="zh-TW"/>
        </w:rPr>
        <w:t>学校简介</w:t>
      </w:r>
      <w:r>
        <w:rPr>
          <w:rFonts w:ascii="微软雅黑" w:hAnsi="微软雅黑" w:eastAsia="微软雅黑"/>
          <w:b/>
          <w:color w:val="auto"/>
          <w:sz w:val="28"/>
          <w:szCs w:val="28"/>
        </w:rPr>
        <w:t xml:space="preserve">                                        </w:t>
      </w:r>
    </w:p>
    <w:p>
      <w:pPr>
        <w:spacing w:line="360" w:lineRule="exact"/>
        <w:rPr>
          <w:rFonts w:hint="default" w:ascii="微软雅黑" w:hAnsi="微软雅黑" w:eastAsia="微软雅黑"/>
          <w:color w:val="auto"/>
          <w:sz w:val="28"/>
          <w:szCs w:val="18"/>
          <w:lang w:val="en-US"/>
        </w:rPr>
      </w:pPr>
      <w:r>
        <w:rPr>
          <w:rFonts w:ascii="微软雅黑" w:hAnsi="微软雅黑" w:eastAsia="微软雅黑"/>
          <w:color w:val="auto"/>
          <w:sz w:val="28"/>
          <w:szCs w:val="18"/>
        </w:rPr>
        <w:t>泰国格乐大学</w:t>
      </w:r>
      <w:r>
        <w:rPr>
          <w:rFonts w:ascii="微软雅黑" w:hAnsi="微软雅黑" w:eastAsia="微软雅黑"/>
          <w:color w:val="auto"/>
          <w:sz w:val="28"/>
          <w:szCs w:val="18"/>
          <w:lang w:val="en-US"/>
        </w:rPr>
        <w:t>(krirk university，</w:t>
      </w:r>
      <w:r>
        <w:rPr>
          <w:rFonts w:ascii="微软雅黑" w:hAnsi="微软雅黑" w:eastAsia="微软雅黑"/>
          <w:color w:val="auto"/>
          <w:sz w:val="28"/>
          <w:szCs w:val="18"/>
        </w:rPr>
        <w:t>简称</w:t>
      </w:r>
      <w:r>
        <w:rPr>
          <w:rFonts w:ascii="微软雅黑" w:hAnsi="微软雅黑" w:eastAsia="微软雅黑"/>
          <w:color w:val="auto"/>
          <w:sz w:val="28"/>
          <w:szCs w:val="18"/>
          <w:lang w:val="en-US"/>
        </w:rPr>
        <w:t xml:space="preserve">KRU) </w:t>
      </w:r>
      <w:r>
        <w:rPr>
          <w:rFonts w:ascii="微软雅黑" w:hAnsi="微软雅黑" w:eastAsia="微软雅黑"/>
          <w:color w:val="auto"/>
          <w:sz w:val="28"/>
          <w:szCs w:val="18"/>
        </w:rPr>
        <w:t>由享誉海内外的著名教育家格乐</w:t>
      </w:r>
      <w:r>
        <w:rPr>
          <w:rFonts w:hint="cs" w:ascii="微软雅黑" w:hAnsi="微软雅黑" w:eastAsia="微软雅黑"/>
          <w:color w:val="auto"/>
          <w:sz w:val="28"/>
          <w:szCs w:val="18"/>
          <w:lang w:val="en-US"/>
        </w:rPr>
        <w:t>•</w:t>
      </w:r>
      <w:r>
        <w:rPr>
          <w:rFonts w:ascii="微软雅黑" w:hAnsi="微软雅黑" w:eastAsia="微软雅黑"/>
          <w:color w:val="auto"/>
          <w:sz w:val="28"/>
          <w:szCs w:val="18"/>
        </w:rPr>
        <w:t>曼格拉布克</w:t>
      </w:r>
      <w:r>
        <w:rPr>
          <w:rFonts w:ascii="微软雅黑" w:hAnsi="微软雅黑" w:eastAsia="微软雅黑"/>
          <w:color w:val="auto"/>
          <w:sz w:val="28"/>
          <w:szCs w:val="18"/>
          <w:lang w:val="en-US"/>
        </w:rPr>
        <w:t>(Dr. Krirk Mangalabruks)</w:t>
      </w:r>
      <w:r>
        <w:rPr>
          <w:rFonts w:ascii="微软雅黑" w:hAnsi="微软雅黑" w:eastAsia="微软雅黑"/>
          <w:color w:val="auto"/>
          <w:sz w:val="28"/>
          <w:szCs w:val="18"/>
        </w:rPr>
        <w:t>博士创立于</w:t>
      </w:r>
      <w:r>
        <w:rPr>
          <w:rFonts w:ascii="微软雅黑" w:hAnsi="微软雅黑" w:eastAsia="微软雅黑"/>
          <w:color w:val="auto"/>
          <w:sz w:val="28"/>
          <w:szCs w:val="18"/>
          <w:lang w:val="en-US"/>
        </w:rPr>
        <w:t>1952</w:t>
      </w:r>
      <w:r>
        <w:rPr>
          <w:rFonts w:ascii="微软雅黑" w:hAnsi="微软雅黑" w:eastAsia="微软雅黑"/>
          <w:color w:val="auto"/>
          <w:sz w:val="28"/>
          <w:szCs w:val="18"/>
        </w:rPr>
        <w:t>年</w:t>
      </w:r>
      <w:r>
        <w:rPr>
          <w:rFonts w:ascii="微软雅黑" w:hAnsi="微软雅黑" w:eastAsia="微软雅黑"/>
          <w:color w:val="auto"/>
          <w:sz w:val="28"/>
          <w:szCs w:val="18"/>
          <w:lang w:val="en-US"/>
        </w:rPr>
        <w:t>，</w:t>
      </w:r>
      <w:r>
        <w:rPr>
          <w:rFonts w:ascii="微软雅黑" w:hAnsi="微软雅黑" w:eastAsia="微软雅黑"/>
          <w:color w:val="auto"/>
          <w:sz w:val="28"/>
          <w:szCs w:val="18"/>
        </w:rPr>
        <w:t>是泰国建校最早、历史最悠久的私立大学</w:t>
      </w:r>
      <w:r>
        <w:rPr>
          <w:rFonts w:ascii="微软雅黑" w:hAnsi="微软雅黑" w:eastAsia="微软雅黑"/>
          <w:color w:val="auto"/>
          <w:sz w:val="28"/>
          <w:szCs w:val="18"/>
          <w:lang w:val="en-US"/>
        </w:rPr>
        <w:t>，</w:t>
      </w:r>
      <w:r>
        <w:rPr>
          <w:rFonts w:ascii="微软雅黑" w:hAnsi="微软雅黑" w:eastAsia="微软雅黑"/>
          <w:color w:val="auto"/>
          <w:sz w:val="28"/>
          <w:szCs w:val="18"/>
        </w:rPr>
        <w:t>也是泰国唯一拥有强势政治沟通学院的私立大学。</w:t>
      </w:r>
    </w:p>
    <w:p>
      <w:pPr>
        <w:spacing w:line="360" w:lineRule="exact"/>
        <w:rPr>
          <w:rFonts w:hint="default" w:ascii="微软雅黑" w:hAnsi="微软雅黑" w:eastAsia="微软雅黑"/>
          <w:color w:val="auto"/>
          <w:sz w:val="28"/>
          <w:szCs w:val="18"/>
        </w:rPr>
      </w:pPr>
      <w:r>
        <w:rPr>
          <w:rFonts w:ascii="微软雅黑" w:hAnsi="微软雅黑" w:eastAsia="微软雅黑"/>
          <w:color w:val="auto"/>
          <w:sz w:val="28"/>
          <w:szCs w:val="18"/>
        </w:rPr>
        <w:t>格乐博士(美国大学 David &amp; Elkins 博士）建校初衷旨在泰国传播英语教学，作为第一个教泰国学生有效运用英语的泰国人，他是泰国现代英语教学的奠基者，学校也因他的名字而闻名。</w:t>
      </w:r>
    </w:p>
    <w:p>
      <w:pPr>
        <w:spacing w:line="360" w:lineRule="exact"/>
        <w:rPr>
          <w:rFonts w:hint="default" w:ascii="微软雅黑" w:hAnsi="微软雅黑" w:eastAsia="微软雅黑"/>
          <w:color w:val="auto"/>
          <w:sz w:val="28"/>
          <w:szCs w:val="18"/>
        </w:rPr>
      </w:pPr>
      <w:r>
        <w:rPr>
          <w:rFonts w:ascii="微软雅黑" w:hAnsi="微软雅黑" w:eastAsia="微软雅黑"/>
          <w:color w:val="auto"/>
          <w:sz w:val="28"/>
          <w:szCs w:val="18"/>
        </w:rPr>
        <w:t>Prof. Dr. Krasae Chanawongse (中文名：杨金泉博士）是泰国格乐大学现任校长，同时也是联合国亚洲防灾中心（Asian Disaster Preparedness Center (ADPC)）董事局主席及泰国立宪委员会副主席、泰国教育部高等教育委员会常务委员。毕业于美国哥伦比亚大学，是泰王国杰出的医学家、教授、政治家、教育家、领导学研究专家。曾担任泰王国大学事务部（教育部）部长、泰王国卫生部部长、泰王国外交部部长以及泰王国总理顾问等职务，曾和有</w:t>
      </w:r>
      <w:r>
        <w:rPr>
          <w:rFonts w:hint="cs" w:ascii="微软雅黑" w:hAnsi="微软雅黑" w:eastAsia="微软雅黑"/>
          <w:color w:val="auto"/>
          <w:sz w:val="28"/>
          <w:szCs w:val="18"/>
        </w:rPr>
        <w:t>“</w:t>
      </w:r>
      <w:r>
        <w:rPr>
          <w:rFonts w:ascii="微软雅黑" w:hAnsi="微软雅黑" w:eastAsia="微软雅黑"/>
          <w:color w:val="auto"/>
          <w:sz w:val="28"/>
          <w:szCs w:val="18"/>
        </w:rPr>
        <w:t>杂交水稻之父</w:t>
      </w:r>
      <w:r>
        <w:rPr>
          <w:rFonts w:hint="cs" w:ascii="微软雅黑" w:hAnsi="微软雅黑" w:eastAsia="微软雅黑"/>
          <w:color w:val="auto"/>
          <w:sz w:val="28"/>
          <w:szCs w:val="18"/>
        </w:rPr>
        <w:t>”</w:t>
      </w:r>
      <w:r>
        <w:rPr>
          <w:rFonts w:ascii="微软雅黑" w:hAnsi="微软雅黑" w:eastAsia="微软雅黑"/>
          <w:color w:val="auto"/>
          <w:sz w:val="28"/>
          <w:szCs w:val="18"/>
        </w:rPr>
        <w:t>之称的中国科学家袁隆平同期获得亚洲级别的诺贝尔奖（拉蒙</w:t>
      </w:r>
      <w:r>
        <w:rPr>
          <w:rFonts w:hint="cs" w:ascii="微软雅黑" w:hAnsi="微软雅黑" w:eastAsia="微软雅黑"/>
          <w:color w:val="auto"/>
          <w:sz w:val="28"/>
          <w:szCs w:val="18"/>
        </w:rPr>
        <w:t>•</w:t>
      </w:r>
      <w:r>
        <w:rPr>
          <w:rFonts w:ascii="微软雅黑" w:hAnsi="微软雅黑" w:eastAsia="微软雅黑"/>
          <w:color w:val="auto"/>
          <w:sz w:val="28"/>
          <w:szCs w:val="18"/>
        </w:rPr>
        <w:t>麦格塞塞奖）。</w:t>
      </w:r>
    </w:p>
    <w:p>
      <w:pPr>
        <w:spacing w:line="360" w:lineRule="exact"/>
        <w:rPr>
          <w:rFonts w:hint="default" w:ascii="微软雅黑" w:hAnsi="微软雅黑" w:eastAsia="微软雅黑"/>
          <w:color w:val="auto"/>
          <w:sz w:val="28"/>
          <w:szCs w:val="18"/>
        </w:rPr>
      </w:pPr>
      <w:r>
        <w:rPr>
          <w:rFonts w:ascii="微软雅黑" w:hAnsi="微软雅黑" w:eastAsia="微软雅黑"/>
          <w:color w:val="auto"/>
          <w:sz w:val="28"/>
          <w:szCs w:val="18"/>
        </w:rPr>
        <w:t>泰国格乐大学是国际大学协会（International Association of Universities，IAU）、全球能源互联网大学联盟成员</w:t>
      </w:r>
      <w:r>
        <w:rPr>
          <w:rFonts w:ascii="微软雅黑" w:hAnsi="微软雅黑" w:eastAsia="微软雅黑"/>
          <w:color w:val="FF0000"/>
          <w:sz w:val="28"/>
          <w:szCs w:val="18"/>
        </w:rPr>
        <w:t>、南亚东南亚大学联盟成员</w:t>
      </w:r>
      <w:r>
        <w:rPr>
          <w:rFonts w:ascii="微软雅黑" w:hAnsi="微软雅黑" w:eastAsia="微软雅黑"/>
          <w:color w:val="auto"/>
          <w:sz w:val="28"/>
          <w:szCs w:val="18"/>
        </w:rPr>
        <w:t>，学校致力以发展智慧型社会、创造培养知识体系和发展教学体制为目标，设有本硕博三个层次，下设工商管理学院、传播艺术学院、人文学院、法律学院、政治沟通学院、国际学院。开设本科大类专业20个、硕士专业8个、博士专业6个，细分培养方向共计123个。其中政治关系、公共管理是泰王国国家级重点学科,工商管理、教育学、体育、法律是泰国教育主管部门特批可中英泰多语言授课的示范型优质学科专业。</w:t>
      </w:r>
    </w:p>
    <w:p>
      <w:pPr>
        <w:spacing w:line="360" w:lineRule="exact"/>
        <w:rPr>
          <w:rFonts w:hint="default" w:ascii="微软雅黑" w:hAnsi="微软雅黑" w:eastAsia="微软雅黑"/>
          <w:b/>
          <w:color w:val="auto"/>
          <w:szCs w:val="18"/>
        </w:rPr>
      </w:pPr>
    </w:p>
    <w:p>
      <w:pPr>
        <w:spacing w:line="360" w:lineRule="exact"/>
        <w:rPr>
          <w:rFonts w:hint="default" w:ascii="微软雅黑" w:hAnsi="微软雅黑" w:eastAsia="微软雅黑"/>
          <w:color w:val="auto"/>
          <w:sz w:val="20"/>
          <w:szCs w:val="18"/>
        </w:rPr>
      </w:pPr>
    </w:p>
    <w:p>
      <w:pPr>
        <w:pStyle w:val="9"/>
        <w:widowControl w:val="0"/>
        <w:spacing w:line="276" w:lineRule="auto"/>
        <w:jc w:val="both"/>
        <w:rPr>
          <w:rFonts w:ascii="微软雅黑" w:hAnsi="微软雅黑" w:eastAsia="微软雅黑" w:cs="华文宋体"/>
          <w:b/>
          <w:color w:val="auto"/>
          <w:sz w:val="36"/>
          <w:szCs w:val="28"/>
          <w:u w:color="FF0000"/>
          <w:lang w:val="zh-TW" w:eastAsia="zh-TW"/>
        </w:rPr>
      </w:pPr>
      <w:r>
        <w:rPr>
          <w:rFonts w:hint="eastAsia" w:ascii="微软雅黑" w:hAnsi="微软雅黑" w:eastAsia="微软雅黑"/>
          <w:b/>
          <w:color w:val="auto"/>
          <w:sz w:val="36"/>
          <w:szCs w:val="28"/>
          <w:u w:color="FF0000"/>
          <w:lang w:val="zh-TW" w:eastAsia="zh-TW"/>
        </w:rPr>
        <w:t>项目优势</w:t>
      </w:r>
      <w:r>
        <w:rPr>
          <w:rFonts w:ascii="微软雅黑" w:hAnsi="微软雅黑" w:eastAsia="微软雅黑"/>
          <w:color w:val="auto"/>
          <w:sz w:val="28"/>
          <w:szCs w:val="28"/>
        </w:rPr>
        <w:t xml:space="preserve">                    </w:t>
      </w:r>
    </w:p>
    <w:p>
      <w:pPr>
        <w:pStyle w:val="9"/>
        <w:widowControl w:val="0"/>
        <w:spacing w:line="276" w:lineRule="auto"/>
        <w:jc w:val="both"/>
        <w:rPr>
          <w:rFonts w:ascii="微软雅黑" w:hAnsi="微软雅黑" w:eastAsia="微软雅黑" w:cs="华文宋体"/>
          <w:color w:val="auto"/>
          <w:sz w:val="28"/>
          <w:szCs w:val="28"/>
          <w:lang w:val="zh-TW" w:eastAsia="zh-TW"/>
        </w:rPr>
      </w:pPr>
      <w:r>
        <w:rPr>
          <w:rFonts w:ascii="微软雅黑" w:hAnsi="微软雅黑" w:eastAsia="微软雅黑"/>
          <w:color w:val="auto"/>
          <w:sz w:val="28"/>
          <w:szCs w:val="28"/>
          <w:lang w:val="zh-TW" w:eastAsia="zh-TW"/>
        </w:rPr>
        <w:t>※</w:t>
      </w:r>
      <w:r>
        <w:rPr>
          <w:rFonts w:hint="eastAsia" w:ascii="微软雅黑" w:hAnsi="微软雅黑" w:eastAsia="微软雅黑"/>
          <w:color w:val="auto"/>
          <w:sz w:val="28"/>
          <w:szCs w:val="28"/>
          <w:lang w:val="zh-TW" w:eastAsia="zh-TW"/>
        </w:rPr>
        <w:t>中国</w:t>
      </w:r>
      <w:r>
        <w:rPr>
          <w:rFonts w:ascii="微软雅黑" w:hAnsi="微软雅黑" w:eastAsia="微软雅黑"/>
          <w:color w:val="auto"/>
          <w:sz w:val="28"/>
          <w:szCs w:val="28"/>
          <w:lang w:val="zh-TW" w:eastAsia="zh-TW"/>
        </w:rPr>
        <w:t>-</w:t>
      </w:r>
      <w:r>
        <w:rPr>
          <w:rFonts w:hint="eastAsia" w:ascii="微软雅黑" w:hAnsi="微软雅黑" w:eastAsia="微软雅黑"/>
          <w:color w:val="auto"/>
          <w:sz w:val="28"/>
          <w:szCs w:val="28"/>
          <w:lang w:val="zh-TW" w:eastAsia="zh-TW"/>
        </w:rPr>
        <w:t>东盟教育管理领域的高水平学术交流平台。</w:t>
      </w:r>
    </w:p>
    <w:p>
      <w:pPr>
        <w:pStyle w:val="9"/>
        <w:widowControl w:val="0"/>
        <w:spacing w:line="276" w:lineRule="auto"/>
        <w:jc w:val="both"/>
        <w:rPr>
          <w:rFonts w:ascii="微软雅黑" w:hAnsi="微软雅黑" w:eastAsia="微软雅黑" w:cs="华文宋体"/>
          <w:color w:val="auto"/>
          <w:sz w:val="28"/>
          <w:szCs w:val="28"/>
          <w:lang w:val="zh-TW" w:eastAsia="zh-TW"/>
        </w:rPr>
      </w:pPr>
      <w:r>
        <w:rPr>
          <w:rFonts w:ascii="微软雅黑" w:hAnsi="微软雅黑" w:eastAsia="微软雅黑"/>
          <w:color w:val="auto"/>
          <w:sz w:val="28"/>
          <w:szCs w:val="28"/>
          <w:lang w:val="zh-TW" w:eastAsia="zh-TW"/>
        </w:rPr>
        <w:t>※</w:t>
      </w:r>
      <w:r>
        <w:rPr>
          <w:rFonts w:hint="eastAsia" w:ascii="微软雅黑" w:hAnsi="微软雅黑" w:eastAsia="微软雅黑"/>
          <w:color w:val="auto"/>
          <w:sz w:val="28"/>
          <w:szCs w:val="28"/>
          <w:lang w:val="zh-TW" w:eastAsia="zh-TW"/>
        </w:rPr>
        <w:t>让学生有机会亲自与中国</w:t>
      </w:r>
      <w:r>
        <w:rPr>
          <w:rFonts w:ascii="微软雅黑" w:hAnsi="微软雅黑" w:eastAsia="微软雅黑"/>
          <w:color w:val="auto"/>
          <w:sz w:val="28"/>
          <w:szCs w:val="28"/>
          <w:lang w:val="zh-TW" w:eastAsia="zh-TW"/>
        </w:rPr>
        <w:t>-</w:t>
      </w:r>
      <w:r>
        <w:rPr>
          <w:rFonts w:hint="eastAsia" w:ascii="微软雅黑" w:hAnsi="微软雅黑" w:eastAsia="微软雅黑"/>
          <w:color w:val="auto"/>
          <w:sz w:val="28"/>
          <w:szCs w:val="28"/>
          <w:lang w:val="zh-TW" w:eastAsia="zh-TW"/>
        </w:rPr>
        <w:t>东盟教育领域知名专家学者互动交流。</w:t>
      </w:r>
    </w:p>
    <w:p>
      <w:pPr>
        <w:pStyle w:val="9"/>
        <w:widowControl w:val="0"/>
        <w:spacing w:line="276" w:lineRule="auto"/>
        <w:jc w:val="both"/>
        <w:rPr>
          <w:rFonts w:ascii="微软雅黑" w:hAnsi="微软雅黑" w:eastAsia="微软雅黑" w:cs="华文宋体"/>
          <w:color w:val="auto"/>
          <w:sz w:val="28"/>
          <w:szCs w:val="28"/>
        </w:rPr>
      </w:pPr>
      <w:r>
        <w:rPr>
          <w:rFonts w:ascii="微软雅黑" w:hAnsi="微软雅黑" w:eastAsia="微软雅黑"/>
          <w:color w:val="auto"/>
          <w:sz w:val="28"/>
          <w:szCs w:val="28"/>
        </w:rPr>
        <w:t>※</w:t>
      </w:r>
      <w:r>
        <w:rPr>
          <w:rFonts w:hint="eastAsia" w:ascii="微软雅黑" w:hAnsi="微软雅黑" w:eastAsia="微软雅黑"/>
          <w:color w:val="auto"/>
          <w:sz w:val="28"/>
          <w:szCs w:val="28"/>
          <w:lang w:val="zh-TW" w:eastAsia="zh-TW"/>
        </w:rPr>
        <w:t>深入教育领域相关科研项目、课题研究，新课程教育改革高级论坛。</w:t>
      </w:r>
    </w:p>
    <w:p>
      <w:pPr>
        <w:pStyle w:val="9"/>
        <w:widowControl w:val="0"/>
        <w:spacing w:line="276" w:lineRule="auto"/>
        <w:jc w:val="both"/>
        <w:rPr>
          <w:rFonts w:ascii="微软雅黑" w:hAnsi="微软雅黑" w:eastAsia="微软雅黑" w:cs="华文宋体"/>
          <w:color w:val="auto"/>
          <w:sz w:val="28"/>
          <w:szCs w:val="28"/>
        </w:rPr>
      </w:pPr>
      <w:r>
        <w:rPr>
          <w:rFonts w:ascii="微软雅黑" w:hAnsi="微软雅黑" w:eastAsia="微软雅黑"/>
          <w:color w:val="auto"/>
          <w:sz w:val="28"/>
          <w:szCs w:val="28"/>
          <w:lang w:val="zh-TW" w:eastAsia="zh-TW"/>
        </w:rPr>
        <w:t>※</w:t>
      </w:r>
      <w:r>
        <w:rPr>
          <w:rFonts w:hint="eastAsia" w:ascii="微软雅黑" w:hAnsi="微软雅黑" w:eastAsia="微软雅黑"/>
          <w:color w:val="auto"/>
          <w:sz w:val="28"/>
          <w:szCs w:val="28"/>
          <w:lang w:val="zh-TW" w:eastAsia="zh-TW"/>
        </w:rPr>
        <w:t>考察中国</w:t>
      </w:r>
      <w:r>
        <w:rPr>
          <w:rFonts w:ascii="微软雅黑" w:hAnsi="微软雅黑" w:eastAsia="微软雅黑"/>
          <w:color w:val="auto"/>
          <w:sz w:val="28"/>
          <w:szCs w:val="28"/>
          <w:lang w:val="zh-TW" w:eastAsia="zh-TW"/>
        </w:rPr>
        <w:t>-</w:t>
      </w:r>
      <w:r>
        <w:rPr>
          <w:rFonts w:hint="eastAsia" w:ascii="微软雅黑" w:hAnsi="微软雅黑" w:eastAsia="微软雅黑"/>
          <w:color w:val="auto"/>
          <w:sz w:val="28"/>
          <w:szCs w:val="28"/>
          <w:lang w:val="zh-TW" w:eastAsia="zh-TW"/>
        </w:rPr>
        <w:t>东盟教育改革试点学校等方式，切实推动院校高层次、研究型教育管理</w:t>
      </w:r>
      <w:r>
        <w:rPr>
          <w:rFonts w:ascii="微软雅黑" w:hAnsi="微软雅黑" w:eastAsia="微软雅黑"/>
          <w:color w:val="auto"/>
          <w:sz w:val="28"/>
          <w:szCs w:val="28"/>
          <w:u w:color="99403D"/>
          <w:lang w:val="zh-TW" w:eastAsia="zh-TW"/>
        </w:rPr>
        <w:t>团队建设</w:t>
      </w:r>
      <w:r>
        <w:rPr>
          <w:rFonts w:hint="eastAsia" w:ascii="微软雅黑" w:hAnsi="微软雅黑" w:eastAsia="微软雅黑"/>
          <w:color w:val="auto"/>
          <w:sz w:val="28"/>
          <w:szCs w:val="28"/>
          <w:lang w:val="zh-TW" w:eastAsia="zh-TW"/>
        </w:rPr>
        <w:t>。</w:t>
      </w:r>
    </w:p>
    <w:p>
      <w:pPr>
        <w:pStyle w:val="9"/>
        <w:widowControl w:val="0"/>
        <w:spacing w:line="276" w:lineRule="auto"/>
        <w:jc w:val="both"/>
        <w:rPr>
          <w:rFonts w:ascii="微软雅黑" w:hAnsi="微软雅黑" w:eastAsia="微软雅黑" w:cs="华文宋体"/>
          <w:color w:val="auto"/>
          <w:sz w:val="28"/>
          <w:szCs w:val="28"/>
        </w:rPr>
      </w:pPr>
      <w:r>
        <w:rPr>
          <w:rFonts w:ascii="微软雅黑" w:hAnsi="微软雅黑" w:eastAsia="微软雅黑"/>
          <w:color w:val="auto"/>
          <w:sz w:val="28"/>
          <w:szCs w:val="28"/>
        </w:rPr>
        <w:t>※</w:t>
      </w:r>
      <w:r>
        <w:rPr>
          <w:rFonts w:ascii="微软雅黑" w:hAnsi="微软雅黑" w:eastAsia="微软雅黑"/>
          <w:color w:val="auto"/>
          <w:sz w:val="28"/>
          <w:szCs w:val="28"/>
          <w:lang w:val="zh-TW" w:eastAsia="zh-TW"/>
        </w:rPr>
        <w:t>中泰两校联合培养</w:t>
      </w:r>
      <w:r>
        <w:rPr>
          <w:rFonts w:hint="eastAsia" w:ascii="微软雅黑" w:hAnsi="微软雅黑" w:eastAsia="微软雅黑"/>
          <w:color w:val="auto"/>
          <w:sz w:val="28"/>
          <w:szCs w:val="28"/>
          <w:lang w:val="zh-TW" w:eastAsia="zh-TW"/>
        </w:rPr>
        <w:t>学习方式，避免院校固有人才流失造成的岗位空缺。</w:t>
      </w:r>
    </w:p>
    <w:p>
      <w:pPr>
        <w:pStyle w:val="9"/>
        <w:widowControl w:val="0"/>
        <w:spacing w:line="276" w:lineRule="auto"/>
        <w:jc w:val="both"/>
        <w:rPr>
          <w:rFonts w:ascii="微软雅黑" w:hAnsi="微软雅黑" w:eastAsia="微软雅黑" w:cs="华文宋体"/>
          <w:color w:val="auto"/>
          <w:sz w:val="28"/>
          <w:szCs w:val="28"/>
        </w:rPr>
      </w:pPr>
      <w:r>
        <w:rPr>
          <w:rFonts w:ascii="微软雅黑" w:hAnsi="微软雅黑" w:eastAsia="微软雅黑"/>
          <w:color w:val="auto"/>
          <w:sz w:val="28"/>
          <w:szCs w:val="28"/>
        </w:rPr>
        <w:t>※</w:t>
      </w:r>
      <w:r>
        <w:rPr>
          <w:rFonts w:hint="eastAsia" w:ascii="微软雅黑" w:hAnsi="微软雅黑" w:eastAsia="微软雅黑"/>
          <w:color w:val="auto"/>
          <w:sz w:val="28"/>
          <w:szCs w:val="28"/>
          <w:lang w:val="zh-TW" w:eastAsia="zh-TW"/>
        </w:rPr>
        <w:t>激发师资队伍个人潜能，提升工作满意度与院校归属感。</w:t>
      </w:r>
    </w:p>
    <w:p>
      <w:pPr>
        <w:pStyle w:val="9"/>
        <w:widowControl w:val="0"/>
        <w:spacing w:line="276" w:lineRule="auto"/>
        <w:jc w:val="both"/>
        <w:rPr>
          <w:rFonts w:ascii="微软雅黑" w:hAnsi="微软雅黑" w:eastAsia="微软雅黑" w:cs="华文宋体"/>
          <w:color w:val="auto"/>
          <w:sz w:val="28"/>
          <w:szCs w:val="28"/>
        </w:rPr>
      </w:pPr>
      <w:r>
        <w:rPr>
          <w:rFonts w:ascii="微软雅黑" w:hAnsi="微软雅黑" w:eastAsia="微软雅黑"/>
          <w:color w:val="auto"/>
          <w:sz w:val="28"/>
          <w:szCs w:val="28"/>
        </w:rPr>
        <w:t>※</w:t>
      </w:r>
      <w:r>
        <w:rPr>
          <w:rFonts w:hint="eastAsia" w:ascii="微软雅黑" w:hAnsi="微软雅黑" w:eastAsia="微软雅黑"/>
          <w:color w:val="auto"/>
          <w:sz w:val="28"/>
          <w:szCs w:val="28"/>
          <w:lang w:val="zh-TW" w:eastAsia="zh-TW"/>
        </w:rPr>
        <w:t>较于外部人才引进存在</w:t>
      </w:r>
      <w:r>
        <w:rPr>
          <w:rFonts w:ascii="微软雅黑" w:hAnsi="微软雅黑" w:eastAsia="微软雅黑"/>
          <w:color w:val="auto"/>
          <w:sz w:val="28"/>
          <w:szCs w:val="28"/>
          <w:u w:color="99403D"/>
          <w:lang w:val="zh-TW" w:eastAsia="zh-TW"/>
        </w:rPr>
        <w:t>空降新旧成员文化融合风险与再次离职风险，</w:t>
      </w:r>
      <w:r>
        <w:rPr>
          <w:rFonts w:hint="eastAsia" w:ascii="微软雅黑" w:hAnsi="微软雅黑" w:eastAsia="微软雅黑"/>
          <w:color w:val="auto"/>
          <w:sz w:val="28"/>
          <w:szCs w:val="28"/>
          <w:lang w:val="zh-TW" w:eastAsia="zh-TW"/>
        </w:rPr>
        <w:t>内部人才培养更具可持续性</w:t>
      </w:r>
      <w:r>
        <w:rPr>
          <w:rFonts w:ascii="微软雅黑" w:hAnsi="微软雅黑" w:eastAsia="微软雅黑"/>
          <w:color w:val="auto"/>
          <w:sz w:val="28"/>
          <w:szCs w:val="28"/>
          <w:u w:color="99403D"/>
          <w:lang w:val="zh-TW" w:eastAsia="zh-TW"/>
        </w:rPr>
        <w:t>和稳定性</w:t>
      </w:r>
      <w:r>
        <w:rPr>
          <w:rFonts w:hint="eastAsia" w:ascii="微软雅黑" w:hAnsi="微软雅黑" w:eastAsia="微软雅黑"/>
          <w:color w:val="auto"/>
          <w:sz w:val="28"/>
          <w:szCs w:val="28"/>
          <w:lang w:val="zh-TW" w:eastAsia="zh-TW"/>
        </w:rPr>
        <w:t xml:space="preserve">。 </w:t>
      </w:r>
    </w:p>
    <w:p>
      <w:pPr>
        <w:pStyle w:val="9"/>
        <w:widowControl w:val="0"/>
        <w:spacing w:line="276" w:lineRule="auto"/>
        <w:jc w:val="both"/>
        <w:rPr>
          <w:rFonts w:ascii="微软雅黑" w:hAnsi="微软雅黑" w:eastAsia="微软雅黑" w:cs="华文宋体"/>
          <w:color w:val="auto"/>
          <w:sz w:val="28"/>
          <w:szCs w:val="28"/>
        </w:rPr>
      </w:pPr>
      <w:r>
        <w:rPr>
          <w:rFonts w:ascii="微软雅黑" w:hAnsi="微软雅黑" w:eastAsia="微软雅黑"/>
          <w:color w:val="auto"/>
          <w:sz w:val="28"/>
          <w:szCs w:val="28"/>
          <w:lang w:val="zh-TW" w:eastAsia="zh-TW"/>
        </w:rPr>
        <w:t>※</w:t>
      </w:r>
      <w:r>
        <w:rPr>
          <w:rFonts w:hint="eastAsia" w:ascii="微软雅黑" w:hAnsi="微软雅黑" w:eastAsia="微软雅黑"/>
          <w:color w:val="auto"/>
          <w:sz w:val="28"/>
          <w:szCs w:val="28"/>
          <w:lang w:val="zh-TW" w:eastAsia="zh-TW"/>
        </w:rPr>
        <w:t>节约人才引进高昂</w:t>
      </w:r>
      <w:r>
        <w:rPr>
          <w:rFonts w:ascii="微软雅黑" w:hAnsi="微软雅黑" w:eastAsia="微软雅黑"/>
          <w:color w:val="auto"/>
          <w:sz w:val="28"/>
          <w:szCs w:val="28"/>
          <w:lang w:val="zh-TW" w:eastAsia="zh-TW"/>
        </w:rPr>
        <w:t>成本</w:t>
      </w:r>
      <w:r>
        <w:rPr>
          <w:rFonts w:hint="eastAsia" w:ascii="微软雅黑" w:hAnsi="微软雅黑" w:eastAsia="微软雅黑"/>
          <w:color w:val="auto"/>
          <w:sz w:val="28"/>
          <w:szCs w:val="28"/>
          <w:lang w:val="zh-TW" w:eastAsia="zh-TW"/>
        </w:rPr>
        <w:t>，培养适用型高端人才擎动院校</w:t>
      </w:r>
      <w:r>
        <w:rPr>
          <w:rFonts w:ascii="微软雅黑" w:hAnsi="微软雅黑" w:eastAsia="微软雅黑"/>
          <w:color w:val="auto"/>
          <w:sz w:val="28"/>
          <w:szCs w:val="28"/>
          <w:lang w:val="zh-TW" w:eastAsia="zh-TW"/>
        </w:rPr>
        <w:t>高速</w:t>
      </w:r>
      <w:r>
        <w:rPr>
          <w:rFonts w:hint="eastAsia" w:ascii="微软雅黑" w:hAnsi="微软雅黑" w:eastAsia="微软雅黑"/>
          <w:color w:val="auto"/>
          <w:sz w:val="28"/>
          <w:szCs w:val="28"/>
          <w:lang w:val="zh-TW" w:eastAsia="zh-TW"/>
        </w:rPr>
        <w:t>发展。</w:t>
      </w:r>
    </w:p>
    <w:p>
      <w:pPr>
        <w:pStyle w:val="9"/>
        <w:widowControl w:val="0"/>
        <w:spacing w:line="276" w:lineRule="auto"/>
        <w:jc w:val="both"/>
        <w:outlineLvl w:val="0"/>
        <w:rPr>
          <w:rFonts w:ascii="微软雅黑" w:hAnsi="微软雅黑" w:eastAsia="微软雅黑" w:cs="华文宋体"/>
          <w:b/>
          <w:color w:val="auto"/>
          <w:sz w:val="28"/>
          <w:szCs w:val="28"/>
        </w:rPr>
      </w:pPr>
      <w:r>
        <w:rPr>
          <w:rFonts w:hint="eastAsia" w:ascii="微软雅黑" w:hAnsi="微软雅黑" w:eastAsia="微软雅黑"/>
          <w:b/>
          <w:color w:val="auto"/>
          <w:sz w:val="40"/>
          <w:szCs w:val="28"/>
          <w:u w:color="FF0000"/>
          <w:lang w:val="zh-TW" w:eastAsia="zh-TW"/>
        </w:rPr>
        <w:t>课程优势</w:t>
      </w:r>
      <w:r>
        <w:rPr>
          <w:rFonts w:ascii="微软雅黑" w:hAnsi="微软雅黑" w:eastAsia="微软雅黑"/>
          <w:b/>
          <w:color w:val="auto"/>
          <w:sz w:val="28"/>
          <w:szCs w:val="28"/>
        </w:rPr>
        <w:t xml:space="preserve">                    </w:t>
      </w:r>
    </w:p>
    <w:p>
      <w:pPr>
        <w:pStyle w:val="9"/>
        <w:widowControl w:val="0"/>
        <w:spacing w:line="276" w:lineRule="auto"/>
        <w:jc w:val="both"/>
        <w:rPr>
          <w:rFonts w:ascii="微软雅黑" w:hAnsi="微软雅黑" w:eastAsia="微软雅黑" w:cs="华文宋体"/>
          <w:b/>
          <w:color w:val="auto"/>
          <w:sz w:val="28"/>
          <w:szCs w:val="28"/>
        </w:rPr>
      </w:pPr>
      <w:r>
        <w:rPr>
          <w:rFonts w:hint="eastAsia" w:ascii="微软雅黑" w:hAnsi="微软雅黑" w:eastAsia="微软雅黑"/>
          <w:b/>
          <w:color w:val="auto"/>
          <w:sz w:val="28"/>
          <w:szCs w:val="28"/>
          <w:lang w:val="zh-TW" w:eastAsia="zh-TW"/>
        </w:rPr>
        <w:t>免联考申请入学</w:t>
      </w:r>
      <w:r>
        <w:rPr>
          <w:rFonts w:ascii="微软雅黑" w:hAnsi="微软雅黑" w:eastAsia="微软雅黑"/>
          <w:b/>
          <w:color w:val="auto"/>
          <w:sz w:val="28"/>
          <w:szCs w:val="28"/>
        </w:rPr>
        <w:t xml:space="preserve">   </w:t>
      </w:r>
    </w:p>
    <w:p>
      <w:pPr>
        <w:pStyle w:val="9"/>
        <w:widowControl w:val="0"/>
        <w:spacing w:line="276" w:lineRule="auto"/>
        <w:jc w:val="both"/>
        <w:rPr>
          <w:rFonts w:ascii="微软雅黑" w:hAnsi="微软雅黑" w:eastAsia="微软雅黑" w:cs="华文宋体"/>
          <w:color w:val="auto"/>
          <w:sz w:val="28"/>
          <w:szCs w:val="28"/>
        </w:rPr>
      </w:pPr>
      <w:r>
        <w:rPr>
          <w:rFonts w:hint="eastAsia" w:ascii="微软雅黑" w:hAnsi="微软雅黑" w:eastAsia="微软雅黑"/>
          <w:color w:val="auto"/>
          <w:sz w:val="28"/>
          <w:szCs w:val="28"/>
          <w:lang w:val="zh-TW" w:eastAsia="zh-TW"/>
        </w:rPr>
        <w:t>学校采用申请审核制，无雅思</w:t>
      </w:r>
      <w:r>
        <w:rPr>
          <w:rFonts w:ascii="微软雅黑" w:hAnsi="微软雅黑" w:eastAsia="微软雅黑"/>
          <w:color w:val="auto"/>
          <w:sz w:val="28"/>
          <w:szCs w:val="28"/>
          <w:u w:color="99403D"/>
          <w:lang w:val="zh-TW" w:eastAsia="zh-TW"/>
        </w:rPr>
        <w:t>或</w:t>
      </w:r>
      <w:r>
        <w:rPr>
          <w:rFonts w:hint="eastAsia" w:ascii="微软雅黑" w:hAnsi="微软雅黑" w:eastAsia="微软雅黑"/>
          <w:color w:val="auto"/>
          <w:sz w:val="28"/>
          <w:szCs w:val="28"/>
          <w:lang w:val="zh-TW" w:eastAsia="zh-TW"/>
        </w:rPr>
        <w:t>托福语言成绩硬性要求，仅需通过校内英语测试即可。</w:t>
      </w:r>
    </w:p>
    <w:p>
      <w:pPr>
        <w:pStyle w:val="9"/>
        <w:widowControl w:val="0"/>
        <w:spacing w:line="276" w:lineRule="auto"/>
        <w:jc w:val="both"/>
        <w:rPr>
          <w:rFonts w:ascii="微软雅黑" w:hAnsi="微软雅黑" w:eastAsia="微软雅黑" w:cs="华文宋体"/>
          <w:b/>
          <w:color w:val="auto"/>
          <w:sz w:val="28"/>
          <w:szCs w:val="28"/>
          <w:lang w:val="zh-TW" w:eastAsia="zh-TW"/>
        </w:rPr>
      </w:pPr>
      <w:r>
        <w:rPr>
          <w:rFonts w:hint="eastAsia" w:ascii="微软雅黑" w:hAnsi="微软雅黑" w:eastAsia="微软雅黑"/>
          <w:b/>
          <w:color w:val="auto"/>
          <w:sz w:val="28"/>
          <w:szCs w:val="28"/>
          <w:lang w:val="zh-TW" w:eastAsia="zh-TW"/>
        </w:rPr>
        <w:t xml:space="preserve">专业课中文授课   </w:t>
      </w:r>
    </w:p>
    <w:p>
      <w:pPr>
        <w:pStyle w:val="9"/>
        <w:widowControl w:val="0"/>
        <w:spacing w:line="276" w:lineRule="auto"/>
        <w:jc w:val="both"/>
        <w:rPr>
          <w:rFonts w:ascii="微软雅黑" w:hAnsi="微软雅黑" w:eastAsia="微软雅黑" w:cs="华文宋体"/>
          <w:color w:val="auto"/>
          <w:sz w:val="28"/>
          <w:szCs w:val="28"/>
          <w:lang w:val="zh-TW"/>
        </w:rPr>
      </w:pPr>
      <w:r>
        <w:rPr>
          <w:rFonts w:hint="eastAsia" w:ascii="微软雅黑" w:hAnsi="微软雅黑" w:eastAsia="微软雅黑"/>
          <w:color w:val="auto"/>
          <w:sz w:val="28"/>
          <w:szCs w:val="28"/>
          <w:lang w:val="zh-TW" w:eastAsia="zh-TW"/>
        </w:rPr>
        <w:t>专业课程中文授课，节省语言学习时间费用，让学生在没有语言障碍的情况下，轻松进入专业课程学习，并深度理解专业知识。</w:t>
      </w:r>
    </w:p>
    <w:p>
      <w:pPr>
        <w:pStyle w:val="9"/>
        <w:widowControl w:val="0"/>
        <w:spacing w:line="276" w:lineRule="auto"/>
        <w:jc w:val="both"/>
        <w:rPr>
          <w:rFonts w:ascii="微软雅黑" w:hAnsi="微软雅黑" w:eastAsia="微软雅黑" w:cs="华文宋体"/>
          <w:b/>
          <w:color w:val="auto"/>
          <w:sz w:val="28"/>
          <w:szCs w:val="28"/>
          <w:lang w:val="zh-TW" w:eastAsia="zh-TW"/>
        </w:rPr>
      </w:pPr>
      <w:r>
        <w:rPr>
          <w:rFonts w:hint="eastAsia" w:ascii="微软雅黑" w:hAnsi="微软雅黑" w:eastAsia="微软雅黑"/>
          <w:b/>
          <w:color w:val="auto"/>
          <w:sz w:val="28"/>
          <w:szCs w:val="28"/>
          <w:lang w:val="zh-TW" w:eastAsia="zh-TW"/>
        </w:rPr>
        <w:t xml:space="preserve">学习形式多样化   </w:t>
      </w:r>
    </w:p>
    <w:p>
      <w:pPr>
        <w:pStyle w:val="9"/>
        <w:widowControl w:val="0"/>
        <w:spacing w:line="276" w:lineRule="auto"/>
        <w:jc w:val="both"/>
        <w:rPr>
          <w:rFonts w:ascii="微软雅黑" w:hAnsi="微软雅黑" w:eastAsia="微软雅黑" w:cs="华文宋体"/>
          <w:color w:val="auto"/>
          <w:sz w:val="28"/>
          <w:szCs w:val="28"/>
          <w:u w:color="943634"/>
        </w:rPr>
      </w:pPr>
      <w:r>
        <w:rPr>
          <w:rFonts w:hint="eastAsia" w:ascii="微软雅黑" w:hAnsi="微软雅黑" w:eastAsia="微软雅黑"/>
          <w:color w:val="auto"/>
          <w:sz w:val="28"/>
          <w:szCs w:val="28"/>
          <w:u w:color="943634"/>
          <w:lang w:val="zh-TW" w:eastAsia="zh-TW"/>
        </w:rPr>
        <w:t>为有志于提升学历造诣者提供高端学习的平台和机会，中泰名校联合培养、学习方式灵活，</w:t>
      </w:r>
      <w:r>
        <w:rPr>
          <w:rFonts w:ascii="微软雅黑" w:hAnsi="微软雅黑" w:eastAsia="微软雅黑"/>
          <w:color w:val="auto"/>
          <w:sz w:val="28"/>
          <w:szCs w:val="28"/>
          <w:u w:color="943634"/>
          <w:lang w:val="zh-TW" w:eastAsia="zh-TW"/>
        </w:rPr>
        <w:t>让学员</w:t>
      </w:r>
      <w:r>
        <w:rPr>
          <w:rFonts w:hint="eastAsia" w:ascii="微软雅黑" w:hAnsi="微软雅黑" w:eastAsia="微软雅黑"/>
          <w:color w:val="auto"/>
          <w:sz w:val="28"/>
          <w:szCs w:val="28"/>
          <w:u w:color="943634"/>
          <w:lang w:val="zh-TW" w:eastAsia="zh-TW"/>
        </w:rPr>
        <w:t>不必因提升学历而放弃工作单位，同时还可以将工作过程变为研究过程（</w:t>
      </w:r>
      <w:r>
        <w:rPr>
          <w:rFonts w:ascii="微软雅黑" w:hAnsi="微软雅黑" w:eastAsia="微软雅黑"/>
          <w:color w:val="auto"/>
          <w:sz w:val="28"/>
          <w:szCs w:val="28"/>
          <w:lang w:val="zh-TW" w:eastAsia="zh-TW"/>
        </w:rPr>
        <w:t>论文研究数据的调研采集过程），</w:t>
      </w:r>
      <w:r>
        <w:rPr>
          <w:rFonts w:hint="eastAsia" w:ascii="微软雅黑" w:hAnsi="微软雅黑" w:eastAsia="微软雅黑"/>
          <w:color w:val="auto"/>
          <w:sz w:val="28"/>
          <w:szCs w:val="28"/>
          <w:u w:color="943634"/>
          <w:lang w:val="zh-TW" w:eastAsia="zh-TW"/>
        </w:rPr>
        <w:t>将国际前沿教育带至工作实践中，工作学习两不误。</w:t>
      </w:r>
    </w:p>
    <w:p>
      <w:pPr>
        <w:pStyle w:val="9"/>
        <w:widowControl w:val="0"/>
        <w:spacing w:line="276" w:lineRule="auto"/>
        <w:jc w:val="both"/>
        <w:rPr>
          <w:rFonts w:ascii="微软雅黑" w:hAnsi="微软雅黑" w:eastAsia="微软雅黑" w:cs="华文宋体"/>
          <w:color w:val="auto"/>
          <w:sz w:val="28"/>
          <w:szCs w:val="28"/>
          <w:u w:color="943634"/>
          <w:lang w:val="zh-TW" w:eastAsia="zh-TW"/>
        </w:rPr>
      </w:pPr>
      <w:r>
        <w:rPr>
          <w:rFonts w:hint="eastAsia" w:ascii="微软雅黑" w:hAnsi="微软雅黑" w:eastAsia="微软雅黑"/>
          <w:color w:val="auto"/>
          <w:sz w:val="28"/>
          <w:szCs w:val="28"/>
          <w:u w:color="943634"/>
          <w:lang w:val="zh-TW" w:eastAsia="zh-TW"/>
        </w:rPr>
        <w:t>中泰名校联合培养学生优享以下待遇：</w:t>
      </w:r>
    </w:p>
    <w:p>
      <w:pPr>
        <w:pStyle w:val="9"/>
        <w:widowControl w:val="0"/>
        <w:numPr>
          <w:ilvl w:val="0"/>
          <w:numId w:val="1"/>
        </w:numPr>
        <w:spacing w:line="276" w:lineRule="auto"/>
        <w:jc w:val="both"/>
        <w:rPr>
          <w:rFonts w:ascii="微软雅黑" w:hAnsi="微软雅黑" w:eastAsia="微软雅黑"/>
          <w:color w:val="auto"/>
          <w:sz w:val="28"/>
          <w:szCs w:val="28"/>
          <w:u w:val="single"/>
          <w:lang w:val="zh-TW" w:eastAsia="zh-TW"/>
        </w:rPr>
      </w:pPr>
      <w:r>
        <w:rPr>
          <w:rFonts w:ascii="微软雅黑" w:hAnsi="微软雅黑" w:eastAsia="微软雅黑"/>
          <w:color w:val="auto"/>
          <w:sz w:val="28"/>
          <w:szCs w:val="28"/>
          <w:u w:val="single"/>
          <w:lang w:val="zh-TW" w:eastAsia="zh-TW"/>
        </w:rPr>
        <w:t>每学年安排海外名企参观考察活动</w:t>
      </w:r>
    </w:p>
    <w:p>
      <w:pPr>
        <w:pStyle w:val="9"/>
        <w:widowControl w:val="0"/>
        <w:numPr>
          <w:ilvl w:val="0"/>
          <w:numId w:val="1"/>
        </w:numPr>
        <w:spacing w:line="276" w:lineRule="auto"/>
        <w:jc w:val="both"/>
        <w:rPr>
          <w:rFonts w:ascii="微软雅黑" w:hAnsi="微软雅黑" w:eastAsia="微软雅黑"/>
          <w:color w:val="auto"/>
          <w:sz w:val="28"/>
          <w:szCs w:val="28"/>
          <w:u w:val="single"/>
          <w:lang w:val="zh-TW" w:eastAsia="zh-TW"/>
        </w:rPr>
      </w:pPr>
      <w:r>
        <w:rPr>
          <w:rFonts w:ascii="微软雅黑" w:hAnsi="微软雅黑" w:eastAsia="微软雅黑"/>
          <w:color w:val="auto"/>
          <w:sz w:val="28"/>
          <w:szCs w:val="28"/>
          <w:u w:val="single"/>
          <w:lang w:val="zh-TW" w:eastAsia="zh-TW"/>
        </w:rPr>
        <w:t>每学年安排一次大型拓展训练，或者集体活动</w:t>
      </w:r>
    </w:p>
    <w:p>
      <w:pPr>
        <w:pStyle w:val="9"/>
        <w:widowControl w:val="0"/>
        <w:numPr>
          <w:ilvl w:val="0"/>
          <w:numId w:val="1"/>
        </w:numPr>
        <w:spacing w:line="276" w:lineRule="auto"/>
        <w:jc w:val="both"/>
        <w:rPr>
          <w:rFonts w:ascii="微软雅黑" w:hAnsi="微软雅黑" w:eastAsia="微软雅黑"/>
          <w:color w:val="auto"/>
          <w:sz w:val="28"/>
          <w:szCs w:val="28"/>
          <w:u w:val="single"/>
          <w:lang w:val="zh-TW" w:eastAsia="zh-TW"/>
        </w:rPr>
      </w:pPr>
      <w:r>
        <w:rPr>
          <w:rFonts w:ascii="微软雅黑" w:hAnsi="微软雅黑" w:eastAsia="微软雅黑"/>
          <w:color w:val="auto"/>
          <w:sz w:val="28"/>
          <w:szCs w:val="28"/>
          <w:u w:val="single"/>
          <w:lang w:val="zh-TW" w:eastAsia="zh-TW"/>
        </w:rPr>
        <w:t>学员毕业后，每年举行一次校友会活动，新老同学齐聚校园，共享资源人脉。</w:t>
      </w:r>
    </w:p>
    <w:p>
      <w:pPr>
        <w:pStyle w:val="9"/>
        <w:widowControl w:val="0"/>
        <w:numPr>
          <w:ilvl w:val="0"/>
          <w:numId w:val="1"/>
        </w:numPr>
        <w:spacing w:line="276" w:lineRule="auto"/>
        <w:jc w:val="both"/>
        <w:rPr>
          <w:rFonts w:ascii="微软雅黑" w:hAnsi="微软雅黑" w:eastAsia="微软雅黑"/>
          <w:color w:val="auto"/>
          <w:sz w:val="28"/>
          <w:szCs w:val="28"/>
          <w:u w:val="single"/>
          <w:lang w:val="zh-TW" w:eastAsia="zh-TW"/>
        </w:rPr>
      </w:pPr>
      <w:r>
        <w:rPr>
          <w:rFonts w:ascii="微软雅黑" w:hAnsi="微软雅黑" w:eastAsia="微软雅黑"/>
          <w:color w:val="auto"/>
          <w:sz w:val="28"/>
          <w:szCs w:val="28"/>
          <w:u w:val="single"/>
          <w:lang w:val="zh-TW" w:eastAsia="zh-TW"/>
        </w:rPr>
        <w:t>学员学习期间家人随同，校方指导安排中文导游并设计特色旅游路线</w:t>
      </w:r>
    </w:p>
    <w:p>
      <w:pPr>
        <w:pStyle w:val="9"/>
        <w:widowControl w:val="0"/>
        <w:numPr>
          <w:ilvl w:val="0"/>
          <w:numId w:val="1"/>
        </w:numPr>
        <w:spacing w:line="276" w:lineRule="auto"/>
        <w:jc w:val="both"/>
        <w:rPr>
          <w:rFonts w:ascii="微软雅黑" w:hAnsi="微软雅黑" w:eastAsia="微软雅黑"/>
          <w:color w:val="auto"/>
          <w:sz w:val="28"/>
          <w:szCs w:val="28"/>
          <w:u w:val="single"/>
          <w:lang w:val="zh-TW"/>
        </w:rPr>
      </w:pPr>
      <w:r>
        <w:rPr>
          <w:rFonts w:ascii="微软雅黑" w:hAnsi="微软雅黑" w:eastAsia="微软雅黑"/>
          <w:color w:val="auto"/>
          <w:sz w:val="28"/>
          <w:szCs w:val="28"/>
          <w:u w:val="single"/>
          <w:lang w:val="zh-TW" w:eastAsia="zh-TW"/>
        </w:rPr>
        <w:t>根据学员企业所在省市联合各省市侨联侨办外办举办相关校友联谊活动</w:t>
      </w:r>
    </w:p>
    <w:p>
      <w:pPr>
        <w:pStyle w:val="9"/>
        <w:widowControl w:val="0"/>
        <w:numPr>
          <w:ilvl w:val="0"/>
          <w:numId w:val="1"/>
        </w:numPr>
        <w:spacing w:line="276" w:lineRule="auto"/>
        <w:jc w:val="both"/>
        <w:rPr>
          <w:rFonts w:ascii="微软雅黑" w:hAnsi="微软雅黑" w:eastAsia="微软雅黑"/>
          <w:color w:val="auto"/>
          <w:sz w:val="28"/>
          <w:szCs w:val="28"/>
          <w:u w:val="single"/>
          <w:lang w:val="zh-TW" w:eastAsia="zh-TW"/>
        </w:rPr>
      </w:pPr>
      <w:r>
        <w:rPr>
          <w:rFonts w:hint="eastAsia" w:ascii="微软雅黑" w:hAnsi="微软雅黑" w:eastAsia="微软雅黑"/>
          <w:color w:val="auto"/>
          <w:sz w:val="28"/>
          <w:szCs w:val="28"/>
          <w:u w:val="single"/>
          <w:lang w:val="zh-TW"/>
        </w:rPr>
        <w:t>提供国内外学术会议</w:t>
      </w:r>
      <w:r>
        <w:rPr>
          <w:rFonts w:ascii="微软雅黑" w:hAnsi="微软雅黑" w:eastAsia="微软雅黑"/>
          <w:color w:val="auto"/>
          <w:sz w:val="28"/>
          <w:szCs w:val="28"/>
          <w:u w:val="single"/>
          <w:lang w:val="zh-TW" w:eastAsia="zh-TW"/>
        </w:rPr>
        <w:t>或东盟商界高端论坛</w:t>
      </w:r>
      <w:r>
        <w:rPr>
          <w:rFonts w:hint="eastAsia" w:ascii="微软雅黑" w:hAnsi="微软雅黑" w:eastAsia="微软雅黑"/>
          <w:color w:val="auto"/>
          <w:sz w:val="28"/>
          <w:szCs w:val="28"/>
          <w:u w:val="single"/>
          <w:lang w:val="zh-TW"/>
        </w:rPr>
        <w:t xml:space="preserve">的的机会 </w:t>
      </w:r>
    </w:p>
    <w:p>
      <w:pPr>
        <w:pStyle w:val="9"/>
        <w:widowControl w:val="0"/>
        <w:spacing w:line="276" w:lineRule="auto"/>
        <w:jc w:val="both"/>
        <w:rPr>
          <w:rFonts w:ascii="微软雅黑" w:hAnsi="微软雅黑" w:eastAsia="微软雅黑" w:cs="华文宋体"/>
          <w:b/>
          <w:color w:val="auto"/>
          <w:sz w:val="28"/>
          <w:szCs w:val="28"/>
          <w:u w:color="943634"/>
        </w:rPr>
      </w:pPr>
      <w:r>
        <w:rPr>
          <w:rFonts w:hint="cs" w:ascii="微软雅黑" w:hAnsi="微软雅黑" w:eastAsia="微软雅黑" w:cs="华文宋体"/>
          <w:b/>
          <w:color w:val="auto"/>
          <w:sz w:val="28"/>
          <w:szCs w:val="28"/>
          <w:u w:color="943634"/>
        </w:rPr>
        <w:t>学政商跨界导师</w:t>
      </w:r>
    </w:p>
    <w:p>
      <w:pPr>
        <w:pStyle w:val="9"/>
        <w:widowControl w:val="0"/>
        <w:spacing w:line="276" w:lineRule="auto"/>
        <w:jc w:val="both"/>
        <w:rPr>
          <w:rFonts w:ascii="微软雅黑" w:hAnsi="微软雅黑" w:eastAsia="微软雅黑" w:cs="华文宋体"/>
          <w:color w:val="auto"/>
          <w:sz w:val="28"/>
          <w:szCs w:val="28"/>
          <w:u w:color="943634"/>
          <w:lang w:eastAsia="zh-TW"/>
        </w:rPr>
      </w:pPr>
      <w:r>
        <w:rPr>
          <w:rFonts w:hint="cs" w:ascii="微软雅黑" w:hAnsi="微软雅黑" w:eastAsia="微软雅黑" w:cs="华文宋体"/>
          <w:color w:val="auto"/>
          <w:sz w:val="28"/>
          <w:szCs w:val="28"/>
          <w:u w:color="943634"/>
        </w:rPr>
        <w:t>泰国格乐大学与中国多所名校数十名专家学者联合中国相关省市侨联侨办外办共建成立</w:t>
      </w:r>
      <w:r>
        <w:rPr>
          <w:rFonts w:ascii="微软雅黑" w:hAnsi="微软雅黑" w:eastAsia="微软雅黑" w:cs="华文宋体"/>
          <w:color w:val="auto"/>
          <w:sz w:val="28"/>
          <w:szCs w:val="28"/>
          <w:u w:color="943634"/>
        </w:rPr>
        <w:t>“</w:t>
      </w:r>
      <w:r>
        <w:rPr>
          <w:rFonts w:hint="cs" w:ascii="微软雅黑" w:hAnsi="微软雅黑" w:eastAsia="微软雅黑" w:cs="华文宋体"/>
          <w:color w:val="auto"/>
          <w:sz w:val="28"/>
          <w:szCs w:val="28"/>
          <w:u w:color="943634"/>
        </w:rPr>
        <w:t>一带一路</w:t>
      </w:r>
      <w:r>
        <w:rPr>
          <w:rFonts w:ascii="微软雅黑" w:hAnsi="微软雅黑" w:eastAsia="微软雅黑" w:cs="华文宋体"/>
          <w:color w:val="auto"/>
          <w:sz w:val="28"/>
          <w:szCs w:val="28"/>
          <w:u w:color="943634"/>
        </w:rPr>
        <w:t>”</w:t>
      </w:r>
      <w:r>
        <w:rPr>
          <w:rFonts w:hint="cs" w:ascii="微软雅黑" w:hAnsi="微软雅黑" w:eastAsia="微软雅黑" w:cs="华文宋体"/>
          <w:color w:val="auto"/>
          <w:sz w:val="28"/>
          <w:szCs w:val="28"/>
          <w:u w:color="943634"/>
        </w:rPr>
        <w:t>中国东盟战略发展研究院，</w:t>
      </w:r>
      <w:r>
        <w:rPr>
          <w:rFonts w:hint="eastAsia" w:ascii="微软雅黑" w:hAnsi="微软雅黑" w:eastAsia="微软雅黑" w:cs="华文宋体"/>
          <w:color w:val="auto"/>
          <w:sz w:val="28"/>
          <w:szCs w:val="28"/>
          <w:u w:color="943634"/>
        </w:rPr>
        <w:t>博士</w:t>
      </w:r>
      <w:r>
        <w:rPr>
          <w:rFonts w:ascii="微软雅黑" w:hAnsi="微软雅黑" w:eastAsia="微软雅黑" w:cs="华文宋体"/>
          <w:color w:val="auto"/>
          <w:sz w:val="28"/>
          <w:szCs w:val="28"/>
          <w:u w:color="943634"/>
        </w:rPr>
        <w:t>学员自动成为该院课题研究组成员，</w:t>
      </w:r>
      <w:r>
        <w:rPr>
          <w:rFonts w:hint="cs" w:ascii="微软雅黑" w:hAnsi="微软雅黑" w:eastAsia="微软雅黑" w:cs="华文宋体"/>
          <w:color w:val="auto"/>
          <w:sz w:val="28"/>
          <w:szCs w:val="28"/>
          <w:u w:color="943634"/>
        </w:rPr>
        <w:t>特设由资深教授、金融界知名企业家、政界领导、杰出校友组成的学政商跨界导师</w:t>
      </w:r>
      <w:r>
        <w:rPr>
          <w:rFonts w:hint="eastAsia" w:ascii="微软雅黑" w:hAnsi="微软雅黑" w:eastAsia="微软雅黑" w:cs="华文宋体"/>
          <w:color w:val="auto"/>
          <w:sz w:val="28"/>
          <w:szCs w:val="28"/>
          <w:u w:color="943634"/>
        </w:rPr>
        <w:t>团</w:t>
      </w:r>
      <w:r>
        <w:rPr>
          <w:rFonts w:hint="cs" w:ascii="微软雅黑" w:hAnsi="微软雅黑" w:eastAsia="微软雅黑" w:cs="华文宋体"/>
          <w:color w:val="auto"/>
          <w:sz w:val="28"/>
          <w:szCs w:val="28"/>
          <w:u w:color="943634"/>
        </w:rPr>
        <w:t>，强调学术应用与管理实践并重，聚焦国际视野广度，切实联系中国式管理议题与挑战，结合一带一路有关研究课题，融汇贯通，全面锻炼学生研究能力，培养承接中国</w:t>
      </w:r>
      <w:r>
        <w:rPr>
          <w:rFonts w:ascii="微软雅黑" w:hAnsi="微软雅黑" w:eastAsia="微软雅黑" w:cs="华文宋体"/>
          <w:color w:val="auto"/>
          <w:sz w:val="28"/>
          <w:szCs w:val="28"/>
          <w:u w:color="943634"/>
        </w:rPr>
        <w:t>-东盟经济格局升级裂变的理论学者，打造世界级研究型商业解决方案的最佳实践专家。</w:t>
      </w:r>
    </w:p>
    <w:p>
      <w:pPr>
        <w:pStyle w:val="9"/>
        <w:widowControl w:val="0"/>
        <w:spacing w:line="276" w:lineRule="auto"/>
        <w:jc w:val="both"/>
        <w:rPr>
          <w:rFonts w:ascii="微软雅黑" w:hAnsi="微软雅黑" w:eastAsia="微软雅黑" w:cs="华文宋体"/>
          <w:b/>
          <w:color w:val="auto"/>
          <w:sz w:val="28"/>
          <w:szCs w:val="28"/>
          <w:lang w:val="zh-TW" w:eastAsia="zh-TW"/>
        </w:rPr>
      </w:pPr>
      <w:r>
        <w:rPr>
          <w:rFonts w:hint="eastAsia" w:ascii="微软雅黑" w:hAnsi="微软雅黑" w:eastAsia="微软雅黑"/>
          <w:b/>
          <w:color w:val="auto"/>
          <w:sz w:val="28"/>
          <w:szCs w:val="28"/>
          <w:lang w:val="zh-TW" w:eastAsia="zh-TW"/>
        </w:rPr>
        <w:t xml:space="preserve">一站式全程管理   </w:t>
      </w:r>
    </w:p>
    <w:p>
      <w:pPr>
        <w:pStyle w:val="9"/>
        <w:widowControl w:val="0"/>
        <w:spacing w:line="276" w:lineRule="auto"/>
        <w:jc w:val="both"/>
        <w:rPr>
          <w:rFonts w:ascii="微软雅黑" w:hAnsi="微软雅黑" w:eastAsia="微软雅黑" w:cs="华文宋体"/>
          <w:color w:val="auto"/>
          <w:sz w:val="28"/>
          <w:szCs w:val="28"/>
        </w:rPr>
      </w:pPr>
      <w:r>
        <w:rPr>
          <w:rFonts w:hint="eastAsia" w:ascii="微软雅黑" w:hAnsi="微软雅黑" w:eastAsia="微软雅黑"/>
          <w:color w:val="auto"/>
          <w:sz w:val="28"/>
          <w:szCs w:val="28"/>
          <w:lang w:val="zh-TW" w:eastAsia="zh-TW"/>
        </w:rPr>
        <w:t>特设专职精通中泰双语教务老师为学生服务，如办理签证、入学手续、学习管理、生活服务、毕业</w:t>
      </w:r>
      <w:r>
        <w:rPr>
          <w:rFonts w:hint="eastAsia" w:ascii="微软雅黑" w:hAnsi="微软雅黑" w:eastAsia="微软雅黑"/>
          <w:color w:val="auto"/>
          <w:sz w:val="28"/>
          <w:szCs w:val="28"/>
          <w:u w:color="943634"/>
          <w:lang w:val="zh-TW" w:eastAsia="zh-TW"/>
        </w:rPr>
        <w:t>各项</w:t>
      </w:r>
      <w:r>
        <w:rPr>
          <w:rFonts w:hint="eastAsia" w:ascii="微软雅黑" w:hAnsi="微软雅黑" w:eastAsia="微软雅黑"/>
          <w:color w:val="auto"/>
          <w:sz w:val="28"/>
          <w:szCs w:val="28"/>
          <w:lang w:val="zh-TW" w:eastAsia="zh-TW"/>
        </w:rPr>
        <w:t>认证、档案存放等全程一站式指导服务</w:t>
      </w:r>
      <w:r>
        <w:rPr>
          <w:rFonts w:ascii="微软雅黑" w:hAnsi="微软雅黑" w:eastAsia="微软雅黑"/>
          <w:color w:val="auto"/>
          <w:sz w:val="28"/>
          <w:szCs w:val="28"/>
        </w:rPr>
        <w:t>,</w:t>
      </w:r>
      <w:r>
        <w:rPr>
          <w:rFonts w:hint="eastAsia" w:ascii="微软雅黑" w:hAnsi="微软雅黑" w:eastAsia="微软雅黑"/>
          <w:color w:val="auto"/>
          <w:sz w:val="28"/>
          <w:szCs w:val="28"/>
          <w:lang w:val="zh-TW" w:eastAsia="zh-TW"/>
        </w:rPr>
        <w:t>并不定期向家长通报学生在国外学习、生活情况。</w:t>
      </w:r>
    </w:p>
    <w:p>
      <w:pPr>
        <w:pStyle w:val="9"/>
        <w:widowControl w:val="0"/>
        <w:spacing w:line="276" w:lineRule="auto"/>
        <w:jc w:val="both"/>
        <w:rPr>
          <w:rFonts w:ascii="微软雅黑" w:hAnsi="微软雅黑" w:eastAsia="微软雅黑" w:cs="华文宋体"/>
          <w:b/>
          <w:color w:val="auto"/>
          <w:sz w:val="28"/>
          <w:szCs w:val="28"/>
        </w:rPr>
      </w:pPr>
      <w:r>
        <w:rPr>
          <w:rFonts w:hint="eastAsia" w:ascii="微软雅黑" w:hAnsi="微软雅黑" w:eastAsia="微软雅黑"/>
          <w:b/>
          <w:color w:val="auto"/>
          <w:sz w:val="28"/>
          <w:szCs w:val="28"/>
          <w:lang w:val="zh-TW" w:eastAsia="zh-TW"/>
        </w:rPr>
        <w:t>文凭教育部认证</w:t>
      </w:r>
      <w:r>
        <w:rPr>
          <w:rFonts w:ascii="微软雅黑" w:hAnsi="微软雅黑" w:eastAsia="微软雅黑"/>
          <w:b/>
          <w:color w:val="auto"/>
          <w:sz w:val="28"/>
          <w:szCs w:val="28"/>
        </w:rPr>
        <w:t xml:space="preserve">   </w:t>
      </w:r>
    </w:p>
    <w:p>
      <w:pPr>
        <w:pStyle w:val="9"/>
        <w:widowControl w:val="0"/>
        <w:spacing w:line="276" w:lineRule="auto"/>
        <w:jc w:val="both"/>
        <w:rPr>
          <w:rFonts w:ascii="微软雅黑" w:hAnsi="微软雅黑" w:eastAsia="微软雅黑" w:cs="华文宋体"/>
          <w:color w:val="auto"/>
          <w:sz w:val="28"/>
          <w:szCs w:val="28"/>
          <w:u w:color="943634"/>
        </w:rPr>
      </w:pPr>
      <w:r>
        <w:rPr>
          <w:rFonts w:hint="eastAsia" w:ascii="微软雅黑" w:hAnsi="微软雅黑" w:eastAsia="微软雅黑"/>
          <w:color w:val="auto"/>
          <w:sz w:val="28"/>
          <w:szCs w:val="28"/>
          <w:u w:color="943634"/>
          <w:lang w:val="zh-TW" w:eastAsia="zh-TW"/>
        </w:rPr>
        <w:t>泰国格乐大学是中泰高等教育学历学位互认协定院校，所颁发文凭可申请获得中国教育部留学服务中心国（境）外学历学位认证书》，学历国际认可、全球通用、移民加分。可按国家组织人事部门的考核入档，是享受国内统招毕业生待遇、报考公务员和在企事业单位升职的重要依据</w:t>
      </w:r>
      <w:r>
        <w:rPr>
          <w:rFonts w:ascii="微软雅黑" w:hAnsi="微软雅黑" w:eastAsia="微软雅黑"/>
          <w:color w:val="auto"/>
          <w:sz w:val="28"/>
          <w:szCs w:val="28"/>
          <w:u w:color="943634"/>
        </w:rPr>
        <w:t xml:space="preserve">, </w:t>
      </w:r>
      <w:r>
        <w:rPr>
          <w:rFonts w:hint="eastAsia" w:ascii="微软雅黑" w:hAnsi="微软雅黑" w:eastAsia="微软雅黑"/>
          <w:color w:val="auto"/>
          <w:sz w:val="28"/>
          <w:szCs w:val="28"/>
          <w:u w:color="943634"/>
          <w:lang w:val="zh-TW" w:eastAsia="zh-TW"/>
        </w:rPr>
        <w:t>满足升学、就业及参加各类专业资格考试等需求。需开具《留学回国人员证明》者须满足中国驻泰王国大使馆教育组的境外学习时长等当期政策规定（目前是按标准学制每年境外学习时间满</w:t>
      </w:r>
      <w:r>
        <w:rPr>
          <w:rFonts w:ascii="微软雅黑" w:hAnsi="微软雅黑" w:eastAsia="微软雅黑"/>
          <w:color w:val="auto"/>
          <w:sz w:val="28"/>
          <w:szCs w:val="28"/>
          <w:u w:color="943634"/>
        </w:rPr>
        <w:t>9</w:t>
      </w:r>
      <w:r>
        <w:rPr>
          <w:rFonts w:hint="eastAsia" w:ascii="微软雅黑" w:hAnsi="微软雅黑" w:eastAsia="微软雅黑"/>
          <w:color w:val="auto"/>
          <w:sz w:val="28"/>
          <w:szCs w:val="28"/>
          <w:u w:color="943634"/>
          <w:lang w:val="zh-TW" w:eastAsia="zh-TW"/>
        </w:rPr>
        <w:t>个月），即可尊享高层次海归人员免税购车、购房、创业等待遇。</w:t>
      </w:r>
    </w:p>
    <w:p>
      <w:pPr>
        <w:pStyle w:val="9"/>
        <w:widowControl w:val="0"/>
        <w:spacing w:line="276" w:lineRule="auto"/>
        <w:jc w:val="both"/>
        <w:rPr>
          <w:rFonts w:ascii="微软雅黑" w:hAnsi="微软雅黑" w:eastAsia="微软雅黑"/>
          <w:color w:val="auto"/>
          <w:sz w:val="28"/>
          <w:szCs w:val="28"/>
          <w:u w:color="FF0000"/>
          <w:lang w:val="zh-TW"/>
        </w:rPr>
      </w:pPr>
    </w:p>
    <w:p>
      <w:pPr>
        <w:pStyle w:val="9"/>
        <w:widowControl w:val="0"/>
        <w:spacing w:line="276" w:lineRule="auto"/>
        <w:jc w:val="both"/>
        <w:rPr>
          <w:rFonts w:ascii="微软雅黑" w:hAnsi="微软雅黑" w:eastAsia="微软雅黑" w:cs="华文宋体"/>
          <w:b/>
          <w:color w:val="auto"/>
          <w:sz w:val="40"/>
          <w:szCs w:val="28"/>
          <w:u w:color="943634"/>
        </w:rPr>
      </w:pPr>
      <w:r>
        <w:rPr>
          <w:rFonts w:hint="eastAsia" w:ascii="微软雅黑" w:hAnsi="微软雅黑" w:eastAsia="微软雅黑"/>
          <w:b/>
          <w:color w:val="auto"/>
          <w:sz w:val="40"/>
          <w:szCs w:val="28"/>
          <w:u w:color="FF0000"/>
          <w:lang w:val="zh-TW" w:eastAsia="zh-TW"/>
        </w:rPr>
        <w:t>学习安排</w:t>
      </w:r>
      <w:r>
        <w:rPr>
          <w:rFonts w:ascii="微软雅黑" w:hAnsi="微软雅黑" w:eastAsia="微软雅黑"/>
          <w:b/>
          <w:color w:val="auto"/>
          <w:sz w:val="40"/>
          <w:szCs w:val="28"/>
        </w:rPr>
        <w:t xml:space="preserve">   </w:t>
      </w:r>
    </w:p>
    <w:p>
      <w:pPr>
        <w:pStyle w:val="9"/>
        <w:spacing w:line="276" w:lineRule="auto"/>
        <w:rPr>
          <w:rFonts w:ascii="微软雅黑" w:hAnsi="微软雅黑" w:eastAsia="微软雅黑" w:cs="华文宋体"/>
          <w:color w:val="auto"/>
          <w:sz w:val="28"/>
          <w:szCs w:val="28"/>
          <w:lang w:val="zh-TW"/>
        </w:rPr>
      </w:pPr>
      <w:r>
        <w:rPr>
          <w:rFonts w:hint="eastAsia" w:ascii="微软雅黑" w:hAnsi="微软雅黑" w:eastAsia="微软雅黑"/>
          <w:b/>
          <w:color w:val="auto"/>
          <w:sz w:val="28"/>
          <w:szCs w:val="28"/>
          <w:lang w:val="zh-TW" w:eastAsia="zh-TW"/>
        </w:rPr>
        <w:t>开学时间</w:t>
      </w:r>
      <w:r>
        <w:rPr>
          <w:rFonts w:hint="eastAsia" w:ascii="微软雅黑" w:hAnsi="微软雅黑" w:eastAsia="微软雅黑"/>
          <w:color w:val="auto"/>
          <w:sz w:val="28"/>
          <w:szCs w:val="28"/>
          <w:lang w:val="zh-TW" w:eastAsia="zh-TW"/>
        </w:rPr>
        <w:t xml:space="preserve">   </w:t>
      </w:r>
      <w:r>
        <w:rPr>
          <w:rFonts w:hint="eastAsia" w:ascii="微软雅黑" w:hAnsi="微软雅黑" w:eastAsia="微软雅黑"/>
          <w:color w:val="auto"/>
          <w:sz w:val="28"/>
          <w:szCs w:val="28"/>
          <w:lang w:val="zh-TW"/>
        </w:rPr>
        <w:t>硕士</w:t>
      </w:r>
      <w:r>
        <w:rPr>
          <w:rFonts w:hint="eastAsia" w:ascii="微软雅黑" w:hAnsi="微软雅黑" w:eastAsia="微软雅黑"/>
          <w:color w:val="auto"/>
          <w:sz w:val="28"/>
          <w:szCs w:val="28"/>
          <w:u w:color="943634"/>
          <w:lang w:val="zh-TW" w:eastAsia="zh-TW"/>
        </w:rPr>
        <w:t>每年的</w:t>
      </w:r>
      <w:r>
        <w:rPr>
          <w:rFonts w:ascii="微软雅黑" w:hAnsi="微软雅黑" w:eastAsia="微软雅黑"/>
          <w:color w:val="auto"/>
          <w:sz w:val="28"/>
          <w:szCs w:val="28"/>
          <w:u w:color="943634"/>
          <w:lang w:val="zh-TW" w:eastAsia="zh-TW"/>
        </w:rPr>
        <w:t>1</w:t>
      </w:r>
      <w:r>
        <w:rPr>
          <w:rFonts w:hint="eastAsia" w:ascii="微软雅黑" w:hAnsi="微软雅黑" w:eastAsia="微软雅黑"/>
          <w:color w:val="auto"/>
          <w:sz w:val="28"/>
          <w:szCs w:val="28"/>
          <w:u w:color="943634"/>
          <w:lang w:val="zh-TW" w:eastAsia="zh-TW"/>
        </w:rPr>
        <w:t>月、</w:t>
      </w:r>
      <w:r>
        <w:rPr>
          <w:rFonts w:hint="eastAsia" w:ascii="微软雅黑" w:hAnsi="微软雅黑" w:eastAsia="微软雅黑"/>
          <w:color w:val="auto"/>
          <w:sz w:val="28"/>
          <w:szCs w:val="28"/>
          <w:u w:color="943634"/>
          <w:lang w:val="zh-TW"/>
        </w:rPr>
        <w:t>4月、7</w:t>
      </w:r>
      <w:r>
        <w:rPr>
          <w:rFonts w:hint="eastAsia" w:ascii="微软雅黑" w:hAnsi="微软雅黑" w:eastAsia="微软雅黑"/>
          <w:color w:val="auto"/>
          <w:sz w:val="28"/>
          <w:szCs w:val="28"/>
          <w:u w:color="943634"/>
          <w:lang w:val="zh-TW" w:eastAsia="zh-TW"/>
        </w:rPr>
        <w:t>月</w:t>
      </w:r>
      <w:r>
        <w:rPr>
          <w:rFonts w:hint="eastAsia" w:ascii="微软雅黑" w:hAnsi="微软雅黑" w:eastAsia="微软雅黑"/>
          <w:color w:val="auto"/>
          <w:sz w:val="28"/>
          <w:szCs w:val="28"/>
          <w:u w:color="943634"/>
          <w:lang w:val="zh-TW"/>
        </w:rPr>
        <w:t>、10月，博士</w:t>
      </w:r>
      <w:r>
        <w:rPr>
          <w:rFonts w:hint="eastAsia" w:ascii="微软雅黑" w:hAnsi="微软雅黑" w:eastAsia="微软雅黑"/>
          <w:color w:val="auto"/>
          <w:sz w:val="28"/>
          <w:szCs w:val="28"/>
          <w:u w:color="943634"/>
          <w:lang w:val="zh-TW" w:eastAsia="zh-TW"/>
        </w:rPr>
        <w:t>每年的</w:t>
      </w:r>
      <w:r>
        <w:rPr>
          <w:rFonts w:ascii="微软雅黑" w:hAnsi="微软雅黑" w:eastAsia="微软雅黑"/>
          <w:color w:val="auto"/>
          <w:sz w:val="28"/>
          <w:szCs w:val="28"/>
          <w:u w:color="943634"/>
          <w:lang w:val="zh-TW" w:eastAsia="zh-TW"/>
        </w:rPr>
        <w:t>1</w:t>
      </w:r>
      <w:r>
        <w:rPr>
          <w:rFonts w:hint="eastAsia" w:ascii="微软雅黑" w:hAnsi="微软雅黑" w:eastAsia="微软雅黑"/>
          <w:color w:val="auto"/>
          <w:sz w:val="28"/>
          <w:szCs w:val="28"/>
          <w:u w:color="943634"/>
          <w:lang w:val="zh-TW" w:eastAsia="zh-TW"/>
        </w:rPr>
        <w:t>月、</w:t>
      </w:r>
      <w:r>
        <w:rPr>
          <w:rFonts w:hint="eastAsia" w:ascii="微软雅黑" w:hAnsi="微软雅黑" w:eastAsia="微软雅黑"/>
          <w:color w:val="auto"/>
          <w:sz w:val="28"/>
          <w:szCs w:val="28"/>
          <w:u w:color="943634"/>
          <w:lang w:val="zh-TW"/>
        </w:rPr>
        <w:t>7</w:t>
      </w:r>
      <w:r>
        <w:rPr>
          <w:rFonts w:hint="eastAsia" w:ascii="微软雅黑" w:hAnsi="微软雅黑" w:eastAsia="微软雅黑"/>
          <w:color w:val="auto"/>
          <w:sz w:val="28"/>
          <w:szCs w:val="28"/>
          <w:u w:color="943634"/>
          <w:lang w:val="zh-TW" w:eastAsia="zh-TW"/>
        </w:rPr>
        <w:t>月</w:t>
      </w:r>
    </w:p>
    <w:p>
      <w:pPr>
        <w:pStyle w:val="9"/>
        <w:spacing w:line="276" w:lineRule="auto"/>
        <w:outlineLvl w:val="0"/>
        <w:rPr>
          <w:rFonts w:ascii="微软雅黑" w:hAnsi="微软雅黑" w:eastAsia="微软雅黑" w:cs="华文宋体"/>
          <w:color w:val="auto"/>
          <w:sz w:val="28"/>
          <w:szCs w:val="28"/>
          <w:lang w:val="zh-TW" w:eastAsia="zh-TW"/>
        </w:rPr>
      </w:pPr>
      <w:r>
        <w:rPr>
          <w:rFonts w:hint="eastAsia" w:ascii="微软雅黑" w:hAnsi="微软雅黑" w:eastAsia="微软雅黑"/>
          <w:b/>
          <w:color w:val="auto"/>
          <w:sz w:val="28"/>
          <w:szCs w:val="28"/>
          <w:lang w:val="zh-TW" w:eastAsia="zh-TW"/>
        </w:rPr>
        <w:t xml:space="preserve">招生计划 </w:t>
      </w:r>
      <w:r>
        <w:rPr>
          <w:rFonts w:hint="eastAsia" w:ascii="微软雅黑" w:hAnsi="微软雅黑" w:eastAsia="微软雅黑"/>
          <w:color w:val="auto"/>
          <w:sz w:val="28"/>
          <w:szCs w:val="28"/>
          <w:lang w:val="zh-TW" w:eastAsia="zh-TW"/>
        </w:rPr>
        <w:t xml:space="preserve">  每期</w:t>
      </w:r>
      <w:r>
        <w:rPr>
          <w:rFonts w:ascii="微软雅黑" w:hAnsi="微软雅黑" w:eastAsia="微软雅黑"/>
          <w:color w:val="auto"/>
          <w:sz w:val="28"/>
          <w:szCs w:val="28"/>
          <w:lang w:val="zh-TW" w:eastAsia="zh-TW"/>
        </w:rPr>
        <w:t>20</w:t>
      </w:r>
      <w:r>
        <w:rPr>
          <w:rFonts w:hint="eastAsia" w:ascii="微软雅黑" w:hAnsi="微软雅黑" w:eastAsia="微软雅黑"/>
          <w:color w:val="auto"/>
          <w:sz w:val="28"/>
          <w:szCs w:val="28"/>
          <w:lang w:val="zh-TW" w:eastAsia="zh-TW"/>
        </w:rPr>
        <w:t>人</w:t>
      </w:r>
    </w:p>
    <w:p>
      <w:pPr>
        <w:pStyle w:val="9"/>
        <w:widowControl w:val="0"/>
        <w:spacing w:line="276" w:lineRule="auto"/>
        <w:jc w:val="both"/>
        <w:rPr>
          <w:rFonts w:ascii="微软雅黑" w:hAnsi="微软雅黑" w:eastAsia="微软雅黑" w:cs="华文宋体"/>
          <w:color w:val="auto"/>
          <w:sz w:val="28"/>
          <w:szCs w:val="28"/>
        </w:rPr>
      </w:pPr>
      <w:r>
        <w:rPr>
          <w:rFonts w:hint="eastAsia" w:ascii="微软雅黑" w:hAnsi="微软雅黑" w:eastAsia="微软雅黑"/>
          <w:b/>
          <w:color w:val="auto"/>
          <w:sz w:val="28"/>
          <w:szCs w:val="28"/>
          <w:lang w:val="zh-TW" w:eastAsia="zh-TW"/>
        </w:rPr>
        <w:t>招生对象</w:t>
      </w:r>
      <w:r>
        <w:rPr>
          <w:rFonts w:hint="eastAsia" w:ascii="微软雅黑" w:hAnsi="微软雅黑" w:eastAsia="微软雅黑"/>
          <w:color w:val="auto"/>
          <w:sz w:val="28"/>
          <w:szCs w:val="28"/>
          <w:lang w:val="zh-TW" w:eastAsia="zh-TW"/>
        </w:rPr>
        <w:t xml:space="preserve">   中国</w:t>
      </w:r>
      <w:r>
        <w:rPr>
          <w:rFonts w:ascii="微软雅黑" w:hAnsi="微软雅黑" w:eastAsia="微软雅黑"/>
          <w:color w:val="auto"/>
          <w:sz w:val="28"/>
          <w:szCs w:val="28"/>
        </w:rPr>
        <w:t>-</w:t>
      </w:r>
      <w:r>
        <w:rPr>
          <w:rFonts w:hint="eastAsia" w:ascii="微软雅黑" w:hAnsi="微软雅黑" w:eastAsia="微软雅黑"/>
          <w:color w:val="auto"/>
          <w:sz w:val="28"/>
          <w:szCs w:val="28"/>
          <w:lang w:val="zh-TW" w:eastAsia="zh-TW"/>
        </w:rPr>
        <w:t>东盟教育界各级院校中高层管理者、学术精英骨干</w:t>
      </w:r>
    </w:p>
    <w:p>
      <w:pPr>
        <w:pStyle w:val="9"/>
        <w:widowControl w:val="0"/>
        <w:spacing w:line="276" w:lineRule="auto"/>
        <w:jc w:val="both"/>
        <w:rPr>
          <w:rFonts w:ascii="微软雅黑" w:hAnsi="微软雅黑" w:eastAsia="微软雅黑" w:cs="华文宋体"/>
          <w:color w:val="auto"/>
          <w:kern w:val="2"/>
          <w:sz w:val="28"/>
          <w:szCs w:val="28"/>
        </w:rPr>
      </w:pPr>
      <w:r>
        <w:rPr>
          <w:rFonts w:hint="eastAsia" w:ascii="微软雅黑" w:hAnsi="微软雅黑" w:eastAsia="微软雅黑"/>
          <w:b/>
          <w:color w:val="auto"/>
          <w:sz w:val="28"/>
          <w:szCs w:val="28"/>
          <w:lang w:val="zh-TW" w:eastAsia="zh-TW"/>
        </w:rPr>
        <w:t>申请条件</w:t>
      </w:r>
      <w:r>
        <w:rPr>
          <w:rFonts w:hint="eastAsia" w:ascii="微软雅黑" w:hAnsi="微软雅黑" w:eastAsia="微软雅黑"/>
          <w:color w:val="auto"/>
          <w:sz w:val="28"/>
          <w:szCs w:val="28"/>
          <w:lang w:val="zh-TW" w:eastAsia="zh-TW"/>
        </w:rPr>
        <w:t xml:space="preserve">   </w:t>
      </w:r>
      <w:r>
        <w:rPr>
          <w:rFonts w:hint="eastAsia" w:ascii="微软雅黑" w:hAnsi="微软雅黑" w:eastAsia="微软雅黑"/>
          <w:color w:val="auto"/>
          <w:kern w:val="2"/>
          <w:sz w:val="28"/>
          <w:szCs w:val="28"/>
          <w:lang w:val="zh-TW" w:eastAsia="zh-TW"/>
        </w:rPr>
        <w:t>本科毕业申请硕士，硕士毕业申请博士。可跨专业申请</w:t>
      </w:r>
      <w:r>
        <w:rPr>
          <w:rFonts w:ascii="微软雅黑" w:hAnsi="微软雅黑" w:eastAsia="微软雅黑"/>
          <w:color w:val="auto"/>
          <w:sz w:val="28"/>
          <w:szCs w:val="28"/>
          <w:u w:color="99403D"/>
          <w:lang w:val="zh-TW" w:eastAsia="zh-TW"/>
        </w:rPr>
        <w:t>就读</w:t>
      </w:r>
      <w:r>
        <w:rPr>
          <w:rFonts w:hint="eastAsia" w:ascii="微软雅黑" w:hAnsi="微软雅黑" w:eastAsia="微软雅黑"/>
          <w:color w:val="auto"/>
          <w:kern w:val="2"/>
          <w:sz w:val="28"/>
          <w:szCs w:val="28"/>
          <w:lang w:val="zh-TW" w:eastAsia="zh-TW"/>
        </w:rPr>
        <w:t>，但有必要时需选修指定衔接课程</w:t>
      </w:r>
    </w:p>
    <w:p>
      <w:pPr>
        <w:pStyle w:val="9"/>
        <w:widowControl w:val="0"/>
        <w:spacing w:line="276" w:lineRule="auto"/>
        <w:jc w:val="both"/>
        <w:rPr>
          <w:rFonts w:ascii="微软雅黑" w:hAnsi="微软雅黑" w:eastAsia="微软雅黑" w:cs="华文宋体"/>
          <w:color w:val="auto"/>
          <w:kern w:val="2"/>
          <w:sz w:val="28"/>
          <w:szCs w:val="28"/>
        </w:rPr>
      </w:pPr>
      <w:r>
        <w:rPr>
          <w:rFonts w:hint="eastAsia" w:ascii="微软雅黑" w:hAnsi="微软雅黑" w:eastAsia="微软雅黑"/>
          <w:b/>
          <w:color w:val="auto"/>
          <w:kern w:val="2"/>
          <w:sz w:val="28"/>
          <w:szCs w:val="28"/>
          <w:lang w:val="zh-TW" w:eastAsia="zh-TW"/>
        </w:rPr>
        <w:t xml:space="preserve">学制学期 </w:t>
      </w:r>
      <w:r>
        <w:rPr>
          <w:rFonts w:hint="eastAsia" w:ascii="微软雅黑" w:hAnsi="微软雅黑" w:eastAsia="微软雅黑"/>
          <w:color w:val="auto"/>
          <w:kern w:val="2"/>
          <w:sz w:val="28"/>
          <w:szCs w:val="28"/>
          <w:lang w:val="zh-TW" w:eastAsia="zh-TW"/>
        </w:rPr>
        <w:t xml:space="preserve">  硕士学制</w:t>
      </w:r>
      <w:r>
        <w:rPr>
          <w:rFonts w:ascii="微软雅黑" w:hAnsi="微软雅黑" w:eastAsia="微软雅黑"/>
          <w:color w:val="auto"/>
          <w:kern w:val="2"/>
          <w:sz w:val="28"/>
          <w:szCs w:val="28"/>
        </w:rPr>
        <w:t>2</w:t>
      </w:r>
      <w:r>
        <w:rPr>
          <w:rFonts w:hint="eastAsia" w:ascii="微软雅黑" w:hAnsi="微软雅黑" w:eastAsia="微软雅黑"/>
          <w:color w:val="auto"/>
          <w:kern w:val="2"/>
          <w:sz w:val="28"/>
          <w:szCs w:val="28"/>
          <w:lang w:val="zh-TW" w:eastAsia="zh-TW"/>
        </w:rPr>
        <w:t>年，博士学制</w:t>
      </w:r>
      <w:r>
        <w:rPr>
          <w:rFonts w:ascii="微软雅黑" w:hAnsi="微软雅黑" w:eastAsia="微软雅黑"/>
          <w:color w:val="auto"/>
          <w:kern w:val="2"/>
          <w:sz w:val="28"/>
          <w:szCs w:val="28"/>
        </w:rPr>
        <w:t>3</w:t>
      </w:r>
      <w:r>
        <w:rPr>
          <w:rFonts w:hint="eastAsia" w:ascii="微软雅黑" w:hAnsi="微软雅黑" w:eastAsia="微软雅黑"/>
          <w:color w:val="auto"/>
          <w:kern w:val="2"/>
          <w:sz w:val="28"/>
          <w:szCs w:val="28"/>
          <w:lang w:val="zh-TW" w:eastAsia="zh-TW"/>
        </w:rPr>
        <w:t>年</w:t>
      </w:r>
      <w:r>
        <w:rPr>
          <w:rFonts w:hint="eastAsia" w:ascii="微软雅黑" w:hAnsi="微软雅黑" w:eastAsia="微软雅黑"/>
          <w:color w:val="auto"/>
          <w:kern w:val="2"/>
          <w:sz w:val="28"/>
          <w:szCs w:val="28"/>
        </w:rPr>
        <w:t xml:space="preserve"> </w:t>
      </w:r>
      <w:r>
        <w:rPr>
          <w:rFonts w:hint="eastAsia" w:ascii="微软雅黑" w:hAnsi="微软雅黑" w:eastAsia="微软雅黑"/>
          <w:color w:val="auto"/>
          <w:kern w:val="2"/>
          <w:sz w:val="28"/>
          <w:szCs w:val="28"/>
          <w:lang w:val="zh-TW" w:eastAsia="zh-TW"/>
        </w:rPr>
        <w:t>每学年</w:t>
      </w:r>
      <w:r>
        <w:rPr>
          <w:rFonts w:ascii="微软雅黑" w:hAnsi="微软雅黑" w:eastAsia="微软雅黑"/>
          <w:color w:val="auto"/>
          <w:kern w:val="2"/>
          <w:sz w:val="28"/>
          <w:szCs w:val="28"/>
        </w:rPr>
        <w:t>2</w:t>
      </w:r>
      <w:r>
        <w:rPr>
          <w:rFonts w:hint="eastAsia" w:ascii="微软雅黑" w:hAnsi="微软雅黑" w:eastAsia="微软雅黑"/>
          <w:color w:val="auto"/>
          <w:kern w:val="2"/>
          <w:sz w:val="28"/>
          <w:szCs w:val="28"/>
          <w:lang w:val="zh-TW" w:eastAsia="zh-TW"/>
        </w:rPr>
        <w:t>个大学期（</w:t>
      </w:r>
      <w:r>
        <w:rPr>
          <w:rFonts w:ascii="微软雅黑" w:hAnsi="微软雅黑" w:eastAsia="微软雅黑"/>
          <w:color w:val="auto"/>
          <w:kern w:val="2"/>
          <w:sz w:val="28"/>
          <w:szCs w:val="28"/>
          <w:lang w:val="zh-TW" w:eastAsia="zh-TW"/>
        </w:rPr>
        <w:t>8-12</w:t>
      </w:r>
      <w:r>
        <w:rPr>
          <w:rFonts w:hint="eastAsia" w:ascii="微软雅黑" w:hAnsi="微软雅黑" w:eastAsia="微软雅黑"/>
          <w:color w:val="auto"/>
          <w:kern w:val="2"/>
          <w:sz w:val="28"/>
          <w:szCs w:val="28"/>
          <w:lang w:val="zh-TW" w:eastAsia="zh-TW"/>
        </w:rPr>
        <w:t>月，</w:t>
      </w:r>
      <w:r>
        <w:rPr>
          <w:rFonts w:ascii="微软雅黑" w:hAnsi="微软雅黑" w:eastAsia="微软雅黑"/>
          <w:color w:val="auto"/>
          <w:kern w:val="2"/>
          <w:sz w:val="28"/>
          <w:szCs w:val="28"/>
          <w:lang w:val="zh-TW" w:eastAsia="zh-TW"/>
        </w:rPr>
        <w:t>1-5</w:t>
      </w:r>
      <w:r>
        <w:rPr>
          <w:rFonts w:hint="eastAsia" w:ascii="微软雅黑" w:hAnsi="微软雅黑" w:eastAsia="微软雅黑"/>
          <w:color w:val="auto"/>
          <w:kern w:val="2"/>
          <w:sz w:val="28"/>
          <w:szCs w:val="28"/>
          <w:lang w:val="zh-TW" w:eastAsia="zh-TW"/>
        </w:rPr>
        <w:t>月），</w:t>
      </w:r>
      <w:r>
        <w:rPr>
          <w:rFonts w:ascii="微软雅黑" w:hAnsi="微软雅黑" w:eastAsia="微软雅黑"/>
          <w:color w:val="auto"/>
          <w:kern w:val="2"/>
          <w:sz w:val="28"/>
          <w:szCs w:val="28"/>
        </w:rPr>
        <w:t>1</w:t>
      </w:r>
      <w:r>
        <w:rPr>
          <w:rFonts w:hint="eastAsia" w:ascii="微软雅黑" w:hAnsi="微软雅黑" w:eastAsia="微软雅黑"/>
          <w:color w:val="auto"/>
          <w:kern w:val="2"/>
          <w:sz w:val="28"/>
          <w:szCs w:val="28"/>
          <w:lang w:val="zh-TW" w:eastAsia="zh-TW"/>
        </w:rPr>
        <w:t>个小学期（</w:t>
      </w:r>
      <w:r>
        <w:rPr>
          <w:rFonts w:ascii="微软雅黑" w:hAnsi="微软雅黑" w:eastAsia="微软雅黑"/>
          <w:color w:val="auto"/>
          <w:kern w:val="2"/>
          <w:sz w:val="28"/>
          <w:szCs w:val="28"/>
          <w:lang w:val="zh-TW" w:eastAsia="zh-TW"/>
        </w:rPr>
        <w:t>6-7</w:t>
      </w:r>
      <w:r>
        <w:rPr>
          <w:rFonts w:hint="eastAsia" w:ascii="微软雅黑" w:hAnsi="微软雅黑" w:eastAsia="微软雅黑"/>
          <w:color w:val="auto"/>
          <w:kern w:val="2"/>
          <w:sz w:val="28"/>
          <w:szCs w:val="28"/>
          <w:lang w:val="zh-TW" w:eastAsia="zh-TW"/>
        </w:rPr>
        <w:t>月）</w:t>
      </w:r>
    </w:p>
    <w:p>
      <w:pPr>
        <w:pStyle w:val="9"/>
        <w:widowControl w:val="0"/>
        <w:spacing w:line="276" w:lineRule="auto"/>
        <w:ind w:firstLine="1155"/>
        <w:jc w:val="both"/>
        <w:rPr>
          <w:rFonts w:ascii="微软雅黑" w:hAnsi="微软雅黑" w:eastAsia="微软雅黑" w:cs="华文宋体"/>
          <w:color w:val="auto"/>
          <w:kern w:val="2"/>
          <w:sz w:val="28"/>
          <w:szCs w:val="28"/>
          <w:u w:val="wave"/>
          <w:lang w:val="zh-TW" w:eastAsia="zh-TW"/>
        </w:rPr>
      </w:pPr>
      <w:r>
        <w:rPr>
          <w:rFonts w:hint="eastAsia" w:ascii="微软雅黑" w:hAnsi="微软雅黑" w:eastAsia="微软雅黑"/>
          <w:color w:val="auto"/>
          <w:kern w:val="2"/>
          <w:sz w:val="28"/>
          <w:szCs w:val="28"/>
          <w:u w:val="wave"/>
          <w:lang w:val="zh-TW" w:eastAsia="zh-TW"/>
        </w:rPr>
        <w:t>（</w:t>
      </w:r>
      <w:r>
        <w:rPr>
          <w:rFonts w:ascii="微软雅黑" w:hAnsi="微软雅黑" w:eastAsia="微软雅黑"/>
          <w:color w:val="auto"/>
          <w:sz w:val="28"/>
          <w:szCs w:val="28"/>
          <w:u w:val="wave" w:color="99403D"/>
          <w:lang w:val="zh-TW" w:eastAsia="zh-TW"/>
        </w:rPr>
        <w:t>故 教育主管部门规定的每学年3个学期的标准在泰学习</w:t>
      </w:r>
      <w:r>
        <w:rPr>
          <w:rFonts w:hint="eastAsia" w:ascii="微软雅黑" w:hAnsi="微软雅黑" w:eastAsia="微软雅黑"/>
          <w:color w:val="auto"/>
          <w:sz w:val="28"/>
          <w:szCs w:val="28"/>
          <w:u w:val="wave" w:color="99403D"/>
          <w:lang w:val="zh-TW"/>
        </w:rPr>
        <w:t>时段</w:t>
      </w:r>
      <w:r>
        <w:rPr>
          <w:rFonts w:ascii="微软雅黑" w:hAnsi="微软雅黑" w:eastAsia="微软雅黑"/>
          <w:color w:val="auto"/>
          <w:sz w:val="28"/>
          <w:szCs w:val="28"/>
          <w:u w:val="wave" w:color="99403D"/>
          <w:lang w:val="zh-TW" w:eastAsia="zh-TW"/>
        </w:rPr>
        <w:t>完全覆盖了中国各类院校约三个月的寒暑假时间）</w:t>
      </w:r>
    </w:p>
    <w:p>
      <w:pPr>
        <w:pStyle w:val="9"/>
        <w:widowControl w:val="0"/>
        <w:spacing w:line="276" w:lineRule="auto"/>
        <w:jc w:val="both"/>
        <w:rPr>
          <w:rFonts w:ascii="微软雅黑" w:hAnsi="微软雅黑" w:eastAsia="微软雅黑"/>
          <w:color w:val="auto"/>
          <w:sz w:val="28"/>
          <w:szCs w:val="28"/>
        </w:rPr>
      </w:pPr>
      <w:r>
        <w:rPr>
          <w:rFonts w:ascii="微软雅黑" w:hAnsi="微软雅黑" w:eastAsia="微软雅黑"/>
          <w:b/>
          <w:color w:val="auto"/>
          <w:sz w:val="28"/>
          <w:szCs w:val="28"/>
          <w:lang w:val="zh-TW" w:eastAsia="zh-TW"/>
        </w:rPr>
        <w:t>学习</w:t>
      </w:r>
      <w:r>
        <w:rPr>
          <w:rFonts w:hint="eastAsia" w:ascii="微软雅黑" w:hAnsi="微软雅黑" w:eastAsia="微软雅黑"/>
          <w:b/>
          <w:color w:val="auto"/>
          <w:kern w:val="2"/>
          <w:sz w:val="28"/>
          <w:szCs w:val="28"/>
          <w:lang w:val="zh-TW" w:eastAsia="zh-TW"/>
        </w:rPr>
        <w:t>方式</w:t>
      </w:r>
      <w:r>
        <w:rPr>
          <w:rFonts w:hint="eastAsia" w:ascii="微软雅黑" w:hAnsi="微软雅黑" w:eastAsia="微软雅黑"/>
          <w:color w:val="auto"/>
          <w:kern w:val="2"/>
          <w:sz w:val="28"/>
          <w:szCs w:val="28"/>
          <w:lang w:val="zh-TW" w:eastAsia="zh-TW"/>
        </w:rPr>
        <w:t xml:space="preserve">  </w:t>
      </w:r>
      <w:r>
        <w:rPr>
          <w:rFonts w:ascii="微软雅黑" w:hAnsi="微软雅黑" w:eastAsia="微软雅黑"/>
          <w:color w:val="auto"/>
          <w:kern w:val="2"/>
          <w:sz w:val="28"/>
          <w:szCs w:val="28"/>
          <w:u w:color="943634"/>
          <w:lang w:val="zh-TW" w:eastAsia="zh-TW"/>
        </w:rPr>
        <w:t xml:space="preserve">  1</w:t>
      </w:r>
      <w:r>
        <w:rPr>
          <w:rFonts w:ascii="微软雅黑" w:hAnsi="微软雅黑" w:eastAsia="微软雅黑"/>
          <w:color w:val="auto"/>
          <w:sz w:val="28"/>
          <w:szCs w:val="28"/>
          <w:lang w:val="zh-TW" w:eastAsia="zh-TW"/>
        </w:rPr>
        <w:t>泰国校区全日制授课，博士班特别要求论文阶段境外时间连续至少一年以上，小假期除外。</w:t>
      </w:r>
    </w:p>
    <w:p>
      <w:pPr>
        <w:pStyle w:val="9"/>
        <w:widowControl w:val="0"/>
        <w:spacing w:line="276" w:lineRule="auto"/>
        <w:ind w:firstLine="1540" w:firstLineChars="550"/>
        <w:jc w:val="both"/>
        <w:rPr>
          <w:rFonts w:ascii="微软雅黑" w:hAnsi="微软雅黑" w:eastAsia="微软雅黑"/>
          <w:color w:val="auto"/>
          <w:sz w:val="28"/>
          <w:szCs w:val="28"/>
        </w:rPr>
      </w:pPr>
      <w:r>
        <w:rPr>
          <w:rFonts w:ascii="微软雅黑" w:hAnsi="微软雅黑" w:eastAsia="微软雅黑"/>
          <w:color w:val="auto"/>
          <w:sz w:val="28"/>
          <w:szCs w:val="28"/>
          <w:lang w:val="zh-TW" w:eastAsia="zh-TW"/>
        </w:rPr>
        <w:t>2中泰名校联合培养，国内外校区分别授课</w:t>
      </w:r>
      <w:r>
        <w:rPr>
          <w:rFonts w:hint="eastAsia" w:ascii="微软雅黑" w:hAnsi="微软雅黑" w:eastAsia="微软雅黑"/>
          <w:color w:val="auto"/>
          <w:sz w:val="28"/>
          <w:szCs w:val="28"/>
          <w:lang w:val="zh-TW"/>
        </w:rPr>
        <w:t>：</w:t>
      </w:r>
      <w:r>
        <w:rPr>
          <w:rFonts w:ascii="微软雅黑" w:hAnsi="微软雅黑" w:eastAsia="微软雅黑"/>
          <w:color w:val="auto"/>
          <w:sz w:val="28"/>
          <w:szCs w:val="28"/>
          <w:lang w:val="zh-TW" w:eastAsia="zh-TW"/>
        </w:rPr>
        <w:t>国内校区授课根据中泰两校联合培养方案分全日制与周末</w:t>
      </w:r>
      <w:r>
        <w:rPr>
          <w:rFonts w:hint="eastAsia" w:ascii="微软雅黑" w:hAnsi="微软雅黑" w:eastAsia="微软雅黑"/>
          <w:color w:val="auto"/>
          <w:sz w:val="28"/>
          <w:szCs w:val="28"/>
          <w:lang w:val="zh-TW"/>
        </w:rPr>
        <w:t>上课两种形式；</w:t>
      </w:r>
      <w:r>
        <w:rPr>
          <w:rFonts w:ascii="微软雅黑" w:hAnsi="微软雅黑" w:eastAsia="微软雅黑"/>
          <w:color w:val="auto"/>
          <w:sz w:val="28"/>
          <w:szCs w:val="28"/>
          <w:lang w:val="zh-TW" w:eastAsia="zh-TW"/>
        </w:rPr>
        <w:t>根据教育主管部门规定的每学期全日制在校学习上课的时间标准，国外校区在教育主管部门规定标准学期上课时段内授课每年5次</w:t>
      </w:r>
      <w:r>
        <w:rPr>
          <w:rFonts w:hint="cs" w:ascii="微软雅黑" w:hAnsi="微软雅黑" w:eastAsia="微软雅黑"/>
          <w:color w:val="auto"/>
          <w:sz w:val="28"/>
          <w:szCs w:val="28"/>
          <w:lang w:val="zh-TW" w:eastAsia="zh-TW"/>
        </w:rPr>
        <w:t>（每个大学期</w:t>
      </w:r>
      <w:r>
        <w:rPr>
          <w:rFonts w:ascii="微软雅黑" w:hAnsi="微软雅黑" w:eastAsia="微软雅黑"/>
          <w:color w:val="auto"/>
          <w:sz w:val="28"/>
          <w:szCs w:val="28"/>
          <w:lang w:val="zh-TW" w:eastAsia="zh-TW"/>
        </w:rPr>
        <w:t>2次以上，每个小学期1次以上），每次全日制连续授课半个月以上。针对教师进修者除国内校区联合培养课程外要求寒暑假时间全部在境外学习，原则上要求博士学员论文阶段再请假一个大学期全日制在泰国校区学习。</w:t>
      </w:r>
    </w:p>
    <w:p>
      <w:pPr>
        <w:pStyle w:val="9"/>
        <w:widowControl w:val="0"/>
        <w:spacing w:line="276" w:lineRule="auto"/>
        <w:ind w:firstLine="1120"/>
        <w:jc w:val="both"/>
        <w:rPr>
          <w:rFonts w:ascii="微软雅黑" w:hAnsi="微软雅黑" w:eastAsia="微软雅黑"/>
          <w:color w:val="auto"/>
          <w:sz w:val="28"/>
          <w:szCs w:val="28"/>
        </w:rPr>
      </w:pPr>
    </w:p>
    <w:p>
      <w:pPr>
        <w:pStyle w:val="9"/>
        <w:widowControl w:val="0"/>
        <w:spacing w:line="276" w:lineRule="auto"/>
        <w:jc w:val="both"/>
        <w:rPr>
          <w:rFonts w:hint="eastAsia" w:ascii="微软雅黑" w:hAnsi="微软雅黑" w:eastAsia="微软雅黑"/>
          <w:color w:val="auto"/>
          <w:kern w:val="2"/>
          <w:sz w:val="28"/>
          <w:szCs w:val="28"/>
          <w:lang w:val="zh-TW"/>
        </w:rPr>
      </w:pPr>
      <w:r>
        <w:rPr>
          <w:rFonts w:ascii="微软雅黑" w:hAnsi="微软雅黑" w:eastAsia="微软雅黑"/>
          <w:b/>
          <w:color w:val="auto"/>
          <w:sz w:val="28"/>
          <w:szCs w:val="28"/>
          <w:u w:color="99403D"/>
          <w:lang w:val="zh-TW" w:eastAsia="zh-TW"/>
        </w:rPr>
        <w:t>计划开设</w:t>
      </w:r>
      <w:r>
        <w:rPr>
          <w:rFonts w:hint="eastAsia" w:ascii="微软雅黑" w:hAnsi="微软雅黑" w:eastAsia="微软雅黑"/>
          <w:b/>
          <w:color w:val="auto"/>
          <w:kern w:val="2"/>
          <w:sz w:val="28"/>
          <w:szCs w:val="28"/>
          <w:u w:color="FF0000"/>
          <w:lang w:val="zh-TW" w:eastAsia="zh-TW"/>
        </w:rPr>
        <w:t>专业及收费标准</w:t>
      </w:r>
      <w:r>
        <w:rPr>
          <w:rFonts w:ascii="微软雅黑" w:hAnsi="微软雅黑" w:eastAsia="微软雅黑"/>
          <w:color w:val="auto"/>
          <w:kern w:val="2"/>
          <w:sz w:val="28"/>
          <w:szCs w:val="28"/>
          <w:lang w:val="zh-TW" w:eastAsia="zh-TW"/>
        </w:rPr>
        <w:t xml:space="preserve">  </w:t>
      </w:r>
      <w:r>
        <w:rPr>
          <w:rFonts w:hint="eastAsia" w:ascii="微软雅黑" w:hAnsi="微软雅黑" w:eastAsia="微软雅黑"/>
          <w:color w:val="auto"/>
          <w:kern w:val="2"/>
          <w:sz w:val="28"/>
          <w:szCs w:val="28"/>
          <w:lang w:val="zh-TW" w:eastAsia="zh-TW"/>
        </w:rPr>
        <w:t>（</w:t>
      </w:r>
      <w:r>
        <w:rPr>
          <w:rFonts w:hint="cs" w:ascii="微软雅黑" w:hAnsi="微软雅黑" w:eastAsia="微软雅黑"/>
          <w:color w:val="auto"/>
          <w:sz w:val="28"/>
          <w:szCs w:val="28"/>
          <w:lang w:val="zh-TW" w:eastAsia="zh-TW"/>
        </w:rPr>
        <w:t>首期班学员根据其申请的硕博层次，全部以通用</w:t>
      </w:r>
      <w:r>
        <w:rPr>
          <w:rFonts w:ascii="微软雅黑" w:hAnsi="微软雅黑" w:eastAsia="微软雅黑"/>
          <w:color w:val="auto"/>
          <w:sz w:val="28"/>
          <w:szCs w:val="28"/>
          <w:lang w:val="zh-TW" w:eastAsia="zh-TW"/>
        </w:rPr>
        <w:t>MBA\DBA、通用教育学硕士</w:t>
      </w:r>
      <w:r>
        <w:rPr>
          <w:rFonts w:hint="eastAsia" w:ascii="微软雅黑" w:hAnsi="微软雅黑" w:eastAsia="微软雅黑"/>
          <w:color w:val="auto"/>
          <w:sz w:val="28"/>
          <w:szCs w:val="28"/>
          <w:lang w:val="zh-TW"/>
        </w:rPr>
        <w:t>\博士录取</w:t>
      </w:r>
      <w:r>
        <w:rPr>
          <w:rFonts w:ascii="微软雅黑" w:hAnsi="微软雅黑" w:eastAsia="微软雅黑"/>
          <w:color w:val="auto"/>
          <w:sz w:val="28"/>
          <w:szCs w:val="28"/>
          <w:lang w:val="zh-TW" w:eastAsia="zh-TW"/>
        </w:rPr>
        <w:t>，后期具体可选择培养方向以校方实际开设课程为准，即能满足独立开班人数达20人的某培养方向才能正常开设课程；国内合作院校、教育主管部门或相关系统可根据自身需求、定向选择培养方向单独组班进修</w:t>
      </w:r>
      <w:r>
        <w:rPr>
          <w:rFonts w:hint="eastAsia" w:ascii="微软雅黑" w:hAnsi="微软雅黑" w:eastAsia="微软雅黑"/>
          <w:color w:val="auto"/>
          <w:kern w:val="2"/>
          <w:sz w:val="28"/>
          <w:szCs w:val="28"/>
          <w:lang w:val="zh-TW" w:eastAsia="zh-TW"/>
        </w:rPr>
        <w:t>）</w:t>
      </w:r>
    </w:p>
    <w:p>
      <w:pPr>
        <w:pStyle w:val="9"/>
        <w:widowControl w:val="0"/>
        <w:spacing w:line="276" w:lineRule="auto"/>
        <w:jc w:val="both"/>
        <w:rPr>
          <w:rFonts w:hint="eastAsia" w:ascii="微软雅黑" w:hAnsi="微软雅黑" w:eastAsia="微软雅黑"/>
          <w:color w:val="auto"/>
          <w:kern w:val="2"/>
          <w:sz w:val="28"/>
          <w:szCs w:val="28"/>
          <w:lang w:val="zh-TW"/>
        </w:rPr>
      </w:pPr>
    </w:p>
    <w:p>
      <w:pPr>
        <w:pStyle w:val="9"/>
        <w:widowControl w:val="0"/>
        <w:spacing w:line="276" w:lineRule="auto"/>
        <w:jc w:val="both"/>
        <w:rPr>
          <w:rFonts w:hint="eastAsia" w:ascii="微软雅黑" w:hAnsi="微软雅黑" w:eastAsia="微软雅黑"/>
          <w:color w:val="auto"/>
          <w:kern w:val="2"/>
          <w:sz w:val="28"/>
          <w:szCs w:val="28"/>
          <w:lang w:val="zh-TW"/>
        </w:rPr>
      </w:pPr>
    </w:p>
    <w:p>
      <w:pPr>
        <w:pStyle w:val="9"/>
        <w:widowControl w:val="0"/>
        <w:spacing w:line="276" w:lineRule="auto"/>
        <w:jc w:val="both"/>
        <w:rPr>
          <w:rFonts w:ascii="微软雅黑" w:hAnsi="微软雅黑" w:eastAsia="微软雅黑"/>
          <w:color w:val="auto"/>
          <w:kern w:val="2"/>
          <w:sz w:val="28"/>
          <w:szCs w:val="28"/>
          <w:lang w:val="zh-TW"/>
        </w:rPr>
      </w:pPr>
    </w:p>
    <w:tbl>
      <w:tblPr>
        <w:tblStyle w:val="4"/>
        <w:tblW w:w="12513" w:type="dxa"/>
        <w:jc w:val="center"/>
        <w:tblLayout w:type="fixed"/>
        <w:tblCellMar>
          <w:top w:w="0" w:type="dxa"/>
          <w:left w:w="108" w:type="dxa"/>
          <w:bottom w:w="0" w:type="dxa"/>
          <w:right w:w="108" w:type="dxa"/>
        </w:tblCellMar>
      </w:tblPr>
      <w:tblGrid>
        <w:gridCol w:w="3203"/>
        <w:gridCol w:w="2551"/>
        <w:gridCol w:w="6706"/>
        <w:gridCol w:w="53"/>
      </w:tblGrid>
      <w:tr>
        <w:tblPrEx>
          <w:tblCellMar>
            <w:top w:w="0" w:type="dxa"/>
            <w:left w:w="108" w:type="dxa"/>
            <w:bottom w:w="0" w:type="dxa"/>
            <w:right w:w="108" w:type="dxa"/>
          </w:tblCellMar>
        </w:tblPrEx>
        <w:trPr>
          <w:trHeight w:val="300" w:hRule="atLeast"/>
          <w:jc w:val="center"/>
        </w:trPr>
        <w:tc>
          <w:tcPr>
            <w:tcW w:w="12513" w:type="dxa"/>
            <w:gridSpan w:val="4"/>
            <w:tcBorders>
              <w:top w:val="single" w:color="000000" w:sz="8" w:space="0"/>
              <w:left w:val="single" w:color="000000" w:sz="8" w:space="0"/>
              <w:bottom w:val="single" w:color="000000" w:sz="8" w:space="0"/>
              <w:right w:val="single" w:color="000000" w:sz="8" w:space="0"/>
            </w:tcBorders>
            <w:shd w:val="clear" w:color="000000" w:fill="FAC090"/>
            <w:vAlign w:val="center"/>
          </w:tcPr>
          <w:p>
            <w:pPr>
              <w:jc w:val="center"/>
              <w:rPr>
                <w:rFonts w:hint="default" w:ascii="微软雅黑" w:hAnsi="微软雅黑" w:eastAsia="微软雅黑" w:cs="宋体"/>
                <w:color w:val="FF0000"/>
                <w:lang w:val="en-US"/>
              </w:rPr>
            </w:pPr>
            <w:r>
              <w:rPr>
                <w:rFonts w:ascii="微软雅黑" w:hAnsi="微软雅黑" w:eastAsia="微软雅黑" w:cs="宋体"/>
                <w:color w:val="FF0000"/>
                <w:lang w:val="en-US" w:eastAsia="zh-TW"/>
              </w:rPr>
              <w:t>硕士</w:t>
            </w:r>
          </w:p>
        </w:tc>
      </w:tr>
      <w:tr>
        <w:tblPrEx>
          <w:tblCellMar>
            <w:top w:w="0" w:type="dxa"/>
            <w:left w:w="108" w:type="dxa"/>
            <w:bottom w:w="0" w:type="dxa"/>
            <w:right w:w="108" w:type="dxa"/>
          </w:tblCellMar>
        </w:tblPrEx>
        <w:trPr>
          <w:trHeight w:val="300" w:hRule="atLeast"/>
          <w:jc w:val="center"/>
        </w:trPr>
        <w:tc>
          <w:tcPr>
            <w:tcW w:w="3203" w:type="dxa"/>
            <w:vMerge w:val="restart"/>
            <w:tcBorders>
              <w:top w:val="nil"/>
              <w:left w:val="single" w:color="000000" w:sz="8" w:space="0"/>
              <w:bottom w:val="single" w:color="000000" w:sz="8" w:space="0"/>
              <w:right w:val="single" w:color="000000" w:sz="8" w:space="0"/>
            </w:tcBorders>
            <w:shd w:val="clear" w:color="000000" w:fill="CED7E7"/>
            <w:vAlign w:val="center"/>
          </w:tcPr>
          <w:p>
            <w:pPr>
              <w:jc w:val="center"/>
              <w:rPr>
                <w:rFonts w:hint="default" w:ascii="微软雅黑" w:hAnsi="微软雅黑" w:eastAsia="微软雅黑" w:cs="宋体"/>
                <w:color w:val="FF0000"/>
                <w:lang w:val="en-US"/>
              </w:rPr>
            </w:pPr>
            <w:r>
              <w:rPr>
                <w:rFonts w:ascii="微软雅黑" w:hAnsi="微软雅黑" w:eastAsia="微软雅黑" w:cs="宋体"/>
                <w:color w:val="FF0000"/>
                <w:lang w:val="en-US" w:eastAsia="zh-TW"/>
              </w:rPr>
              <w:t>学位</w:t>
            </w:r>
            <w:r>
              <w:rPr>
                <w:rFonts w:ascii="微软雅黑" w:hAnsi="微软雅黑" w:eastAsia="微软雅黑" w:cs="宋体"/>
                <w:color w:val="FF0000"/>
                <w:lang w:val="en-US"/>
              </w:rPr>
              <w:t>/专业</w:t>
            </w:r>
          </w:p>
        </w:tc>
        <w:tc>
          <w:tcPr>
            <w:tcW w:w="2551" w:type="dxa"/>
            <w:vMerge w:val="restart"/>
            <w:tcBorders>
              <w:top w:val="nil"/>
              <w:left w:val="single" w:color="000000" w:sz="8" w:space="0"/>
              <w:bottom w:val="single" w:color="000000" w:sz="8" w:space="0"/>
              <w:right w:val="single" w:color="000000" w:sz="8" w:space="0"/>
            </w:tcBorders>
            <w:shd w:val="clear" w:color="000000" w:fill="CED7E7"/>
            <w:vAlign w:val="center"/>
          </w:tcPr>
          <w:p>
            <w:pPr>
              <w:jc w:val="center"/>
              <w:rPr>
                <w:rFonts w:hint="default" w:ascii="微软雅黑" w:hAnsi="微软雅黑" w:eastAsia="微软雅黑" w:cs="宋体"/>
                <w:color w:val="FF0000"/>
                <w:lang w:val="en-US"/>
              </w:rPr>
            </w:pPr>
            <w:r>
              <w:rPr>
                <w:rFonts w:ascii="微软雅黑" w:hAnsi="微软雅黑" w:eastAsia="微软雅黑" w:cs="宋体"/>
                <w:color w:val="FF0000"/>
                <w:lang w:val="en-US" w:eastAsia="zh-TW"/>
              </w:rPr>
              <w:t>培养方向</w:t>
            </w:r>
          </w:p>
        </w:tc>
        <w:tc>
          <w:tcPr>
            <w:tcW w:w="6759" w:type="dxa"/>
            <w:gridSpan w:val="2"/>
            <w:tcBorders>
              <w:top w:val="single" w:color="000000" w:sz="8" w:space="0"/>
              <w:left w:val="nil"/>
              <w:bottom w:val="single" w:color="000000" w:sz="8" w:space="0"/>
              <w:right w:val="single" w:color="000000" w:sz="8" w:space="0"/>
            </w:tcBorders>
            <w:shd w:val="clear" w:color="000000" w:fill="CED7E7"/>
            <w:vAlign w:val="center"/>
          </w:tcPr>
          <w:p>
            <w:pPr>
              <w:jc w:val="center"/>
              <w:rPr>
                <w:rFonts w:hint="default" w:ascii="微软雅黑" w:hAnsi="微软雅黑" w:eastAsia="微软雅黑" w:cs="宋体"/>
                <w:color w:val="FF0000"/>
                <w:lang w:val="en-US"/>
              </w:rPr>
            </w:pPr>
            <w:r>
              <w:rPr>
                <w:rFonts w:ascii="微软雅黑" w:hAnsi="微软雅黑" w:eastAsia="微软雅黑" w:cs="宋体"/>
                <w:color w:val="FF0000"/>
                <w:lang w:val="en-US" w:eastAsia="zh-TW"/>
              </w:rPr>
              <w:t>收费标准</w:t>
            </w:r>
          </w:p>
        </w:tc>
      </w:tr>
      <w:tr>
        <w:tblPrEx>
          <w:tblCellMar>
            <w:top w:w="0" w:type="dxa"/>
            <w:left w:w="108" w:type="dxa"/>
            <w:bottom w:w="0" w:type="dxa"/>
            <w:right w:w="108" w:type="dxa"/>
          </w:tblCellMar>
        </w:tblPrEx>
        <w:trPr>
          <w:gridAfter w:val="1"/>
          <w:wAfter w:w="53" w:type="dxa"/>
          <w:trHeight w:val="300" w:hRule="atLeast"/>
          <w:jc w:val="center"/>
        </w:trPr>
        <w:tc>
          <w:tcPr>
            <w:tcW w:w="3203" w:type="dxa"/>
            <w:vMerge w:val="continue"/>
            <w:tcBorders>
              <w:top w:val="nil"/>
              <w:left w:val="single" w:color="000000" w:sz="8" w:space="0"/>
              <w:bottom w:val="single" w:color="000000" w:sz="8" w:space="0"/>
              <w:right w:val="single" w:color="000000" w:sz="8" w:space="0"/>
            </w:tcBorders>
            <w:vAlign w:val="center"/>
          </w:tcPr>
          <w:p>
            <w:pPr>
              <w:rPr>
                <w:rFonts w:hint="default" w:ascii="微软雅黑" w:hAnsi="微软雅黑" w:eastAsia="微软雅黑" w:cs="宋体"/>
                <w:color w:val="FF0000"/>
                <w:lang w:val="en-US"/>
              </w:rPr>
            </w:pPr>
          </w:p>
        </w:tc>
        <w:tc>
          <w:tcPr>
            <w:tcW w:w="2551" w:type="dxa"/>
            <w:vMerge w:val="continue"/>
            <w:tcBorders>
              <w:top w:val="nil"/>
              <w:left w:val="single" w:color="000000" w:sz="8" w:space="0"/>
              <w:bottom w:val="single" w:color="000000" w:sz="8" w:space="0"/>
              <w:right w:val="single" w:color="000000" w:sz="8" w:space="0"/>
            </w:tcBorders>
            <w:vAlign w:val="center"/>
          </w:tcPr>
          <w:p>
            <w:pPr>
              <w:rPr>
                <w:rFonts w:hint="default" w:ascii="微软雅黑" w:hAnsi="微软雅黑" w:eastAsia="微软雅黑" w:cs="宋体"/>
                <w:color w:val="FF0000"/>
                <w:lang w:val="en-US"/>
              </w:rPr>
            </w:pPr>
          </w:p>
        </w:tc>
        <w:tc>
          <w:tcPr>
            <w:tcW w:w="6706" w:type="dxa"/>
            <w:tcBorders>
              <w:top w:val="nil"/>
              <w:left w:val="nil"/>
              <w:bottom w:val="single" w:color="000000" w:sz="8" w:space="0"/>
              <w:right w:val="single" w:color="000000" w:sz="8" w:space="0"/>
            </w:tcBorders>
            <w:shd w:val="clear" w:color="000000" w:fill="CED7E7"/>
            <w:vAlign w:val="center"/>
          </w:tcPr>
          <w:p>
            <w:pPr>
              <w:jc w:val="center"/>
              <w:rPr>
                <w:rFonts w:hint="default" w:ascii="微软雅黑" w:hAnsi="微软雅黑" w:eastAsia="微软雅黑" w:cs="宋体"/>
                <w:color w:val="FF0000"/>
                <w:lang w:val="en-US"/>
              </w:rPr>
            </w:pPr>
            <w:r>
              <w:rPr>
                <w:rFonts w:ascii="微软雅黑" w:hAnsi="微软雅黑" w:eastAsia="微软雅黑" w:cs="宋体"/>
                <w:color w:val="FF0000"/>
                <w:lang w:val="en-US"/>
              </w:rPr>
              <w:t>中泰名校联合培养</w:t>
            </w:r>
          </w:p>
        </w:tc>
      </w:tr>
      <w:tr>
        <w:tblPrEx>
          <w:tblCellMar>
            <w:top w:w="0" w:type="dxa"/>
            <w:left w:w="108" w:type="dxa"/>
            <w:bottom w:w="0" w:type="dxa"/>
            <w:right w:w="108" w:type="dxa"/>
          </w:tblCellMar>
        </w:tblPrEx>
        <w:trPr>
          <w:gridAfter w:val="1"/>
          <w:wAfter w:w="53" w:type="dxa"/>
          <w:trHeight w:val="585" w:hRule="atLeast"/>
          <w:jc w:val="center"/>
        </w:trPr>
        <w:tc>
          <w:tcPr>
            <w:tcW w:w="3203" w:type="dxa"/>
            <w:vMerge w:val="restart"/>
            <w:tcBorders>
              <w:top w:val="nil"/>
              <w:left w:val="single" w:color="000000" w:sz="8" w:space="0"/>
              <w:right w:val="single" w:color="000000" w:sz="8" w:space="0"/>
            </w:tcBorders>
            <w:shd w:val="clear" w:color="000000" w:fill="CED7E7"/>
            <w:vAlign w:val="center"/>
          </w:tcPr>
          <w:p>
            <w:pPr>
              <w:rPr>
                <w:rFonts w:hint="default" w:ascii="微软雅黑" w:hAnsi="微软雅黑" w:eastAsia="微软雅黑" w:cs="宋体"/>
                <w:color w:val="FF0000"/>
                <w:lang w:val="en-US"/>
              </w:rPr>
            </w:pPr>
            <w:r>
              <w:rPr>
                <w:rFonts w:ascii="微软雅黑" w:hAnsi="微软雅黑" w:eastAsia="微软雅黑" w:cs="宋体"/>
                <w:color w:val="FF0000"/>
                <w:lang w:val="en-US"/>
              </w:rPr>
              <w:t>M.Ed教育学硕士（教师教育课程与教学论）</w:t>
            </w:r>
          </w:p>
        </w:tc>
        <w:tc>
          <w:tcPr>
            <w:tcW w:w="2551" w:type="dxa"/>
            <w:tcBorders>
              <w:top w:val="nil"/>
              <w:left w:val="nil"/>
              <w:bottom w:val="single" w:color="000000" w:sz="8" w:space="0"/>
              <w:right w:val="single" w:color="000000" w:sz="8" w:space="0"/>
            </w:tcBorders>
            <w:shd w:val="clear" w:color="000000" w:fill="CED7E7"/>
            <w:vAlign w:val="center"/>
          </w:tcPr>
          <w:p>
            <w:pPr>
              <w:rPr>
                <w:rFonts w:hint="default" w:ascii="微软雅黑" w:hAnsi="微软雅黑" w:eastAsia="微软雅黑" w:cs="宋体"/>
                <w:color w:val="FF0000"/>
                <w:lang w:val="en-US"/>
              </w:rPr>
            </w:pPr>
            <w:r>
              <w:rPr>
                <w:rFonts w:ascii="微软雅黑" w:hAnsi="微软雅黑" w:eastAsia="微软雅黑" w:cs="宋体"/>
                <w:color w:val="FF0000"/>
                <w:lang w:val="en-US"/>
              </w:rPr>
              <w:t>视觉艺术</w:t>
            </w:r>
          </w:p>
        </w:tc>
        <w:tc>
          <w:tcPr>
            <w:tcW w:w="6706" w:type="dxa"/>
            <w:vMerge w:val="restart"/>
            <w:tcBorders>
              <w:top w:val="nil"/>
              <w:left w:val="nil"/>
              <w:right w:val="single" w:color="000000" w:sz="8" w:space="0"/>
            </w:tcBorders>
            <w:shd w:val="clear" w:color="000000" w:fill="CED7E7"/>
            <w:vAlign w:val="center"/>
          </w:tcPr>
          <w:p>
            <w:pPr>
              <w:jc w:val="center"/>
              <w:rPr>
                <w:rFonts w:hint="default" w:ascii="微软雅黑" w:hAnsi="微软雅黑" w:eastAsia="微软雅黑" w:cs="宋体"/>
                <w:color w:val="FF0000"/>
                <w:lang w:val="en-US"/>
              </w:rPr>
            </w:pPr>
            <w:r>
              <w:rPr>
                <w:rFonts w:ascii="微软雅黑" w:hAnsi="微软雅黑" w:eastAsia="微软雅黑" w:cs="宋体"/>
                <w:color w:val="FF0000"/>
                <w:lang w:val="en-US" w:eastAsia="zh-TW"/>
              </w:rPr>
              <w:t>学杂费两年共计人民币</w:t>
            </w:r>
            <w:r>
              <w:rPr>
                <w:rFonts w:ascii="微软雅黑" w:hAnsi="微软雅黑" w:eastAsia="微软雅黑" w:cs="宋体"/>
                <w:color w:val="FF0000"/>
                <w:u w:val="single"/>
                <w:lang w:val="en-US" w:eastAsia="zh-TW"/>
              </w:rPr>
              <w:t>10.98</w:t>
            </w:r>
            <w:r>
              <w:rPr>
                <w:rFonts w:ascii="微软雅黑" w:hAnsi="微软雅黑" w:eastAsia="微软雅黑" w:cs="宋体"/>
                <w:color w:val="FF0000"/>
                <w:lang w:val="en-US" w:eastAsia="zh-TW"/>
              </w:rPr>
              <w:t>万元，折合泰铢约55万铢</w:t>
            </w:r>
          </w:p>
          <w:p>
            <w:pPr>
              <w:jc w:val="center"/>
              <w:rPr>
                <w:rFonts w:hint="default" w:ascii="微软雅黑" w:hAnsi="微软雅黑" w:eastAsia="微软雅黑" w:cs="宋体"/>
                <w:color w:val="FF0000"/>
                <w:lang w:val="en-US"/>
              </w:rPr>
            </w:pPr>
            <w:r>
              <w:rPr>
                <w:rFonts w:ascii="微软雅黑" w:hAnsi="微软雅黑" w:eastAsia="微软雅黑" w:cs="宋体"/>
                <w:color w:val="FF0000"/>
                <w:lang w:val="en-US"/>
              </w:rPr>
              <w:t>（每年学费约人民币5.5万元）</w:t>
            </w:r>
          </w:p>
          <w:p>
            <w:pPr>
              <w:rPr>
                <w:rFonts w:hint="default" w:ascii="微软雅黑" w:hAnsi="微软雅黑" w:eastAsia="微软雅黑" w:cs="宋体"/>
                <w:color w:val="FF0000"/>
                <w:lang w:val="en-US"/>
              </w:rPr>
            </w:pPr>
          </w:p>
        </w:tc>
      </w:tr>
      <w:tr>
        <w:tblPrEx>
          <w:tblCellMar>
            <w:top w:w="0" w:type="dxa"/>
            <w:left w:w="108" w:type="dxa"/>
            <w:bottom w:w="0" w:type="dxa"/>
            <w:right w:w="108" w:type="dxa"/>
          </w:tblCellMar>
        </w:tblPrEx>
        <w:trPr>
          <w:gridAfter w:val="1"/>
          <w:wAfter w:w="53" w:type="dxa"/>
          <w:trHeight w:val="602" w:hRule="atLeast"/>
          <w:jc w:val="center"/>
        </w:trPr>
        <w:tc>
          <w:tcPr>
            <w:tcW w:w="3203" w:type="dxa"/>
            <w:vMerge w:val="continue"/>
            <w:tcBorders>
              <w:left w:val="single" w:color="000000" w:sz="8" w:space="0"/>
              <w:right w:val="single" w:color="000000" w:sz="8" w:space="0"/>
            </w:tcBorders>
            <w:vAlign w:val="center"/>
          </w:tcPr>
          <w:p>
            <w:pPr>
              <w:rPr>
                <w:rFonts w:hint="default" w:ascii="微软雅黑" w:hAnsi="微软雅黑" w:eastAsia="微软雅黑" w:cs="宋体"/>
                <w:color w:val="FF0000"/>
                <w:lang w:val="en-US"/>
              </w:rPr>
            </w:pPr>
          </w:p>
        </w:tc>
        <w:tc>
          <w:tcPr>
            <w:tcW w:w="2551" w:type="dxa"/>
            <w:tcBorders>
              <w:top w:val="nil"/>
              <w:left w:val="nil"/>
              <w:bottom w:val="single" w:color="000000" w:sz="8" w:space="0"/>
              <w:right w:val="single" w:color="000000" w:sz="8" w:space="0"/>
            </w:tcBorders>
            <w:shd w:val="clear" w:color="000000" w:fill="CED7E7"/>
            <w:vAlign w:val="center"/>
          </w:tcPr>
          <w:p>
            <w:pPr>
              <w:rPr>
                <w:rFonts w:hint="default" w:ascii="微软雅黑" w:hAnsi="微软雅黑" w:eastAsia="微软雅黑" w:cs="宋体"/>
                <w:color w:val="FF0000"/>
                <w:lang w:val="en-US"/>
              </w:rPr>
            </w:pPr>
            <w:r>
              <w:rPr>
                <w:rFonts w:ascii="微软雅黑" w:hAnsi="微软雅黑" w:eastAsia="微软雅黑" w:cs="宋体"/>
                <w:color w:val="FF0000"/>
                <w:lang w:val="en-US"/>
              </w:rPr>
              <w:t>音乐教育</w:t>
            </w:r>
          </w:p>
        </w:tc>
        <w:tc>
          <w:tcPr>
            <w:tcW w:w="6706" w:type="dxa"/>
            <w:vMerge w:val="continue"/>
            <w:tcBorders>
              <w:left w:val="nil"/>
              <w:right w:val="single" w:color="000000" w:sz="8" w:space="0"/>
            </w:tcBorders>
            <w:shd w:val="clear" w:color="000000" w:fill="CED7E7"/>
            <w:vAlign w:val="center"/>
          </w:tcPr>
          <w:p>
            <w:pPr>
              <w:rPr>
                <w:rFonts w:hint="default" w:ascii="微软雅黑" w:hAnsi="微软雅黑" w:eastAsia="微软雅黑" w:cs="宋体"/>
                <w:color w:val="FF0000"/>
                <w:lang w:val="en-US"/>
              </w:rPr>
            </w:pPr>
          </w:p>
        </w:tc>
      </w:tr>
      <w:tr>
        <w:tblPrEx>
          <w:tblCellMar>
            <w:top w:w="0" w:type="dxa"/>
            <w:left w:w="108" w:type="dxa"/>
            <w:bottom w:w="0" w:type="dxa"/>
            <w:right w:w="108" w:type="dxa"/>
          </w:tblCellMar>
        </w:tblPrEx>
        <w:trPr>
          <w:gridAfter w:val="1"/>
          <w:wAfter w:w="53" w:type="dxa"/>
          <w:trHeight w:val="590" w:hRule="atLeast"/>
          <w:jc w:val="center"/>
        </w:trPr>
        <w:tc>
          <w:tcPr>
            <w:tcW w:w="3203" w:type="dxa"/>
            <w:vMerge w:val="continue"/>
            <w:tcBorders>
              <w:left w:val="single" w:color="000000" w:sz="8" w:space="0"/>
              <w:right w:val="single" w:color="000000" w:sz="8" w:space="0"/>
            </w:tcBorders>
            <w:vAlign w:val="center"/>
          </w:tcPr>
          <w:p>
            <w:pPr>
              <w:rPr>
                <w:rFonts w:hint="default" w:ascii="微软雅黑" w:hAnsi="微软雅黑" w:eastAsia="微软雅黑" w:cs="宋体"/>
                <w:color w:val="FF0000"/>
                <w:lang w:val="en-US"/>
              </w:rPr>
            </w:pPr>
          </w:p>
        </w:tc>
        <w:tc>
          <w:tcPr>
            <w:tcW w:w="2551" w:type="dxa"/>
            <w:tcBorders>
              <w:top w:val="nil"/>
              <w:left w:val="single" w:color="000000" w:sz="8" w:space="0"/>
              <w:bottom w:val="single" w:color="000000" w:sz="8" w:space="0"/>
              <w:right w:val="single" w:color="000000" w:sz="8" w:space="0"/>
            </w:tcBorders>
            <w:shd w:val="clear" w:color="000000" w:fill="CED7E7"/>
            <w:vAlign w:val="center"/>
          </w:tcPr>
          <w:p>
            <w:pPr>
              <w:rPr>
                <w:rFonts w:hint="default" w:ascii="微软雅黑" w:hAnsi="微软雅黑" w:eastAsia="微软雅黑" w:cs="宋体"/>
                <w:color w:val="FF0000"/>
                <w:lang w:val="en-US"/>
              </w:rPr>
            </w:pPr>
            <w:r>
              <w:rPr>
                <w:rFonts w:ascii="微软雅黑" w:hAnsi="微软雅黑" w:eastAsia="微软雅黑" w:cs="宋体"/>
                <w:color w:val="FF0000"/>
                <w:lang w:val="en-US"/>
              </w:rPr>
              <w:t>体育教育</w:t>
            </w:r>
          </w:p>
        </w:tc>
        <w:tc>
          <w:tcPr>
            <w:tcW w:w="6706" w:type="dxa"/>
            <w:vMerge w:val="continue"/>
            <w:tcBorders>
              <w:left w:val="nil"/>
              <w:bottom w:val="nil"/>
              <w:right w:val="single" w:color="000000" w:sz="8" w:space="0"/>
            </w:tcBorders>
            <w:shd w:val="clear" w:color="000000" w:fill="CED7E7"/>
            <w:vAlign w:val="center"/>
          </w:tcPr>
          <w:p>
            <w:pPr>
              <w:rPr>
                <w:rFonts w:hint="default" w:ascii="微软雅黑" w:hAnsi="微软雅黑" w:eastAsia="微软雅黑" w:cs="宋体"/>
                <w:color w:val="FF0000"/>
                <w:sz w:val="22"/>
                <w:szCs w:val="22"/>
                <w:lang w:val="en-US"/>
              </w:rPr>
            </w:pPr>
          </w:p>
        </w:tc>
      </w:tr>
      <w:tr>
        <w:tblPrEx>
          <w:tblCellMar>
            <w:top w:w="0" w:type="dxa"/>
            <w:left w:w="108" w:type="dxa"/>
            <w:bottom w:w="0" w:type="dxa"/>
            <w:right w:w="108" w:type="dxa"/>
          </w:tblCellMar>
        </w:tblPrEx>
        <w:trPr>
          <w:gridAfter w:val="1"/>
          <w:wAfter w:w="53" w:type="dxa"/>
          <w:trHeight w:val="573" w:hRule="atLeast"/>
          <w:jc w:val="center"/>
        </w:trPr>
        <w:tc>
          <w:tcPr>
            <w:tcW w:w="3203" w:type="dxa"/>
            <w:vMerge w:val="continue"/>
            <w:tcBorders>
              <w:left w:val="single" w:color="000000" w:sz="8" w:space="0"/>
              <w:bottom w:val="single" w:color="000000" w:sz="8" w:space="0"/>
              <w:right w:val="single" w:color="000000" w:sz="8" w:space="0"/>
            </w:tcBorders>
            <w:shd w:val="clear" w:color="000000" w:fill="CED7E7"/>
            <w:vAlign w:val="center"/>
          </w:tcPr>
          <w:p>
            <w:pPr>
              <w:rPr>
                <w:rFonts w:hint="default" w:ascii="微软雅黑" w:hAnsi="微软雅黑" w:eastAsia="微软雅黑" w:cs="宋体"/>
                <w:color w:val="FF0000"/>
                <w:lang w:val="en-US"/>
              </w:rPr>
            </w:pPr>
          </w:p>
        </w:tc>
        <w:tc>
          <w:tcPr>
            <w:tcW w:w="2551" w:type="dxa"/>
            <w:tcBorders>
              <w:top w:val="nil"/>
              <w:left w:val="nil"/>
              <w:bottom w:val="single" w:color="000000" w:sz="8" w:space="0"/>
              <w:right w:val="single" w:color="000000" w:sz="8" w:space="0"/>
            </w:tcBorders>
            <w:shd w:val="clear" w:color="000000" w:fill="CED7E7"/>
            <w:vAlign w:val="center"/>
          </w:tcPr>
          <w:p>
            <w:pPr>
              <w:rPr>
                <w:rFonts w:hint="default" w:ascii="微软雅黑" w:hAnsi="微软雅黑" w:eastAsia="微软雅黑" w:cs="宋体"/>
                <w:color w:val="FF0000"/>
                <w:lang w:val="en-US"/>
              </w:rPr>
            </w:pPr>
            <w:r>
              <w:rPr>
                <w:rFonts w:ascii="微软雅黑" w:hAnsi="微软雅黑" w:eastAsia="微软雅黑" w:cs="宋体"/>
                <w:color w:val="FF0000"/>
                <w:lang w:val="en-US"/>
              </w:rPr>
              <w:t>表演艺术</w:t>
            </w:r>
          </w:p>
        </w:tc>
        <w:tc>
          <w:tcPr>
            <w:tcW w:w="6706" w:type="dxa"/>
            <w:vMerge w:val="continue"/>
            <w:tcBorders>
              <w:left w:val="nil"/>
              <w:right w:val="single" w:color="000000" w:sz="8" w:space="0"/>
            </w:tcBorders>
            <w:shd w:val="clear" w:color="000000" w:fill="CED7E7"/>
            <w:vAlign w:val="center"/>
          </w:tcPr>
          <w:p>
            <w:pPr>
              <w:rPr>
                <w:rFonts w:hint="default" w:ascii="微软雅黑" w:hAnsi="微软雅黑" w:eastAsia="微软雅黑" w:cs="宋体"/>
                <w:color w:val="FF0000"/>
                <w:sz w:val="22"/>
                <w:szCs w:val="22"/>
                <w:lang w:val="en-US"/>
              </w:rPr>
            </w:pPr>
          </w:p>
        </w:tc>
      </w:tr>
      <w:tr>
        <w:tblPrEx>
          <w:tblCellMar>
            <w:top w:w="0" w:type="dxa"/>
            <w:left w:w="108" w:type="dxa"/>
            <w:bottom w:w="0" w:type="dxa"/>
            <w:right w:w="108" w:type="dxa"/>
          </w:tblCellMar>
        </w:tblPrEx>
        <w:trPr>
          <w:gridAfter w:val="1"/>
          <w:wAfter w:w="53" w:type="dxa"/>
          <w:trHeight w:val="603" w:hRule="atLeast"/>
          <w:jc w:val="center"/>
        </w:trPr>
        <w:tc>
          <w:tcPr>
            <w:tcW w:w="3203" w:type="dxa"/>
            <w:tcBorders>
              <w:top w:val="nil"/>
              <w:left w:val="single" w:color="000000" w:sz="8" w:space="0"/>
              <w:bottom w:val="single" w:color="000000" w:sz="8" w:space="0"/>
              <w:right w:val="single" w:color="000000" w:sz="8" w:space="0"/>
            </w:tcBorders>
            <w:shd w:val="clear" w:color="000000" w:fill="CED7E7"/>
            <w:vAlign w:val="center"/>
          </w:tcPr>
          <w:p>
            <w:pPr>
              <w:rPr>
                <w:rFonts w:hint="default" w:ascii="微软雅黑" w:hAnsi="微软雅黑" w:eastAsia="微软雅黑" w:cs="宋体"/>
                <w:color w:val="FF0000"/>
                <w:lang w:val="en-US"/>
              </w:rPr>
            </w:pPr>
            <w:r>
              <w:rPr>
                <w:rFonts w:ascii="微软雅黑" w:hAnsi="微软雅黑" w:eastAsia="微软雅黑" w:cs="宋体"/>
                <w:color w:val="FF0000"/>
                <w:lang w:val="en-US"/>
              </w:rPr>
              <w:t>M.Ed教育学硕士(</w:t>
            </w:r>
            <w:r>
              <w:rPr>
                <w:rFonts w:ascii="微软雅黑" w:hAnsi="微软雅黑" w:eastAsia="微软雅黑" w:cs="宋体"/>
                <w:color w:val="FF0000"/>
                <w:lang w:val="en-US" w:eastAsia="zh-TW"/>
              </w:rPr>
              <w:t>教育管理</w:t>
            </w:r>
            <w:r>
              <w:rPr>
                <w:rFonts w:ascii="微软雅黑" w:hAnsi="微软雅黑" w:eastAsia="微软雅黑" w:cs="宋体"/>
                <w:color w:val="FF0000"/>
                <w:lang w:val="en-US"/>
              </w:rPr>
              <w:t>)</w:t>
            </w:r>
          </w:p>
        </w:tc>
        <w:tc>
          <w:tcPr>
            <w:tcW w:w="2551" w:type="dxa"/>
            <w:tcBorders>
              <w:top w:val="nil"/>
              <w:left w:val="single" w:color="000000" w:sz="8" w:space="0"/>
              <w:bottom w:val="single" w:color="000000" w:sz="8" w:space="0"/>
              <w:right w:val="single" w:color="000000" w:sz="8" w:space="0"/>
            </w:tcBorders>
            <w:shd w:val="clear" w:color="000000" w:fill="CED7E7"/>
            <w:vAlign w:val="center"/>
          </w:tcPr>
          <w:p>
            <w:pPr>
              <w:rPr>
                <w:rFonts w:hint="default" w:ascii="微软雅黑" w:hAnsi="微软雅黑" w:eastAsia="微软雅黑"/>
                <w:color w:val="FF0000"/>
                <w:lang w:val="en-US"/>
              </w:rPr>
            </w:pPr>
          </w:p>
        </w:tc>
        <w:tc>
          <w:tcPr>
            <w:tcW w:w="6706" w:type="dxa"/>
            <w:vMerge w:val="continue"/>
            <w:tcBorders>
              <w:left w:val="nil"/>
              <w:bottom w:val="single" w:color="000000" w:sz="8" w:space="0"/>
              <w:right w:val="single" w:color="000000" w:sz="8" w:space="0"/>
            </w:tcBorders>
            <w:shd w:val="clear" w:color="000000" w:fill="CED7E7"/>
            <w:vAlign w:val="center"/>
          </w:tcPr>
          <w:p>
            <w:pPr>
              <w:rPr>
                <w:rFonts w:hint="default" w:ascii="微软雅黑" w:hAnsi="微软雅黑" w:eastAsia="微软雅黑" w:cs="宋体"/>
                <w:color w:val="FF0000"/>
                <w:sz w:val="22"/>
                <w:szCs w:val="22"/>
                <w:lang w:val="en-US"/>
              </w:rPr>
            </w:pPr>
          </w:p>
        </w:tc>
      </w:tr>
    </w:tbl>
    <w:tbl>
      <w:tblPr>
        <w:tblStyle w:val="4"/>
        <w:tblpPr w:leftFromText="180" w:rightFromText="180" w:vertAnchor="text" w:horzAnchor="margin" w:tblpXSpec="center" w:tblpY="167"/>
        <w:tblW w:w="12582" w:type="dxa"/>
        <w:tblInd w:w="0" w:type="dxa"/>
        <w:tblLayout w:type="fixed"/>
        <w:tblCellMar>
          <w:top w:w="0" w:type="dxa"/>
          <w:left w:w="108" w:type="dxa"/>
          <w:bottom w:w="0" w:type="dxa"/>
          <w:right w:w="108" w:type="dxa"/>
        </w:tblCellMar>
      </w:tblPr>
      <w:tblGrid>
        <w:gridCol w:w="3757"/>
        <w:gridCol w:w="1976"/>
        <w:gridCol w:w="6849"/>
      </w:tblGrid>
      <w:tr>
        <w:tblPrEx>
          <w:tblCellMar>
            <w:top w:w="0" w:type="dxa"/>
            <w:left w:w="108" w:type="dxa"/>
            <w:bottom w:w="0" w:type="dxa"/>
            <w:right w:w="108" w:type="dxa"/>
          </w:tblCellMar>
        </w:tblPrEx>
        <w:trPr>
          <w:trHeight w:val="298" w:hRule="atLeast"/>
        </w:trPr>
        <w:tc>
          <w:tcPr>
            <w:tcW w:w="12582" w:type="dxa"/>
            <w:gridSpan w:val="3"/>
            <w:tcBorders>
              <w:top w:val="single" w:color="auto" w:sz="4" w:space="0"/>
              <w:left w:val="single" w:color="auto" w:sz="4" w:space="0"/>
              <w:bottom w:val="single" w:color="auto" w:sz="4" w:space="0"/>
              <w:right w:val="single" w:color="auto" w:sz="4" w:space="0"/>
            </w:tcBorders>
            <w:shd w:val="clear" w:color="000000" w:fill="FAC090"/>
            <w:vAlign w:val="bottom"/>
          </w:tcPr>
          <w:p>
            <w:pPr>
              <w:jc w:val="center"/>
              <w:rPr>
                <w:rFonts w:hint="default" w:ascii="微软雅黑" w:hAnsi="微软雅黑" w:eastAsia="微软雅黑" w:cs="宋体"/>
                <w:b/>
                <w:bCs/>
                <w:color w:val="FF0000"/>
                <w:sz w:val="32"/>
                <w:szCs w:val="32"/>
                <w:lang w:val="en-US"/>
              </w:rPr>
            </w:pPr>
          </w:p>
        </w:tc>
      </w:tr>
      <w:tr>
        <w:tblPrEx>
          <w:tblCellMar>
            <w:top w:w="0" w:type="dxa"/>
            <w:left w:w="108" w:type="dxa"/>
            <w:bottom w:w="0" w:type="dxa"/>
            <w:right w:w="108" w:type="dxa"/>
          </w:tblCellMar>
        </w:tblPrEx>
        <w:trPr>
          <w:trHeight w:val="210" w:hRule="atLeast"/>
        </w:trPr>
        <w:tc>
          <w:tcPr>
            <w:tcW w:w="3757" w:type="dxa"/>
            <w:vMerge w:val="restart"/>
            <w:tcBorders>
              <w:top w:val="nil"/>
              <w:left w:val="single" w:color="auto" w:sz="4" w:space="0"/>
              <w:bottom w:val="single" w:color="auto" w:sz="4" w:space="0"/>
              <w:right w:val="single" w:color="auto" w:sz="4" w:space="0"/>
            </w:tcBorders>
            <w:shd w:val="clear" w:color="000000" w:fill="CED7E7"/>
            <w:vAlign w:val="center"/>
          </w:tcPr>
          <w:p>
            <w:pPr>
              <w:jc w:val="center"/>
              <w:rPr>
                <w:rFonts w:hint="default" w:ascii="微软雅黑" w:hAnsi="微软雅黑" w:eastAsia="微软雅黑" w:cs="宋体"/>
                <w:color w:val="FF0000"/>
                <w:lang w:val="en-US"/>
              </w:rPr>
            </w:pPr>
            <w:r>
              <w:rPr>
                <w:rFonts w:ascii="微软雅黑" w:hAnsi="微软雅黑" w:eastAsia="微软雅黑" w:cs="宋体"/>
                <w:color w:val="FF0000"/>
                <w:lang w:val="en-US" w:eastAsia="zh-TW"/>
              </w:rPr>
              <w:t>学位</w:t>
            </w:r>
            <w:r>
              <w:rPr>
                <w:rFonts w:ascii="微软雅黑" w:hAnsi="微软雅黑" w:eastAsia="微软雅黑" w:cs="宋体"/>
                <w:color w:val="FF0000"/>
                <w:lang w:val="en-US"/>
              </w:rPr>
              <w:t>/专业</w:t>
            </w:r>
          </w:p>
        </w:tc>
        <w:tc>
          <w:tcPr>
            <w:tcW w:w="1976" w:type="dxa"/>
            <w:vMerge w:val="restart"/>
            <w:tcBorders>
              <w:top w:val="nil"/>
              <w:left w:val="single" w:color="auto" w:sz="4" w:space="0"/>
              <w:bottom w:val="single" w:color="auto" w:sz="4" w:space="0"/>
              <w:right w:val="single" w:color="auto" w:sz="4" w:space="0"/>
            </w:tcBorders>
            <w:shd w:val="clear" w:color="000000" w:fill="CED7E7"/>
            <w:vAlign w:val="center"/>
          </w:tcPr>
          <w:p>
            <w:pPr>
              <w:jc w:val="center"/>
              <w:rPr>
                <w:rFonts w:hint="default" w:ascii="微软雅黑" w:hAnsi="微软雅黑" w:eastAsia="微软雅黑" w:cs="宋体"/>
                <w:color w:val="FF0000"/>
                <w:lang w:val="en-US"/>
              </w:rPr>
            </w:pPr>
            <w:r>
              <w:rPr>
                <w:rFonts w:ascii="微软雅黑" w:hAnsi="微软雅黑" w:eastAsia="微软雅黑" w:cs="宋体"/>
                <w:color w:val="FF0000"/>
                <w:lang w:val="en-US" w:eastAsia="zh-TW"/>
              </w:rPr>
              <w:t xml:space="preserve">培养方向                          </w:t>
            </w:r>
          </w:p>
        </w:tc>
        <w:tc>
          <w:tcPr>
            <w:tcW w:w="6849" w:type="dxa"/>
            <w:tcBorders>
              <w:top w:val="single" w:color="auto" w:sz="4" w:space="0"/>
              <w:left w:val="nil"/>
              <w:bottom w:val="single" w:color="auto" w:sz="4" w:space="0"/>
              <w:right w:val="single" w:color="auto" w:sz="4" w:space="0"/>
            </w:tcBorders>
            <w:shd w:val="clear" w:color="000000" w:fill="CED7E7"/>
            <w:vAlign w:val="center"/>
          </w:tcPr>
          <w:p>
            <w:pPr>
              <w:jc w:val="center"/>
              <w:rPr>
                <w:rFonts w:hint="default" w:ascii="微软雅黑" w:hAnsi="微软雅黑" w:eastAsia="微软雅黑" w:cs="宋体"/>
                <w:color w:val="FF0000"/>
                <w:lang w:val="en-US"/>
              </w:rPr>
            </w:pPr>
            <w:r>
              <w:rPr>
                <w:rFonts w:ascii="微软雅黑" w:hAnsi="微软雅黑" w:eastAsia="微软雅黑" w:cs="宋体"/>
                <w:color w:val="FF0000"/>
                <w:lang w:val="en-US" w:eastAsia="zh-TW"/>
              </w:rPr>
              <w:t>收费标准</w:t>
            </w:r>
          </w:p>
        </w:tc>
      </w:tr>
      <w:tr>
        <w:tblPrEx>
          <w:tblCellMar>
            <w:top w:w="0" w:type="dxa"/>
            <w:left w:w="108" w:type="dxa"/>
            <w:bottom w:w="0" w:type="dxa"/>
            <w:right w:w="108" w:type="dxa"/>
          </w:tblCellMar>
        </w:tblPrEx>
        <w:trPr>
          <w:trHeight w:val="210" w:hRule="atLeast"/>
        </w:trPr>
        <w:tc>
          <w:tcPr>
            <w:tcW w:w="3757" w:type="dxa"/>
            <w:vMerge w:val="continue"/>
            <w:tcBorders>
              <w:top w:val="nil"/>
              <w:left w:val="single" w:color="auto" w:sz="4" w:space="0"/>
              <w:bottom w:val="single" w:color="auto" w:sz="4" w:space="0"/>
              <w:right w:val="single" w:color="auto" w:sz="4" w:space="0"/>
            </w:tcBorders>
            <w:vAlign w:val="center"/>
          </w:tcPr>
          <w:p>
            <w:pPr>
              <w:rPr>
                <w:rFonts w:hint="default" w:ascii="微软雅黑" w:hAnsi="微软雅黑" w:eastAsia="微软雅黑" w:cs="宋体"/>
                <w:color w:val="FF0000"/>
                <w:lang w:val="en-US"/>
              </w:rPr>
            </w:pPr>
          </w:p>
        </w:tc>
        <w:tc>
          <w:tcPr>
            <w:tcW w:w="1976" w:type="dxa"/>
            <w:vMerge w:val="continue"/>
            <w:tcBorders>
              <w:top w:val="nil"/>
              <w:left w:val="single" w:color="auto" w:sz="4" w:space="0"/>
              <w:bottom w:val="single" w:color="auto" w:sz="4" w:space="0"/>
              <w:right w:val="single" w:color="auto" w:sz="4" w:space="0"/>
            </w:tcBorders>
            <w:vAlign w:val="center"/>
          </w:tcPr>
          <w:p>
            <w:pPr>
              <w:rPr>
                <w:rFonts w:hint="default" w:ascii="微软雅黑" w:hAnsi="微软雅黑" w:eastAsia="微软雅黑" w:cs="宋体"/>
                <w:color w:val="FF0000"/>
                <w:lang w:val="en-US"/>
              </w:rPr>
            </w:pPr>
          </w:p>
        </w:tc>
        <w:tc>
          <w:tcPr>
            <w:tcW w:w="6849" w:type="dxa"/>
            <w:tcBorders>
              <w:top w:val="nil"/>
              <w:left w:val="nil"/>
              <w:bottom w:val="single" w:color="auto" w:sz="4" w:space="0"/>
              <w:right w:val="single" w:color="auto" w:sz="4" w:space="0"/>
            </w:tcBorders>
            <w:shd w:val="clear" w:color="000000" w:fill="CED7E7"/>
            <w:vAlign w:val="center"/>
          </w:tcPr>
          <w:p>
            <w:pPr>
              <w:jc w:val="center"/>
              <w:rPr>
                <w:rFonts w:hint="default" w:ascii="微软雅黑" w:hAnsi="微软雅黑" w:eastAsia="微软雅黑" w:cs="宋体"/>
                <w:color w:val="FF0000"/>
                <w:lang w:val="en-US"/>
              </w:rPr>
            </w:pPr>
            <w:r>
              <w:rPr>
                <w:rFonts w:ascii="微软雅黑" w:hAnsi="微软雅黑" w:eastAsia="微软雅黑" w:cs="宋体"/>
                <w:color w:val="FF0000"/>
                <w:lang w:val="en-US"/>
              </w:rPr>
              <w:t>中泰名校联合培养</w:t>
            </w:r>
          </w:p>
        </w:tc>
      </w:tr>
      <w:tr>
        <w:tblPrEx>
          <w:tblCellMar>
            <w:top w:w="0" w:type="dxa"/>
            <w:left w:w="108" w:type="dxa"/>
            <w:bottom w:w="0" w:type="dxa"/>
            <w:right w:w="108" w:type="dxa"/>
          </w:tblCellMar>
        </w:tblPrEx>
        <w:trPr>
          <w:trHeight w:val="3429" w:hRule="atLeast"/>
        </w:trPr>
        <w:tc>
          <w:tcPr>
            <w:tcW w:w="3757" w:type="dxa"/>
            <w:tcBorders>
              <w:top w:val="nil"/>
              <w:left w:val="nil"/>
              <w:right w:val="single" w:color="auto" w:sz="4" w:space="0"/>
            </w:tcBorders>
            <w:shd w:val="clear" w:color="000000" w:fill="CED7E7"/>
            <w:vAlign w:val="center"/>
          </w:tcPr>
          <w:p>
            <w:pPr>
              <w:rPr>
                <w:rFonts w:hint="default" w:ascii="微软雅黑" w:hAnsi="微软雅黑" w:eastAsia="微软雅黑"/>
                <w:color w:val="FF0000"/>
                <w:lang w:val="en-US"/>
              </w:rPr>
            </w:pPr>
            <w:r>
              <w:rPr>
                <w:rFonts w:ascii="微软雅黑" w:hAnsi="微软雅黑" w:eastAsia="微软雅黑" w:cs="宋体"/>
                <w:color w:val="FF0000"/>
                <w:lang w:val="en-US"/>
              </w:rPr>
              <w:t>Ph.D哲学博士（</w:t>
            </w:r>
            <w:r>
              <w:rPr>
                <w:rFonts w:ascii="微软雅黑" w:hAnsi="微软雅黑" w:eastAsia="微软雅黑"/>
                <w:color w:val="FF0000"/>
                <w:lang w:val="en-US" w:eastAsia="zh-TW"/>
              </w:rPr>
              <w:t>教育管理</w:t>
            </w:r>
            <w:r>
              <w:rPr>
                <w:rFonts w:ascii="微软雅黑" w:hAnsi="微软雅黑" w:eastAsia="微软雅黑"/>
                <w:color w:val="FF0000"/>
                <w:lang w:val="en-US"/>
              </w:rPr>
              <w:t>）</w:t>
            </w:r>
          </w:p>
        </w:tc>
        <w:tc>
          <w:tcPr>
            <w:tcW w:w="1976" w:type="dxa"/>
            <w:tcBorders>
              <w:top w:val="nil"/>
              <w:left w:val="nil"/>
              <w:right w:val="single" w:color="auto" w:sz="4" w:space="0"/>
            </w:tcBorders>
            <w:shd w:val="clear" w:color="000000" w:fill="CED7E7"/>
          </w:tcPr>
          <w:p>
            <w:pPr>
              <w:rPr>
                <w:rFonts w:hint="default" w:ascii="微软雅黑" w:hAnsi="微软雅黑" w:eastAsia="微软雅黑"/>
                <w:color w:val="FF0000"/>
                <w:lang w:val="en-US"/>
              </w:rPr>
            </w:pPr>
          </w:p>
        </w:tc>
        <w:tc>
          <w:tcPr>
            <w:tcW w:w="6849" w:type="dxa"/>
            <w:tcBorders>
              <w:top w:val="nil"/>
              <w:left w:val="single" w:color="auto" w:sz="4" w:space="0"/>
              <w:right w:val="single" w:color="auto" w:sz="4" w:space="0"/>
            </w:tcBorders>
            <w:shd w:val="clear" w:color="000000" w:fill="CED7E7"/>
            <w:vAlign w:val="center"/>
          </w:tcPr>
          <w:p>
            <w:pPr>
              <w:rPr>
                <w:rFonts w:hint="default" w:ascii="微软雅黑" w:hAnsi="微软雅黑" w:eastAsia="微软雅黑" w:cs="宋体"/>
                <w:color w:val="FF0000"/>
                <w:lang w:val="en-US"/>
              </w:rPr>
            </w:pPr>
            <w:r>
              <w:rPr>
                <w:rFonts w:ascii="微软雅黑" w:hAnsi="微软雅黑" w:eastAsia="微软雅黑" w:cs="宋体"/>
                <w:color w:val="FF0000"/>
                <w:lang w:val="en-US" w:eastAsia="zh-TW"/>
              </w:rPr>
              <w:t>学杂费三年共计人民币</w:t>
            </w:r>
            <w:r>
              <w:rPr>
                <w:rFonts w:ascii="微软雅黑" w:hAnsi="微软雅黑" w:eastAsia="微软雅黑" w:cs="宋体"/>
                <w:color w:val="FF0000"/>
                <w:u w:val="single"/>
                <w:lang w:val="en-US" w:eastAsia="zh-TW"/>
              </w:rPr>
              <w:t>33.8</w:t>
            </w:r>
            <w:r>
              <w:rPr>
                <w:rFonts w:ascii="微软雅黑" w:hAnsi="微软雅黑" w:eastAsia="微软雅黑" w:cs="宋体"/>
                <w:color w:val="FF0000"/>
                <w:lang w:val="en-US" w:eastAsia="zh-TW"/>
              </w:rPr>
              <w:t>万元，折合泰铢约169万铢。（每年学杂费约人民币11.3万元）</w:t>
            </w:r>
          </w:p>
          <w:p>
            <w:pPr>
              <w:jc w:val="center"/>
              <w:rPr>
                <w:rFonts w:hint="default" w:ascii="微软雅黑" w:hAnsi="微软雅黑" w:eastAsia="微软雅黑" w:cs="宋体"/>
                <w:color w:val="FF0000"/>
                <w:lang w:val="en-US"/>
              </w:rPr>
            </w:pPr>
            <w:r>
              <w:rPr>
                <w:rFonts w:ascii="微软雅黑" w:hAnsi="微软雅黑" w:eastAsia="微软雅黑" w:cs="宋体"/>
                <w:color w:val="FF0000"/>
                <w:lang w:val="en-US" w:eastAsia="zh-TW"/>
              </w:rPr>
              <w:t xml:space="preserve">                   </w:t>
            </w:r>
          </w:p>
        </w:tc>
      </w:tr>
    </w:tbl>
    <w:p>
      <w:pPr>
        <w:pStyle w:val="9"/>
        <w:widowControl w:val="0"/>
        <w:spacing w:line="276" w:lineRule="auto"/>
        <w:jc w:val="both"/>
        <w:rPr>
          <w:rFonts w:hint="eastAsia" w:ascii="微软雅黑" w:hAnsi="微软雅黑" w:eastAsia="微软雅黑" w:cs="华文宋体"/>
          <w:color w:val="FF0000"/>
          <w:sz w:val="28"/>
          <w:szCs w:val="28"/>
          <w:lang w:val="zh-TW"/>
        </w:rPr>
      </w:pPr>
    </w:p>
    <w:p>
      <w:pPr>
        <w:pStyle w:val="9"/>
        <w:widowControl w:val="0"/>
        <w:spacing w:line="276" w:lineRule="auto"/>
        <w:jc w:val="both"/>
        <w:rPr>
          <w:rFonts w:hint="eastAsia" w:ascii="微软雅黑" w:hAnsi="微软雅黑" w:eastAsia="微软雅黑" w:cs="华文宋体"/>
          <w:color w:val="FF0000"/>
          <w:sz w:val="28"/>
          <w:szCs w:val="28"/>
          <w:lang w:val="zh-TW"/>
        </w:rPr>
      </w:pPr>
    </w:p>
    <w:p>
      <w:pPr>
        <w:pStyle w:val="9"/>
        <w:widowControl w:val="0"/>
        <w:spacing w:line="276" w:lineRule="auto"/>
        <w:jc w:val="both"/>
        <w:rPr>
          <w:rFonts w:hint="eastAsia" w:ascii="微软雅黑" w:hAnsi="微软雅黑" w:eastAsia="微软雅黑" w:cs="华文宋体"/>
          <w:color w:val="FF0000"/>
          <w:sz w:val="28"/>
          <w:szCs w:val="28"/>
          <w:lang w:val="zh-TW"/>
        </w:rPr>
      </w:pPr>
    </w:p>
    <w:p>
      <w:pPr>
        <w:pStyle w:val="9"/>
        <w:widowControl w:val="0"/>
        <w:spacing w:line="276" w:lineRule="auto"/>
        <w:jc w:val="both"/>
        <w:rPr>
          <w:rFonts w:hint="eastAsia" w:ascii="微软雅黑" w:hAnsi="微软雅黑" w:eastAsia="微软雅黑" w:cs="华文宋体"/>
          <w:color w:val="FF0000"/>
          <w:sz w:val="28"/>
          <w:szCs w:val="28"/>
          <w:lang w:val="zh-TW"/>
        </w:rPr>
      </w:pPr>
    </w:p>
    <w:p>
      <w:pPr>
        <w:pStyle w:val="9"/>
        <w:widowControl w:val="0"/>
        <w:spacing w:line="276" w:lineRule="auto"/>
        <w:jc w:val="both"/>
        <w:rPr>
          <w:rFonts w:hint="eastAsia" w:ascii="微软雅黑" w:hAnsi="微软雅黑" w:eastAsia="微软雅黑" w:cs="华文宋体"/>
          <w:color w:val="FF0000"/>
          <w:sz w:val="28"/>
          <w:szCs w:val="28"/>
          <w:lang w:val="zh-TW"/>
        </w:rPr>
      </w:pPr>
    </w:p>
    <w:p>
      <w:pPr>
        <w:pStyle w:val="9"/>
        <w:widowControl w:val="0"/>
        <w:spacing w:line="276" w:lineRule="auto"/>
        <w:jc w:val="both"/>
        <w:rPr>
          <w:rFonts w:hint="eastAsia" w:ascii="微软雅黑" w:hAnsi="微软雅黑" w:eastAsia="微软雅黑" w:cs="华文宋体"/>
          <w:color w:val="FF0000"/>
          <w:sz w:val="28"/>
          <w:szCs w:val="28"/>
          <w:lang w:val="zh-TW"/>
        </w:rPr>
      </w:pPr>
    </w:p>
    <w:p>
      <w:pPr>
        <w:pStyle w:val="9"/>
        <w:widowControl w:val="0"/>
        <w:spacing w:line="276" w:lineRule="auto"/>
        <w:jc w:val="both"/>
        <w:rPr>
          <w:rFonts w:hint="eastAsia" w:ascii="微软雅黑" w:hAnsi="微软雅黑" w:eastAsia="微软雅黑" w:cs="华文宋体"/>
          <w:color w:val="FF0000"/>
          <w:sz w:val="28"/>
          <w:szCs w:val="28"/>
          <w:lang w:val="zh-TW"/>
        </w:rPr>
      </w:pPr>
    </w:p>
    <w:p>
      <w:pPr>
        <w:pStyle w:val="9"/>
        <w:widowControl w:val="0"/>
        <w:spacing w:line="276" w:lineRule="auto"/>
        <w:jc w:val="both"/>
        <w:rPr>
          <w:rFonts w:hint="eastAsia" w:ascii="微软雅黑" w:hAnsi="微软雅黑" w:eastAsia="微软雅黑" w:cs="华文宋体"/>
          <w:color w:val="FF0000"/>
          <w:sz w:val="28"/>
          <w:szCs w:val="28"/>
          <w:lang w:val="zh-TW"/>
        </w:rPr>
      </w:pPr>
    </w:p>
    <w:p>
      <w:pPr>
        <w:pStyle w:val="9"/>
        <w:widowControl w:val="0"/>
        <w:spacing w:line="276" w:lineRule="auto"/>
        <w:jc w:val="both"/>
        <w:rPr>
          <w:rFonts w:ascii="微软雅黑" w:hAnsi="微软雅黑" w:eastAsia="微软雅黑" w:cs="华文宋体"/>
          <w:color w:val="FF0000"/>
          <w:sz w:val="28"/>
          <w:szCs w:val="28"/>
          <w:lang w:val="zh-TW"/>
        </w:rPr>
      </w:pPr>
    </w:p>
    <w:p>
      <w:pPr>
        <w:pStyle w:val="9"/>
        <w:widowControl w:val="0"/>
        <w:spacing w:line="276" w:lineRule="auto"/>
        <w:jc w:val="both"/>
        <w:rPr>
          <w:rFonts w:ascii="微软雅黑" w:hAnsi="微软雅黑" w:eastAsia="微软雅黑" w:cs="华文宋体"/>
          <w:color w:val="FF0000"/>
          <w:sz w:val="28"/>
          <w:szCs w:val="28"/>
          <w:lang w:val="zh-TW"/>
        </w:rPr>
      </w:pPr>
    </w:p>
    <w:p>
      <w:pPr>
        <w:pStyle w:val="9"/>
        <w:widowControl w:val="0"/>
        <w:spacing w:line="276" w:lineRule="auto"/>
        <w:jc w:val="both"/>
        <w:rPr>
          <w:rFonts w:ascii="微软雅黑" w:hAnsi="微软雅黑" w:eastAsia="微软雅黑" w:cs="华文宋体"/>
          <w:color w:val="auto"/>
          <w:sz w:val="28"/>
          <w:szCs w:val="28"/>
        </w:rPr>
      </w:pPr>
    </w:p>
    <w:p>
      <w:pPr>
        <w:pStyle w:val="9"/>
        <w:widowControl w:val="0"/>
        <w:rPr>
          <w:rFonts w:ascii="微软雅黑" w:hAnsi="微软雅黑" w:eastAsia="微软雅黑" w:cs="华文宋体"/>
          <w:color w:val="auto"/>
          <w:sz w:val="28"/>
          <w:szCs w:val="28"/>
          <w:lang w:val="zh-TW"/>
        </w:rPr>
      </w:pPr>
    </w:p>
    <w:p>
      <w:pPr>
        <w:pStyle w:val="9"/>
        <w:rPr>
          <w:rFonts w:hint="eastAsia" w:ascii="微软雅黑" w:hAnsi="微软雅黑" w:eastAsia="微软雅黑" w:cs="新宋体"/>
          <w:bCs/>
          <w:color w:val="auto"/>
          <w:sz w:val="28"/>
          <w:szCs w:val="28"/>
          <w:u w:color="FF0000"/>
          <w:lang w:val="zh-TW" w:eastAsia="zh-CN"/>
        </w:rPr>
      </w:pPr>
      <w:r>
        <w:rPr>
          <w:rFonts w:hint="eastAsia" w:ascii="微软雅黑" w:hAnsi="微软雅黑" w:eastAsia="微软雅黑" w:cs="新宋体"/>
          <w:bCs/>
          <w:color w:val="auto"/>
          <w:sz w:val="28"/>
          <w:szCs w:val="28"/>
          <w:u w:color="FF0000"/>
          <w:lang w:val="zh-TW"/>
        </w:rPr>
        <w:t>特别提示</w:t>
      </w:r>
      <w:r>
        <w:rPr>
          <w:rFonts w:hint="eastAsia" w:ascii="微软雅黑" w:hAnsi="微软雅黑" w:eastAsia="微软雅黑" w:cs="新宋体"/>
          <w:bCs/>
          <w:color w:val="auto"/>
          <w:sz w:val="28"/>
          <w:szCs w:val="28"/>
          <w:u w:color="FF0000"/>
          <w:lang w:val="zh-TW" w:eastAsia="zh-CN"/>
        </w:rPr>
        <w:t>：</w:t>
      </w:r>
    </w:p>
    <w:p>
      <w:pPr>
        <w:pStyle w:val="9"/>
        <w:rPr>
          <w:rFonts w:ascii="微软雅黑" w:hAnsi="微软雅黑" w:eastAsia="微软雅黑" w:cs="新宋体"/>
          <w:bCs/>
          <w:color w:val="auto"/>
          <w:sz w:val="28"/>
          <w:szCs w:val="28"/>
          <w:u w:color="FF0000"/>
          <w:lang w:val="zh-TW"/>
        </w:rPr>
      </w:pPr>
      <w:r>
        <w:rPr>
          <w:rFonts w:hint="eastAsia" w:ascii="微软雅黑" w:hAnsi="微软雅黑" w:eastAsia="微软雅黑" w:cs="新宋体"/>
          <w:bCs/>
          <w:color w:val="auto"/>
          <w:sz w:val="28"/>
          <w:szCs w:val="28"/>
          <w:u w:color="FF0000"/>
          <w:lang w:val="zh-TW"/>
        </w:rPr>
        <w:t>以上硕博课程的培养方向仅在成绩单上体现，毕业学位证书上仅体现学位和专业名称（解释权归校方所有）。</w:t>
      </w:r>
    </w:p>
    <w:p>
      <w:pPr>
        <w:pStyle w:val="9"/>
        <w:widowControl w:val="0"/>
        <w:spacing w:line="276" w:lineRule="auto"/>
        <w:jc w:val="both"/>
        <w:rPr>
          <w:rFonts w:ascii="微软雅黑" w:hAnsi="微软雅黑" w:eastAsia="微软雅黑"/>
          <w:color w:val="auto"/>
          <w:sz w:val="28"/>
          <w:szCs w:val="28"/>
          <w:u w:color="FF0000"/>
          <w:lang w:val="zh-TW" w:eastAsia="zh-TW"/>
        </w:rPr>
      </w:pPr>
    </w:p>
    <w:p>
      <w:pPr>
        <w:jc w:val="both"/>
        <w:rPr>
          <w:rFonts w:hint="default" w:ascii="宋体" w:hAnsi="宋体" w:eastAsia="宋体" w:cs="宋体"/>
          <w:sz w:val="36"/>
          <w:szCs w:val="36"/>
        </w:rPr>
      </w:pPr>
    </w:p>
    <w:p>
      <w:pPr>
        <w:jc w:val="center"/>
        <w:rPr>
          <w:rFonts w:hint="default" w:ascii="宋体" w:hAnsi="宋体" w:eastAsia="宋体" w:cs="宋体"/>
          <w:sz w:val="36"/>
          <w:szCs w:val="36"/>
        </w:rPr>
      </w:pPr>
    </w:p>
    <w:p>
      <w:pPr>
        <w:jc w:val="center"/>
        <w:rPr>
          <w:rFonts w:hint="default" w:ascii="宋体" w:hAnsi="宋体" w:eastAsia="宋体" w:cs="宋体"/>
          <w:sz w:val="36"/>
          <w:szCs w:val="36"/>
        </w:rPr>
      </w:pPr>
    </w:p>
    <w:p>
      <w:pPr>
        <w:jc w:val="center"/>
        <w:rPr>
          <w:rFonts w:hint="default" w:ascii="宋体" w:hAnsi="宋体" w:eastAsia="宋体" w:cs="宋体"/>
          <w:sz w:val="36"/>
          <w:szCs w:val="36"/>
        </w:rPr>
      </w:pPr>
    </w:p>
    <w:p>
      <w:pPr>
        <w:jc w:val="center"/>
        <w:rPr>
          <w:rFonts w:ascii="宋体" w:hAnsi="宋体" w:eastAsia="宋体" w:cs="宋体"/>
          <w:sz w:val="36"/>
          <w:szCs w:val="36"/>
        </w:rPr>
      </w:pPr>
    </w:p>
    <w:p>
      <w:pPr>
        <w:jc w:val="center"/>
        <w:rPr>
          <w:rFonts w:ascii="宋体" w:hAnsi="宋体" w:eastAsia="宋体" w:cs="宋体"/>
          <w:sz w:val="36"/>
          <w:szCs w:val="36"/>
        </w:rPr>
      </w:pPr>
    </w:p>
    <w:p>
      <w:pPr>
        <w:jc w:val="center"/>
        <w:rPr>
          <w:rFonts w:ascii="宋体" w:hAnsi="宋体" w:eastAsia="宋体" w:cs="宋体"/>
          <w:sz w:val="36"/>
          <w:szCs w:val="36"/>
        </w:rPr>
      </w:pPr>
    </w:p>
    <w:p>
      <w:pPr>
        <w:jc w:val="center"/>
        <w:rPr>
          <w:rFonts w:ascii="宋体" w:hAnsi="宋体" w:eastAsia="宋体" w:cs="宋体"/>
          <w:sz w:val="36"/>
          <w:szCs w:val="36"/>
        </w:rPr>
      </w:pPr>
    </w:p>
    <w:p>
      <w:pPr>
        <w:jc w:val="center"/>
        <w:rPr>
          <w:rFonts w:ascii="宋体" w:hAnsi="宋体" w:eastAsia="宋体" w:cs="宋体"/>
          <w:sz w:val="36"/>
          <w:szCs w:val="36"/>
        </w:rPr>
      </w:pPr>
    </w:p>
    <w:p>
      <w:pPr>
        <w:jc w:val="center"/>
        <w:rPr>
          <w:rFonts w:ascii="宋体" w:hAnsi="宋体" w:eastAsia="宋体" w:cs="宋体"/>
          <w:sz w:val="36"/>
          <w:szCs w:val="36"/>
        </w:rPr>
      </w:pPr>
    </w:p>
    <w:p>
      <w:pPr>
        <w:jc w:val="center"/>
        <w:rPr>
          <w:rFonts w:ascii="宋体" w:hAnsi="宋体" w:eastAsia="宋体" w:cs="宋体"/>
          <w:sz w:val="36"/>
          <w:szCs w:val="36"/>
        </w:rPr>
      </w:pPr>
    </w:p>
    <w:p>
      <w:pPr>
        <w:jc w:val="center"/>
        <w:rPr>
          <w:rFonts w:ascii="宋体" w:hAnsi="宋体" w:eastAsia="宋体" w:cs="宋体"/>
          <w:sz w:val="36"/>
          <w:szCs w:val="36"/>
        </w:rPr>
      </w:pPr>
    </w:p>
    <w:p>
      <w:pPr>
        <w:jc w:val="center"/>
        <w:rPr>
          <w:rFonts w:ascii="宋体" w:hAnsi="宋体" w:eastAsia="宋体" w:cs="宋体"/>
          <w:sz w:val="36"/>
          <w:szCs w:val="36"/>
        </w:rPr>
      </w:pPr>
    </w:p>
    <w:p>
      <w:pPr>
        <w:jc w:val="center"/>
        <w:rPr>
          <w:rFonts w:ascii="宋体" w:hAnsi="宋体" w:eastAsia="宋体" w:cs="宋体"/>
          <w:sz w:val="36"/>
          <w:szCs w:val="36"/>
        </w:rPr>
      </w:pPr>
    </w:p>
    <w:p>
      <w:pPr>
        <w:jc w:val="center"/>
        <w:rPr>
          <w:rFonts w:ascii="宋体" w:hAnsi="宋体" w:eastAsia="宋体" w:cs="宋体"/>
          <w:sz w:val="36"/>
          <w:szCs w:val="36"/>
        </w:rPr>
      </w:pPr>
    </w:p>
    <w:p>
      <w:pPr>
        <w:jc w:val="center"/>
        <w:rPr>
          <w:rFonts w:ascii="宋体" w:hAnsi="宋体" w:eastAsia="宋体" w:cs="宋体"/>
          <w:sz w:val="36"/>
          <w:szCs w:val="36"/>
        </w:rPr>
      </w:pPr>
    </w:p>
    <w:p>
      <w:pPr>
        <w:jc w:val="center"/>
        <w:rPr>
          <w:rFonts w:ascii="宋体" w:hAnsi="宋体" w:eastAsia="宋体" w:cs="宋体"/>
          <w:sz w:val="36"/>
          <w:szCs w:val="36"/>
        </w:rPr>
      </w:pPr>
    </w:p>
    <w:p>
      <w:pPr>
        <w:jc w:val="center"/>
        <w:rPr>
          <w:rFonts w:hint="default"/>
          <w:sz w:val="36"/>
          <w:szCs w:val="36"/>
        </w:rPr>
      </w:pPr>
      <w:bookmarkStart w:id="0" w:name="_GoBack"/>
      <w:bookmarkEnd w:id="0"/>
      <w:r>
        <w:rPr>
          <w:rFonts w:ascii="宋体" w:hAnsi="宋体" w:eastAsia="宋体" w:cs="宋体"/>
          <w:sz w:val="36"/>
          <w:szCs w:val="36"/>
        </w:rPr>
        <w:t>招生报名表</w:t>
      </w:r>
    </w:p>
    <w:p>
      <w:pPr>
        <w:rPr>
          <w:rFonts w:hint="default"/>
          <w:sz w:val="21"/>
          <w:szCs w:val="21"/>
        </w:rPr>
      </w:pP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87"/>
        <w:gridCol w:w="1887"/>
        <w:gridCol w:w="1887"/>
        <w:gridCol w:w="1759"/>
        <w:gridCol w:w="2015"/>
        <w:gridCol w:w="37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887" w:type="dxa"/>
            <w:tcBorders>
              <w:top w:val="single" w:color="000000" w:sz="4" w:space="0"/>
              <w:left w:val="single" w:color="000000" w:sz="4" w:space="0"/>
              <w:bottom w:val="single" w:color="000000" w:sz="4" w:space="0"/>
              <w:right w:val="single" w:color="000000" w:sz="4" w:space="0"/>
            </w:tcBorders>
          </w:tcPr>
          <w:p>
            <w:pPr>
              <w:widowControl w:val="0"/>
              <w:rPr>
                <w:rFonts w:hint="default"/>
                <w:kern w:val="2"/>
                <w:sz w:val="21"/>
                <w:szCs w:val="21"/>
              </w:rPr>
            </w:pPr>
            <w:r>
              <w:rPr>
                <w:rFonts w:ascii="宋体" w:hAnsi="宋体" w:eastAsia="宋体" w:cs="宋体"/>
                <w:szCs w:val="21"/>
              </w:rPr>
              <w:t>课程全名</w:t>
            </w:r>
          </w:p>
        </w:tc>
        <w:tc>
          <w:tcPr>
            <w:tcW w:w="11324" w:type="dxa"/>
            <w:gridSpan w:val="5"/>
            <w:tcBorders>
              <w:top w:val="single" w:color="000000" w:sz="4" w:space="0"/>
              <w:left w:val="single" w:color="000000" w:sz="4" w:space="0"/>
              <w:bottom w:val="single" w:color="000000" w:sz="4" w:space="0"/>
              <w:right w:val="single" w:color="000000" w:sz="4" w:space="0"/>
            </w:tcBorders>
          </w:tcPr>
          <w:p>
            <w:pPr>
              <w:widowControl w:val="0"/>
              <w:rPr>
                <w:rFonts w:hint="default"/>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trPr>
        <w:tc>
          <w:tcPr>
            <w:tcW w:w="1887" w:type="dxa"/>
            <w:tcBorders>
              <w:top w:val="single" w:color="000000" w:sz="4" w:space="0"/>
              <w:left w:val="single" w:color="000000" w:sz="4" w:space="0"/>
              <w:bottom w:val="single" w:color="000000" w:sz="4" w:space="0"/>
              <w:right w:val="single" w:color="000000" w:sz="4" w:space="0"/>
            </w:tcBorders>
          </w:tcPr>
          <w:p>
            <w:pPr>
              <w:widowControl w:val="0"/>
              <w:rPr>
                <w:rFonts w:hint="default"/>
                <w:kern w:val="2"/>
                <w:sz w:val="21"/>
                <w:szCs w:val="21"/>
              </w:rPr>
            </w:pPr>
            <w:r>
              <w:rPr>
                <w:rFonts w:ascii="宋体" w:hAnsi="宋体" w:eastAsia="宋体" w:cs="宋体"/>
                <w:szCs w:val="21"/>
              </w:rPr>
              <w:t>姓</w:t>
            </w:r>
            <w:r>
              <w:rPr>
                <w:szCs w:val="21"/>
              </w:rPr>
              <w:t xml:space="preserve">   </w:t>
            </w:r>
            <w:r>
              <w:rPr>
                <w:rFonts w:ascii="宋体" w:hAnsi="宋体" w:eastAsia="宋体" w:cs="宋体"/>
                <w:szCs w:val="21"/>
              </w:rPr>
              <w:t>名</w:t>
            </w:r>
          </w:p>
        </w:tc>
        <w:tc>
          <w:tcPr>
            <w:tcW w:w="1887" w:type="dxa"/>
            <w:tcBorders>
              <w:top w:val="single" w:color="000000" w:sz="4" w:space="0"/>
              <w:left w:val="single" w:color="000000" w:sz="4" w:space="0"/>
              <w:bottom w:val="single" w:color="000000" w:sz="4" w:space="0"/>
              <w:right w:val="single" w:color="000000" w:sz="4" w:space="0"/>
            </w:tcBorders>
          </w:tcPr>
          <w:p>
            <w:pPr>
              <w:widowControl w:val="0"/>
              <w:rPr>
                <w:rFonts w:hint="default"/>
                <w:kern w:val="2"/>
                <w:sz w:val="21"/>
                <w:szCs w:val="21"/>
              </w:rPr>
            </w:pPr>
            <w:r>
              <w:rPr>
                <w:szCs w:val="21"/>
              </w:rPr>
              <w:t xml:space="preserve">  </w:t>
            </w:r>
          </w:p>
        </w:tc>
        <w:tc>
          <w:tcPr>
            <w:tcW w:w="1887" w:type="dxa"/>
            <w:tcBorders>
              <w:top w:val="single" w:color="000000" w:sz="4" w:space="0"/>
              <w:left w:val="single" w:color="000000" w:sz="4" w:space="0"/>
              <w:bottom w:val="single" w:color="000000" w:sz="4" w:space="0"/>
              <w:right w:val="single" w:color="000000" w:sz="4" w:space="0"/>
            </w:tcBorders>
          </w:tcPr>
          <w:p>
            <w:pPr>
              <w:widowControl w:val="0"/>
              <w:rPr>
                <w:rFonts w:hint="default"/>
                <w:kern w:val="2"/>
                <w:sz w:val="21"/>
                <w:szCs w:val="21"/>
              </w:rPr>
            </w:pPr>
            <w:r>
              <w:rPr>
                <w:rFonts w:ascii="宋体" w:hAnsi="宋体" w:eastAsia="宋体" w:cs="宋体"/>
                <w:szCs w:val="21"/>
              </w:rPr>
              <w:t>性</w:t>
            </w:r>
            <w:r>
              <w:rPr>
                <w:szCs w:val="21"/>
              </w:rPr>
              <w:t xml:space="preserve">   </w:t>
            </w:r>
            <w:r>
              <w:rPr>
                <w:rFonts w:ascii="宋体" w:hAnsi="宋体" w:eastAsia="宋体" w:cs="宋体"/>
                <w:szCs w:val="21"/>
              </w:rPr>
              <w:t>别</w:t>
            </w:r>
          </w:p>
        </w:tc>
        <w:tc>
          <w:tcPr>
            <w:tcW w:w="1759" w:type="dxa"/>
            <w:tcBorders>
              <w:top w:val="single" w:color="000000" w:sz="4" w:space="0"/>
              <w:left w:val="single" w:color="000000" w:sz="4" w:space="0"/>
              <w:bottom w:val="single" w:color="000000" w:sz="4" w:space="0"/>
              <w:right w:val="single" w:color="000000" w:sz="4" w:space="0"/>
            </w:tcBorders>
          </w:tcPr>
          <w:p>
            <w:pPr>
              <w:widowControl w:val="0"/>
              <w:rPr>
                <w:rFonts w:hint="default"/>
                <w:kern w:val="2"/>
                <w:sz w:val="21"/>
                <w:szCs w:val="21"/>
              </w:rPr>
            </w:pPr>
          </w:p>
        </w:tc>
        <w:tc>
          <w:tcPr>
            <w:tcW w:w="2015" w:type="dxa"/>
            <w:tcBorders>
              <w:top w:val="single" w:color="000000" w:sz="4" w:space="0"/>
              <w:left w:val="single" w:color="000000" w:sz="4" w:space="0"/>
              <w:bottom w:val="single" w:color="000000" w:sz="4" w:space="0"/>
              <w:right w:val="single" w:color="000000" w:sz="4" w:space="0"/>
            </w:tcBorders>
          </w:tcPr>
          <w:p>
            <w:pPr>
              <w:widowControl w:val="0"/>
              <w:rPr>
                <w:rFonts w:hint="default"/>
                <w:kern w:val="2"/>
                <w:sz w:val="21"/>
                <w:szCs w:val="21"/>
              </w:rPr>
            </w:pPr>
            <w:r>
              <w:rPr>
                <w:rFonts w:ascii="宋体" w:hAnsi="宋体" w:eastAsia="宋体" w:cs="宋体"/>
                <w:szCs w:val="21"/>
              </w:rPr>
              <w:t>出生日期</w:t>
            </w:r>
          </w:p>
        </w:tc>
        <w:tc>
          <w:tcPr>
            <w:tcW w:w="3776" w:type="dxa"/>
            <w:tcBorders>
              <w:top w:val="single" w:color="000000" w:sz="4" w:space="0"/>
              <w:left w:val="single" w:color="000000" w:sz="4" w:space="0"/>
              <w:bottom w:val="single" w:color="000000" w:sz="4" w:space="0"/>
              <w:right w:val="single" w:color="000000" w:sz="4" w:space="0"/>
            </w:tcBorders>
          </w:tcPr>
          <w:p>
            <w:pPr>
              <w:widowControl w:val="0"/>
              <w:rPr>
                <w:rFonts w:hint="default"/>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trPr>
        <w:tc>
          <w:tcPr>
            <w:tcW w:w="1887" w:type="dxa"/>
            <w:tcBorders>
              <w:top w:val="single" w:color="000000" w:sz="4" w:space="0"/>
              <w:left w:val="single" w:color="000000" w:sz="4" w:space="0"/>
              <w:bottom w:val="single" w:color="000000" w:sz="4" w:space="0"/>
              <w:right w:val="single" w:color="000000" w:sz="4" w:space="0"/>
            </w:tcBorders>
          </w:tcPr>
          <w:p>
            <w:pPr>
              <w:widowControl w:val="0"/>
              <w:rPr>
                <w:rFonts w:hint="default"/>
                <w:kern w:val="2"/>
                <w:sz w:val="21"/>
                <w:szCs w:val="21"/>
              </w:rPr>
            </w:pPr>
            <w:r>
              <w:rPr>
                <w:rFonts w:ascii="宋体" w:hAnsi="宋体" w:eastAsia="宋体" w:cs="宋体"/>
                <w:szCs w:val="21"/>
              </w:rPr>
              <w:t>民</w:t>
            </w:r>
            <w:r>
              <w:rPr>
                <w:szCs w:val="21"/>
              </w:rPr>
              <w:t xml:space="preserve">   </w:t>
            </w:r>
            <w:r>
              <w:rPr>
                <w:rFonts w:ascii="宋体" w:hAnsi="宋体" w:eastAsia="宋体" w:cs="宋体"/>
                <w:szCs w:val="21"/>
              </w:rPr>
              <w:t>族</w:t>
            </w:r>
          </w:p>
        </w:tc>
        <w:tc>
          <w:tcPr>
            <w:tcW w:w="1887" w:type="dxa"/>
            <w:tcBorders>
              <w:top w:val="single" w:color="000000" w:sz="4" w:space="0"/>
              <w:left w:val="single" w:color="000000" w:sz="4" w:space="0"/>
              <w:bottom w:val="single" w:color="000000" w:sz="4" w:space="0"/>
              <w:right w:val="single" w:color="000000" w:sz="4" w:space="0"/>
            </w:tcBorders>
          </w:tcPr>
          <w:p>
            <w:pPr>
              <w:widowControl w:val="0"/>
              <w:rPr>
                <w:rFonts w:hint="default"/>
                <w:kern w:val="2"/>
                <w:sz w:val="21"/>
                <w:szCs w:val="21"/>
              </w:rPr>
            </w:pPr>
          </w:p>
        </w:tc>
        <w:tc>
          <w:tcPr>
            <w:tcW w:w="1887" w:type="dxa"/>
            <w:tcBorders>
              <w:top w:val="single" w:color="000000" w:sz="4" w:space="0"/>
              <w:left w:val="single" w:color="000000" w:sz="4" w:space="0"/>
              <w:bottom w:val="single" w:color="000000" w:sz="4" w:space="0"/>
              <w:right w:val="single" w:color="000000" w:sz="4" w:space="0"/>
            </w:tcBorders>
          </w:tcPr>
          <w:p>
            <w:pPr>
              <w:widowControl w:val="0"/>
              <w:rPr>
                <w:rFonts w:hint="default"/>
                <w:kern w:val="2"/>
                <w:sz w:val="21"/>
                <w:szCs w:val="21"/>
              </w:rPr>
            </w:pPr>
            <w:r>
              <w:rPr>
                <w:rFonts w:ascii="宋体" w:hAnsi="宋体" w:eastAsia="宋体" w:cs="宋体"/>
                <w:szCs w:val="21"/>
              </w:rPr>
              <w:t>籍</w:t>
            </w:r>
            <w:r>
              <w:rPr>
                <w:szCs w:val="21"/>
              </w:rPr>
              <w:t xml:space="preserve">   </w:t>
            </w:r>
            <w:r>
              <w:rPr>
                <w:rFonts w:ascii="宋体" w:hAnsi="宋体" w:eastAsia="宋体" w:cs="宋体"/>
                <w:szCs w:val="21"/>
              </w:rPr>
              <w:t>贯</w:t>
            </w:r>
          </w:p>
        </w:tc>
        <w:tc>
          <w:tcPr>
            <w:tcW w:w="1759" w:type="dxa"/>
            <w:tcBorders>
              <w:top w:val="single" w:color="000000" w:sz="4" w:space="0"/>
              <w:left w:val="single" w:color="000000" w:sz="4" w:space="0"/>
              <w:bottom w:val="single" w:color="000000" w:sz="4" w:space="0"/>
              <w:right w:val="single" w:color="000000" w:sz="4" w:space="0"/>
            </w:tcBorders>
          </w:tcPr>
          <w:p>
            <w:pPr>
              <w:widowControl w:val="0"/>
              <w:rPr>
                <w:rFonts w:hint="default"/>
                <w:kern w:val="2"/>
                <w:sz w:val="21"/>
                <w:szCs w:val="21"/>
              </w:rPr>
            </w:pPr>
          </w:p>
        </w:tc>
        <w:tc>
          <w:tcPr>
            <w:tcW w:w="2015" w:type="dxa"/>
            <w:tcBorders>
              <w:top w:val="single" w:color="000000" w:sz="4" w:space="0"/>
              <w:left w:val="single" w:color="000000" w:sz="4" w:space="0"/>
              <w:bottom w:val="single" w:color="000000" w:sz="4" w:space="0"/>
              <w:right w:val="single" w:color="000000" w:sz="4" w:space="0"/>
            </w:tcBorders>
          </w:tcPr>
          <w:p>
            <w:pPr>
              <w:widowControl w:val="0"/>
              <w:rPr>
                <w:rFonts w:hint="default"/>
                <w:kern w:val="2"/>
                <w:sz w:val="21"/>
                <w:szCs w:val="21"/>
              </w:rPr>
            </w:pPr>
            <w:r>
              <w:rPr>
                <w:rFonts w:ascii="宋体" w:hAnsi="宋体" w:eastAsia="宋体" w:cs="宋体"/>
                <w:szCs w:val="21"/>
              </w:rPr>
              <w:t>职务</w:t>
            </w:r>
            <w:r>
              <w:rPr>
                <w:szCs w:val="21"/>
              </w:rPr>
              <w:t>/</w:t>
            </w:r>
            <w:r>
              <w:rPr>
                <w:rFonts w:ascii="宋体" w:hAnsi="宋体" w:eastAsia="宋体" w:cs="宋体"/>
                <w:szCs w:val="21"/>
              </w:rPr>
              <w:t>职称</w:t>
            </w:r>
          </w:p>
        </w:tc>
        <w:tc>
          <w:tcPr>
            <w:tcW w:w="3776" w:type="dxa"/>
            <w:tcBorders>
              <w:top w:val="single" w:color="000000" w:sz="4" w:space="0"/>
              <w:left w:val="single" w:color="000000" w:sz="4" w:space="0"/>
              <w:bottom w:val="single" w:color="000000" w:sz="4" w:space="0"/>
              <w:right w:val="single" w:color="000000" w:sz="4" w:space="0"/>
            </w:tcBorders>
          </w:tcPr>
          <w:p>
            <w:pPr>
              <w:widowControl w:val="0"/>
              <w:rPr>
                <w:rFonts w:hint="default"/>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1887" w:type="dxa"/>
            <w:tcBorders>
              <w:top w:val="single" w:color="000000" w:sz="4" w:space="0"/>
              <w:left w:val="single" w:color="000000" w:sz="4" w:space="0"/>
              <w:bottom w:val="single" w:color="000000" w:sz="4" w:space="0"/>
              <w:right w:val="single" w:color="000000" w:sz="4" w:space="0"/>
            </w:tcBorders>
          </w:tcPr>
          <w:p>
            <w:pPr>
              <w:widowControl w:val="0"/>
              <w:rPr>
                <w:rFonts w:hint="default"/>
                <w:kern w:val="2"/>
                <w:sz w:val="21"/>
                <w:szCs w:val="21"/>
              </w:rPr>
            </w:pPr>
            <w:r>
              <w:rPr>
                <w:rFonts w:ascii="宋体" w:hAnsi="宋体" w:eastAsia="宋体" w:cs="宋体"/>
                <w:szCs w:val="21"/>
              </w:rPr>
              <w:t>身份证号</w:t>
            </w:r>
          </w:p>
        </w:tc>
        <w:tc>
          <w:tcPr>
            <w:tcW w:w="5533" w:type="dxa"/>
            <w:gridSpan w:val="3"/>
            <w:tcBorders>
              <w:top w:val="single" w:color="000000" w:sz="4" w:space="0"/>
              <w:left w:val="single" w:color="000000" w:sz="4" w:space="0"/>
              <w:bottom w:val="single" w:color="000000" w:sz="4" w:space="0"/>
              <w:right w:val="single" w:color="000000" w:sz="4" w:space="0"/>
            </w:tcBorders>
          </w:tcPr>
          <w:p>
            <w:pPr>
              <w:widowControl w:val="0"/>
              <w:rPr>
                <w:rFonts w:hint="default"/>
                <w:kern w:val="2"/>
                <w:sz w:val="21"/>
                <w:szCs w:val="21"/>
              </w:rPr>
            </w:pPr>
          </w:p>
        </w:tc>
        <w:tc>
          <w:tcPr>
            <w:tcW w:w="2015" w:type="dxa"/>
            <w:tcBorders>
              <w:top w:val="single" w:color="000000" w:sz="4" w:space="0"/>
              <w:left w:val="single" w:color="000000" w:sz="4" w:space="0"/>
              <w:bottom w:val="single" w:color="000000" w:sz="4" w:space="0"/>
              <w:right w:val="single" w:color="000000" w:sz="4" w:space="0"/>
            </w:tcBorders>
          </w:tcPr>
          <w:p>
            <w:pPr>
              <w:widowControl w:val="0"/>
              <w:rPr>
                <w:rFonts w:hint="default"/>
                <w:kern w:val="2"/>
                <w:sz w:val="21"/>
                <w:szCs w:val="21"/>
              </w:rPr>
            </w:pPr>
            <w:r>
              <w:rPr>
                <w:rFonts w:ascii="宋体" w:hAnsi="宋体" w:eastAsia="宋体" w:cs="宋体"/>
                <w:szCs w:val="21"/>
              </w:rPr>
              <w:t>工作年限</w:t>
            </w:r>
          </w:p>
        </w:tc>
        <w:tc>
          <w:tcPr>
            <w:tcW w:w="3776" w:type="dxa"/>
            <w:tcBorders>
              <w:top w:val="single" w:color="000000" w:sz="4" w:space="0"/>
              <w:left w:val="single" w:color="000000" w:sz="4" w:space="0"/>
              <w:bottom w:val="single" w:color="000000" w:sz="4" w:space="0"/>
              <w:right w:val="single" w:color="000000" w:sz="4" w:space="0"/>
            </w:tcBorders>
          </w:tcPr>
          <w:p>
            <w:pPr>
              <w:widowControl w:val="0"/>
              <w:rPr>
                <w:rFonts w:hint="default"/>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1887" w:type="dxa"/>
            <w:vMerge w:val="restart"/>
            <w:tcBorders>
              <w:top w:val="single" w:color="000000" w:sz="4" w:space="0"/>
              <w:left w:val="single" w:color="000000" w:sz="4" w:space="0"/>
              <w:bottom w:val="single" w:color="000000" w:sz="4" w:space="0"/>
              <w:right w:val="single" w:color="000000" w:sz="4" w:space="0"/>
            </w:tcBorders>
          </w:tcPr>
          <w:p>
            <w:pPr>
              <w:widowControl w:val="0"/>
              <w:rPr>
                <w:rFonts w:hint="default"/>
                <w:kern w:val="2"/>
                <w:sz w:val="21"/>
                <w:szCs w:val="21"/>
              </w:rPr>
            </w:pPr>
            <w:r>
              <w:rPr>
                <w:rFonts w:ascii="宋体" w:hAnsi="宋体" w:eastAsia="宋体" w:cs="宋体"/>
                <w:szCs w:val="21"/>
              </w:rPr>
              <w:t>教育程度</w:t>
            </w:r>
          </w:p>
        </w:tc>
        <w:tc>
          <w:tcPr>
            <w:tcW w:w="1887" w:type="dxa"/>
            <w:tcBorders>
              <w:top w:val="single" w:color="000000" w:sz="4" w:space="0"/>
              <w:left w:val="single" w:color="000000" w:sz="4" w:space="0"/>
              <w:bottom w:val="single" w:color="000000" w:sz="4" w:space="0"/>
              <w:right w:val="single" w:color="000000" w:sz="4" w:space="0"/>
            </w:tcBorders>
          </w:tcPr>
          <w:p>
            <w:pPr>
              <w:widowControl w:val="0"/>
              <w:rPr>
                <w:rFonts w:hint="default"/>
                <w:kern w:val="2"/>
                <w:sz w:val="21"/>
                <w:szCs w:val="21"/>
              </w:rPr>
            </w:pPr>
            <w:r>
              <w:rPr>
                <w:rFonts w:ascii="宋体" w:hAnsi="宋体" w:eastAsia="宋体" w:cs="宋体"/>
                <w:szCs w:val="21"/>
              </w:rPr>
              <w:t>学</w:t>
            </w:r>
            <w:r>
              <w:rPr>
                <w:szCs w:val="21"/>
              </w:rPr>
              <w:t xml:space="preserve">    </w:t>
            </w:r>
            <w:r>
              <w:rPr>
                <w:rFonts w:ascii="宋体" w:hAnsi="宋体" w:eastAsia="宋体" w:cs="宋体"/>
                <w:szCs w:val="21"/>
              </w:rPr>
              <w:t>历</w:t>
            </w:r>
          </w:p>
        </w:tc>
        <w:tc>
          <w:tcPr>
            <w:tcW w:w="3646" w:type="dxa"/>
            <w:gridSpan w:val="2"/>
            <w:tcBorders>
              <w:top w:val="single" w:color="000000" w:sz="4" w:space="0"/>
              <w:left w:val="single" w:color="000000" w:sz="4" w:space="0"/>
              <w:bottom w:val="single" w:color="000000" w:sz="4" w:space="0"/>
              <w:right w:val="single" w:color="000000" w:sz="4" w:space="0"/>
            </w:tcBorders>
          </w:tcPr>
          <w:p>
            <w:pPr>
              <w:widowControl w:val="0"/>
              <w:rPr>
                <w:rFonts w:hint="default"/>
                <w:kern w:val="2"/>
                <w:sz w:val="21"/>
                <w:szCs w:val="21"/>
              </w:rPr>
            </w:pPr>
          </w:p>
        </w:tc>
        <w:tc>
          <w:tcPr>
            <w:tcW w:w="2015" w:type="dxa"/>
            <w:tcBorders>
              <w:top w:val="single" w:color="000000" w:sz="4" w:space="0"/>
              <w:left w:val="single" w:color="000000" w:sz="4" w:space="0"/>
              <w:bottom w:val="single" w:color="000000" w:sz="4" w:space="0"/>
              <w:right w:val="single" w:color="000000" w:sz="4" w:space="0"/>
            </w:tcBorders>
          </w:tcPr>
          <w:p>
            <w:pPr>
              <w:widowControl w:val="0"/>
              <w:rPr>
                <w:rFonts w:hint="default"/>
                <w:kern w:val="2"/>
                <w:sz w:val="21"/>
                <w:szCs w:val="21"/>
              </w:rPr>
            </w:pPr>
            <w:r>
              <w:rPr>
                <w:rFonts w:ascii="宋体" w:hAnsi="宋体" w:eastAsia="宋体" w:cs="宋体"/>
                <w:szCs w:val="21"/>
              </w:rPr>
              <w:t>毕业院校</w:t>
            </w:r>
          </w:p>
        </w:tc>
        <w:tc>
          <w:tcPr>
            <w:tcW w:w="3776" w:type="dxa"/>
            <w:tcBorders>
              <w:top w:val="single" w:color="000000" w:sz="4" w:space="0"/>
              <w:left w:val="single" w:color="000000" w:sz="4" w:space="0"/>
              <w:bottom w:val="single" w:color="000000" w:sz="4" w:space="0"/>
              <w:right w:val="single" w:color="000000" w:sz="4" w:space="0"/>
            </w:tcBorders>
          </w:tcPr>
          <w:p>
            <w:pPr>
              <w:widowControl w:val="0"/>
              <w:rPr>
                <w:rFonts w:hint="default"/>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9" w:hRule="atLeast"/>
        </w:trPr>
        <w:tc>
          <w:tcPr>
            <w:tcW w:w="1887"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kern w:val="2"/>
                <w:sz w:val="21"/>
                <w:szCs w:val="21"/>
              </w:rPr>
            </w:pPr>
          </w:p>
        </w:tc>
        <w:tc>
          <w:tcPr>
            <w:tcW w:w="1887" w:type="dxa"/>
            <w:tcBorders>
              <w:top w:val="single" w:color="000000" w:sz="4" w:space="0"/>
              <w:left w:val="single" w:color="000000" w:sz="4" w:space="0"/>
              <w:bottom w:val="single" w:color="000000" w:sz="4" w:space="0"/>
              <w:right w:val="single" w:color="000000" w:sz="4" w:space="0"/>
            </w:tcBorders>
          </w:tcPr>
          <w:p>
            <w:pPr>
              <w:widowControl w:val="0"/>
              <w:rPr>
                <w:rFonts w:hint="default"/>
                <w:kern w:val="2"/>
                <w:sz w:val="21"/>
                <w:szCs w:val="21"/>
              </w:rPr>
            </w:pPr>
            <w:r>
              <w:rPr>
                <w:rFonts w:ascii="宋体" w:hAnsi="宋体" w:eastAsia="宋体" w:cs="宋体"/>
                <w:szCs w:val="21"/>
              </w:rPr>
              <w:t>学</w:t>
            </w:r>
            <w:r>
              <w:rPr>
                <w:szCs w:val="21"/>
              </w:rPr>
              <w:t xml:space="preserve">    </w:t>
            </w:r>
            <w:r>
              <w:rPr>
                <w:rFonts w:ascii="宋体" w:hAnsi="宋体" w:eastAsia="宋体" w:cs="宋体"/>
                <w:szCs w:val="21"/>
              </w:rPr>
              <w:t>位</w:t>
            </w:r>
          </w:p>
        </w:tc>
        <w:tc>
          <w:tcPr>
            <w:tcW w:w="3646" w:type="dxa"/>
            <w:gridSpan w:val="2"/>
            <w:tcBorders>
              <w:top w:val="single" w:color="000000" w:sz="4" w:space="0"/>
              <w:left w:val="single" w:color="000000" w:sz="4" w:space="0"/>
              <w:bottom w:val="single" w:color="000000" w:sz="4" w:space="0"/>
              <w:right w:val="single" w:color="000000" w:sz="4" w:space="0"/>
            </w:tcBorders>
          </w:tcPr>
          <w:p>
            <w:pPr>
              <w:widowControl w:val="0"/>
              <w:rPr>
                <w:rFonts w:hint="default"/>
                <w:kern w:val="2"/>
                <w:sz w:val="21"/>
                <w:szCs w:val="21"/>
              </w:rPr>
            </w:pPr>
          </w:p>
        </w:tc>
        <w:tc>
          <w:tcPr>
            <w:tcW w:w="2015" w:type="dxa"/>
            <w:tcBorders>
              <w:top w:val="single" w:color="000000" w:sz="4" w:space="0"/>
              <w:left w:val="single" w:color="000000" w:sz="4" w:space="0"/>
              <w:bottom w:val="single" w:color="000000" w:sz="4" w:space="0"/>
              <w:right w:val="single" w:color="000000" w:sz="4" w:space="0"/>
            </w:tcBorders>
          </w:tcPr>
          <w:p>
            <w:pPr>
              <w:widowControl w:val="0"/>
              <w:rPr>
                <w:rFonts w:hint="default"/>
                <w:kern w:val="2"/>
                <w:sz w:val="21"/>
                <w:szCs w:val="21"/>
              </w:rPr>
            </w:pPr>
            <w:r>
              <w:rPr>
                <w:rFonts w:ascii="宋体" w:hAnsi="宋体" w:eastAsia="宋体" w:cs="宋体"/>
                <w:szCs w:val="21"/>
              </w:rPr>
              <w:t>专</w:t>
            </w:r>
            <w:r>
              <w:rPr>
                <w:szCs w:val="21"/>
              </w:rPr>
              <w:t xml:space="preserve">    </w:t>
            </w:r>
            <w:r>
              <w:rPr>
                <w:rFonts w:ascii="宋体" w:hAnsi="宋体" w:eastAsia="宋体" w:cs="宋体"/>
                <w:szCs w:val="21"/>
              </w:rPr>
              <w:t>业</w:t>
            </w:r>
          </w:p>
        </w:tc>
        <w:tc>
          <w:tcPr>
            <w:tcW w:w="3776" w:type="dxa"/>
            <w:tcBorders>
              <w:top w:val="single" w:color="000000" w:sz="4" w:space="0"/>
              <w:left w:val="single" w:color="000000" w:sz="4" w:space="0"/>
              <w:bottom w:val="single" w:color="000000" w:sz="4" w:space="0"/>
              <w:right w:val="single" w:color="000000" w:sz="4" w:space="0"/>
            </w:tcBorders>
          </w:tcPr>
          <w:p>
            <w:pPr>
              <w:widowControl w:val="0"/>
              <w:rPr>
                <w:rFonts w:hint="default"/>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5" w:hRule="atLeast"/>
        </w:trPr>
        <w:tc>
          <w:tcPr>
            <w:tcW w:w="1887" w:type="dxa"/>
            <w:tcBorders>
              <w:top w:val="single" w:color="000000" w:sz="4" w:space="0"/>
              <w:left w:val="single" w:color="000000" w:sz="4" w:space="0"/>
              <w:bottom w:val="single" w:color="000000" w:sz="4" w:space="0"/>
              <w:right w:val="single" w:color="000000" w:sz="4" w:space="0"/>
            </w:tcBorders>
          </w:tcPr>
          <w:p>
            <w:pPr>
              <w:widowControl w:val="0"/>
              <w:rPr>
                <w:rFonts w:hint="default"/>
                <w:kern w:val="2"/>
                <w:sz w:val="21"/>
                <w:szCs w:val="21"/>
              </w:rPr>
            </w:pPr>
            <w:r>
              <w:rPr>
                <w:rFonts w:ascii="宋体" w:hAnsi="宋体" w:eastAsia="宋体" w:cs="宋体"/>
                <w:szCs w:val="21"/>
              </w:rPr>
              <w:t>毕业时间</w:t>
            </w:r>
          </w:p>
        </w:tc>
        <w:tc>
          <w:tcPr>
            <w:tcW w:w="3773" w:type="dxa"/>
            <w:gridSpan w:val="2"/>
            <w:tcBorders>
              <w:top w:val="single" w:color="000000" w:sz="4" w:space="0"/>
              <w:left w:val="single" w:color="000000" w:sz="4" w:space="0"/>
              <w:bottom w:val="single" w:color="000000" w:sz="4" w:space="0"/>
              <w:right w:val="single" w:color="000000" w:sz="4" w:space="0"/>
            </w:tcBorders>
          </w:tcPr>
          <w:p>
            <w:pPr>
              <w:widowControl w:val="0"/>
              <w:rPr>
                <w:rFonts w:hint="default"/>
                <w:kern w:val="2"/>
                <w:sz w:val="21"/>
                <w:szCs w:val="21"/>
              </w:rPr>
            </w:pPr>
          </w:p>
        </w:tc>
        <w:tc>
          <w:tcPr>
            <w:tcW w:w="1759" w:type="dxa"/>
            <w:tcBorders>
              <w:top w:val="single" w:color="000000" w:sz="4" w:space="0"/>
              <w:left w:val="single" w:color="000000" w:sz="4" w:space="0"/>
              <w:bottom w:val="single" w:color="000000" w:sz="4" w:space="0"/>
              <w:right w:val="single" w:color="000000" w:sz="4" w:space="0"/>
            </w:tcBorders>
          </w:tcPr>
          <w:p>
            <w:pPr>
              <w:widowControl w:val="0"/>
              <w:rPr>
                <w:rFonts w:hint="default"/>
                <w:kern w:val="2"/>
                <w:sz w:val="21"/>
                <w:szCs w:val="21"/>
              </w:rPr>
            </w:pPr>
            <w:r>
              <w:rPr>
                <w:rFonts w:ascii="宋体" w:hAnsi="宋体" w:eastAsia="宋体" w:cs="宋体"/>
                <w:szCs w:val="21"/>
              </w:rPr>
              <w:t>付款方式</w:t>
            </w:r>
          </w:p>
        </w:tc>
        <w:tc>
          <w:tcPr>
            <w:tcW w:w="5792" w:type="dxa"/>
            <w:gridSpan w:val="2"/>
            <w:tcBorders>
              <w:top w:val="single" w:color="000000" w:sz="4" w:space="0"/>
              <w:left w:val="single" w:color="000000" w:sz="4" w:space="0"/>
              <w:bottom w:val="single" w:color="000000" w:sz="4" w:space="0"/>
              <w:right w:val="single" w:color="000000" w:sz="4" w:space="0"/>
            </w:tcBorders>
          </w:tcPr>
          <w:p>
            <w:pPr>
              <w:widowControl w:val="0"/>
              <w:ind w:firstLine="360" w:firstLineChars="150"/>
              <w:rPr>
                <w:rFonts w:hint="default"/>
                <w:kern w:val="2"/>
                <w:sz w:val="21"/>
                <w:szCs w:val="21"/>
              </w:rPr>
            </w:pPr>
            <w:r>
              <w:rPr>
                <w:rFonts w:hint="default" w:ascii="Calibri" w:hAnsi="Calibri" w:eastAsia="宋体" w:cs="Times New Roman"/>
              </w:rPr>
              <w:pict>
                <v:rect id="_x0000_s1027" o:spid="_x0000_s1027" o:spt="1" style="position:absolute;left:0pt;margin-left:0.65pt;margin-top:2.35pt;height:9.75pt;width:9.8pt;z-index:251657216;mso-width-relative:page;mso-height-relative:page;" coordsize="21600,21600">
                  <v:path/>
                  <v:fill focussize="0,0"/>
                  <v:stroke/>
                  <v:imagedata o:title=""/>
                  <o:lock v:ext="edit"/>
                </v:rect>
              </w:pict>
            </w:r>
            <w:r>
              <w:rPr>
                <w:rFonts w:hint="default" w:ascii="Calibri" w:hAnsi="Calibri" w:eastAsia="宋体" w:cs="Times New Roman"/>
              </w:rPr>
              <w:pict>
                <v:rect id="_x0000_s1026" o:spid="_x0000_s1026" o:spt="1" style="position:absolute;left:0pt;margin-left:59.95pt;margin-top:2.35pt;height:9.75pt;width:9.75pt;z-index:251658240;mso-width-relative:page;mso-height-relative:page;" coordsize="21600,21600">
                  <v:path/>
                  <v:fill focussize="0,0"/>
                  <v:stroke/>
                  <v:imagedata o:title=""/>
                  <o:lock v:ext="edit"/>
                </v:rect>
              </w:pict>
            </w:r>
            <w:r>
              <w:rPr>
                <w:rFonts w:hint="default" w:ascii="Calibri" w:hAnsi="Calibri" w:eastAsia="宋体" w:cs="Times New Roman"/>
              </w:rPr>
              <w:pict>
                <v:rect id="_x0000_s1028" o:spid="_x0000_s1028" o:spt="1" style="position:absolute;left:0pt;margin-left:118.4pt;margin-top:2.35pt;height:9.75pt;width:8.3pt;z-index:251658240;mso-width-relative:page;mso-height-relative:page;" coordsize="21600,21600">
                  <v:path/>
                  <v:fill focussize="0,0"/>
                  <v:stroke/>
                  <v:imagedata o:title=""/>
                  <o:lock v:ext="edit"/>
                </v:rect>
              </w:pict>
            </w:r>
            <w:r>
              <w:rPr>
                <w:rFonts w:ascii="宋体" w:hAnsi="宋体" w:eastAsia="宋体" w:cs="宋体"/>
                <w:szCs w:val="21"/>
              </w:rPr>
              <w:t>银行汇款</w:t>
            </w:r>
            <w:r>
              <w:rPr>
                <w:szCs w:val="21"/>
              </w:rPr>
              <w:t xml:space="preserve">   </w:t>
            </w:r>
            <w:r>
              <w:rPr>
                <w:rFonts w:ascii="宋体" w:hAnsi="宋体" w:eastAsia="宋体" w:cs="宋体"/>
                <w:szCs w:val="21"/>
              </w:rPr>
              <w:t>现今付款</w:t>
            </w:r>
            <w:r>
              <w:rPr>
                <w:szCs w:val="21"/>
              </w:rPr>
              <w:t xml:space="preserve">   </w:t>
            </w:r>
            <w:r>
              <w:rPr>
                <w:rFonts w:ascii="宋体" w:hAnsi="宋体" w:eastAsia="宋体" w:cs="宋体"/>
                <w:szCs w:val="21"/>
              </w:rPr>
              <w:t>电子转账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trPr>
        <w:tc>
          <w:tcPr>
            <w:tcW w:w="1887" w:type="dxa"/>
            <w:tcBorders>
              <w:top w:val="single" w:color="000000" w:sz="4" w:space="0"/>
              <w:left w:val="single" w:color="000000" w:sz="4" w:space="0"/>
              <w:bottom w:val="single" w:color="000000" w:sz="4" w:space="0"/>
              <w:right w:val="single" w:color="000000" w:sz="4" w:space="0"/>
            </w:tcBorders>
          </w:tcPr>
          <w:p>
            <w:pPr>
              <w:widowControl w:val="0"/>
              <w:rPr>
                <w:rFonts w:hint="default"/>
                <w:kern w:val="2"/>
                <w:sz w:val="21"/>
                <w:szCs w:val="21"/>
              </w:rPr>
            </w:pPr>
            <w:r>
              <w:rPr>
                <w:rFonts w:ascii="宋体" w:hAnsi="宋体" w:eastAsia="宋体" w:cs="宋体"/>
                <w:szCs w:val="21"/>
              </w:rPr>
              <w:t>公司名称</w:t>
            </w:r>
          </w:p>
        </w:tc>
        <w:tc>
          <w:tcPr>
            <w:tcW w:w="11324" w:type="dxa"/>
            <w:gridSpan w:val="5"/>
            <w:tcBorders>
              <w:top w:val="single" w:color="000000" w:sz="4" w:space="0"/>
              <w:left w:val="single" w:color="000000" w:sz="4" w:space="0"/>
              <w:bottom w:val="single" w:color="000000" w:sz="4" w:space="0"/>
              <w:right w:val="single" w:color="000000" w:sz="4" w:space="0"/>
            </w:tcBorders>
          </w:tcPr>
          <w:p>
            <w:pPr>
              <w:widowControl w:val="0"/>
              <w:rPr>
                <w:rFonts w:hint="default"/>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1887" w:type="dxa"/>
            <w:tcBorders>
              <w:top w:val="single" w:color="000000" w:sz="4" w:space="0"/>
              <w:left w:val="single" w:color="000000" w:sz="4" w:space="0"/>
              <w:bottom w:val="single" w:color="000000" w:sz="4" w:space="0"/>
              <w:right w:val="single" w:color="000000" w:sz="4" w:space="0"/>
            </w:tcBorders>
          </w:tcPr>
          <w:p>
            <w:pPr>
              <w:widowControl w:val="0"/>
              <w:rPr>
                <w:rFonts w:hint="default"/>
                <w:kern w:val="2"/>
                <w:sz w:val="21"/>
                <w:szCs w:val="21"/>
              </w:rPr>
            </w:pPr>
            <w:r>
              <w:rPr>
                <w:rFonts w:ascii="宋体" w:hAnsi="宋体" w:eastAsia="宋体" w:cs="宋体"/>
                <w:szCs w:val="21"/>
              </w:rPr>
              <w:t>电</w:t>
            </w:r>
            <w:r>
              <w:rPr>
                <w:szCs w:val="21"/>
              </w:rPr>
              <w:t xml:space="preserve">    </w:t>
            </w:r>
            <w:r>
              <w:rPr>
                <w:rFonts w:ascii="宋体" w:hAnsi="宋体" w:eastAsia="宋体" w:cs="宋体"/>
                <w:szCs w:val="21"/>
              </w:rPr>
              <w:t>话</w:t>
            </w:r>
          </w:p>
        </w:tc>
        <w:tc>
          <w:tcPr>
            <w:tcW w:w="5533" w:type="dxa"/>
            <w:gridSpan w:val="3"/>
            <w:tcBorders>
              <w:top w:val="single" w:color="000000" w:sz="4" w:space="0"/>
              <w:left w:val="single" w:color="000000" w:sz="4" w:space="0"/>
              <w:bottom w:val="single" w:color="000000" w:sz="4" w:space="0"/>
              <w:right w:val="single" w:color="000000" w:sz="4" w:space="0"/>
            </w:tcBorders>
          </w:tcPr>
          <w:p>
            <w:pPr>
              <w:widowControl w:val="0"/>
              <w:rPr>
                <w:rFonts w:hint="default"/>
                <w:kern w:val="2"/>
                <w:sz w:val="21"/>
                <w:szCs w:val="21"/>
              </w:rPr>
            </w:pPr>
          </w:p>
        </w:tc>
        <w:tc>
          <w:tcPr>
            <w:tcW w:w="2015" w:type="dxa"/>
            <w:tcBorders>
              <w:top w:val="single" w:color="000000" w:sz="4" w:space="0"/>
              <w:left w:val="single" w:color="000000" w:sz="4" w:space="0"/>
              <w:bottom w:val="single" w:color="000000" w:sz="4" w:space="0"/>
              <w:right w:val="single" w:color="000000" w:sz="4" w:space="0"/>
            </w:tcBorders>
          </w:tcPr>
          <w:p>
            <w:pPr>
              <w:widowControl w:val="0"/>
              <w:rPr>
                <w:rFonts w:hint="default"/>
                <w:kern w:val="2"/>
                <w:sz w:val="21"/>
                <w:szCs w:val="21"/>
              </w:rPr>
            </w:pPr>
            <w:r>
              <w:rPr>
                <w:rFonts w:ascii="宋体" w:hAnsi="宋体" w:eastAsia="宋体" w:cs="宋体"/>
                <w:szCs w:val="21"/>
              </w:rPr>
              <w:t>传</w:t>
            </w:r>
            <w:r>
              <w:rPr>
                <w:szCs w:val="21"/>
              </w:rPr>
              <w:t xml:space="preserve">   </w:t>
            </w:r>
            <w:r>
              <w:rPr>
                <w:rFonts w:ascii="宋体" w:hAnsi="宋体" w:eastAsia="宋体" w:cs="宋体"/>
                <w:szCs w:val="21"/>
              </w:rPr>
              <w:t>真</w:t>
            </w:r>
          </w:p>
        </w:tc>
        <w:tc>
          <w:tcPr>
            <w:tcW w:w="3776" w:type="dxa"/>
            <w:tcBorders>
              <w:top w:val="single" w:color="000000" w:sz="4" w:space="0"/>
              <w:left w:val="single" w:color="000000" w:sz="4" w:space="0"/>
              <w:bottom w:val="single" w:color="000000" w:sz="4" w:space="0"/>
              <w:right w:val="single" w:color="000000" w:sz="4" w:space="0"/>
            </w:tcBorders>
          </w:tcPr>
          <w:p>
            <w:pPr>
              <w:widowControl w:val="0"/>
              <w:rPr>
                <w:rFonts w:hint="default"/>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1887" w:type="dxa"/>
            <w:tcBorders>
              <w:top w:val="single" w:color="000000" w:sz="4" w:space="0"/>
              <w:left w:val="single" w:color="000000" w:sz="4" w:space="0"/>
              <w:bottom w:val="single" w:color="000000" w:sz="4" w:space="0"/>
              <w:right w:val="single" w:color="000000" w:sz="4" w:space="0"/>
            </w:tcBorders>
          </w:tcPr>
          <w:p>
            <w:pPr>
              <w:widowControl w:val="0"/>
              <w:rPr>
                <w:rFonts w:hint="default"/>
                <w:kern w:val="2"/>
                <w:sz w:val="21"/>
                <w:szCs w:val="21"/>
              </w:rPr>
            </w:pPr>
            <w:r>
              <w:rPr>
                <w:rFonts w:ascii="宋体" w:hAnsi="宋体" w:eastAsia="宋体" w:cs="宋体"/>
                <w:szCs w:val="21"/>
              </w:rPr>
              <w:t>手</w:t>
            </w:r>
            <w:r>
              <w:rPr>
                <w:szCs w:val="21"/>
              </w:rPr>
              <w:t xml:space="preserve">    </w:t>
            </w:r>
            <w:r>
              <w:rPr>
                <w:rFonts w:ascii="宋体" w:hAnsi="宋体" w:eastAsia="宋体" w:cs="宋体"/>
                <w:szCs w:val="21"/>
              </w:rPr>
              <w:t>机</w:t>
            </w:r>
          </w:p>
        </w:tc>
        <w:tc>
          <w:tcPr>
            <w:tcW w:w="5533" w:type="dxa"/>
            <w:gridSpan w:val="3"/>
            <w:tcBorders>
              <w:top w:val="single" w:color="000000" w:sz="4" w:space="0"/>
              <w:left w:val="single" w:color="000000" w:sz="4" w:space="0"/>
              <w:bottom w:val="single" w:color="000000" w:sz="4" w:space="0"/>
              <w:right w:val="single" w:color="000000" w:sz="4" w:space="0"/>
            </w:tcBorders>
          </w:tcPr>
          <w:p>
            <w:pPr>
              <w:widowControl w:val="0"/>
              <w:rPr>
                <w:rFonts w:hint="default"/>
                <w:kern w:val="2"/>
                <w:sz w:val="21"/>
                <w:szCs w:val="21"/>
              </w:rPr>
            </w:pPr>
          </w:p>
        </w:tc>
        <w:tc>
          <w:tcPr>
            <w:tcW w:w="2015" w:type="dxa"/>
            <w:tcBorders>
              <w:top w:val="single" w:color="000000" w:sz="4" w:space="0"/>
              <w:left w:val="single" w:color="000000" w:sz="4" w:space="0"/>
              <w:bottom w:val="single" w:color="000000" w:sz="4" w:space="0"/>
              <w:right w:val="single" w:color="000000" w:sz="4" w:space="0"/>
            </w:tcBorders>
          </w:tcPr>
          <w:p>
            <w:pPr>
              <w:widowControl w:val="0"/>
              <w:rPr>
                <w:rFonts w:hint="default"/>
                <w:kern w:val="2"/>
                <w:sz w:val="21"/>
                <w:szCs w:val="21"/>
              </w:rPr>
            </w:pPr>
            <w:r>
              <w:rPr>
                <w:rFonts w:ascii="宋体" w:hAnsi="宋体" w:eastAsia="宋体" w:cs="宋体"/>
                <w:szCs w:val="21"/>
              </w:rPr>
              <w:t>邮</w:t>
            </w:r>
            <w:r>
              <w:rPr>
                <w:szCs w:val="21"/>
              </w:rPr>
              <w:t xml:space="preserve">   </w:t>
            </w:r>
            <w:r>
              <w:rPr>
                <w:rFonts w:ascii="宋体" w:hAnsi="宋体" w:eastAsia="宋体" w:cs="宋体"/>
                <w:szCs w:val="21"/>
              </w:rPr>
              <w:t>编</w:t>
            </w:r>
          </w:p>
        </w:tc>
        <w:tc>
          <w:tcPr>
            <w:tcW w:w="3776" w:type="dxa"/>
            <w:tcBorders>
              <w:top w:val="single" w:color="000000" w:sz="4" w:space="0"/>
              <w:left w:val="single" w:color="000000" w:sz="4" w:space="0"/>
              <w:bottom w:val="single" w:color="000000" w:sz="4" w:space="0"/>
              <w:right w:val="single" w:color="000000" w:sz="4" w:space="0"/>
            </w:tcBorders>
          </w:tcPr>
          <w:p>
            <w:pPr>
              <w:widowControl w:val="0"/>
              <w:rPr>
                <w:rFonts w:hint="default"/>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1887" w:type="dxa"/>
            <w:tcBorders>
              <w:top w:val="single" w:color="000000" w:sz="4" w:space="0"/>
              <w:left w:val="single" w:color="000000" w:sz="4" w:space="0"/>
              <w:bottom w:val="single" w:color="000000" w:sz="4" w:space="0"/>
              <w:right w:val="single" w:color="000000" w:sz="4" w:space="0"/>
            </w:tcBorders>
          </w:tcPr>
          <w:p>
            <w:pPr>
              <w:widowControl w:val="0"/>
              <w:rPr>
                <w:rFonts w:hint="default"/>
                <w:kern w:val="2"/>
                <w:sz w:val="21"/>
                <w:szCs w:val="21"/>
              </w:rPr>
            </w:pPr>
            <w:r>
              <w:rPr>
                <w:rFonts w:ascii="宋体" w:hAnsi="宋体" w:eastAsia="宋体" w:cs="宋体"/>
                <w:szCs w:val="21"/>
              </w:rPr>
              <w:t>电子邮箱</w:t>
            </w:r>
          </w:p>
        </w:tc>
        <w:tc>
          <w:tcPr>
            <w:tcW w:w="5533" w:type="dxa"/>
            <w:gridSpan w:val="3"/>
            <w:tcBorders>
              <w:top w:val="single" w:color="000000" w:sz="4" w:space="0"/>
              <w:left w:val="single" w:color="000000" w:sz="4" w:space="0"/>
              <w:bottom w:val="single" w:color="000000" w:sz="4" w:space="0"/>
              <w:right w:val="single" w:color="000000" w:sz="4" w:space="0"/>
            </w:tcBorders>
          </w:tcPr>
          <w:p>
            <w:pPr>
              <w:widowControl w:val="0"/>
              <w:rPr>
                <w:rFonts w:hint="default"/>
                <w:kern w:val="2"/>
                <w:sz w:val="21"/>
                <w:szCs w:val="21"/>
              </w:rPr>
            </w:pPr>
          </w:p>
        </w:tc>
        <w:tc>
          <w:tcPr>
            <w:tcW w:w="2015" w:type="dxa"/>
            <w:tcBorders>
              <w:top w:val="single" w:color="000000" w:sz="4" w:space="0"/>
              <w:left w:val="single" w:color="000000" w:sz="4" w:space="0"/>
              <w:bottom w:val="single" w:color="000000" w:sz="4" w:space="0"/>
              <w:right w:val="single" w:color="000000" w:sz="4" w:space="0"/>
            </w:tcBorders>
          </w:tcPr>
          <w:p>
            <w:pPr>
              <w:widowControl w:val="0"/>
              <w:rPr>
                <w:rFonts w:hint="default"/>
                <w:kern w:val="2"/>
                <w:sz w:val="21"/>
                <w:szCs w:val="21"/>
              </w:rPr>
            </w:pPr>
            <w:r>
              <w:rPr>
                <w:rFonts w:ascii="宋体" w:hAnsi="宋体" w:eastAsia="宋体" w:cs="宋体"/>
                <w:szCs w:val="21"/>
              </w:rPr>
              <w:t>单位性质</w:t>
            </w:r>
          </w:p>
        </w:tc>
        <w:tc>
          <w:tcPr>
            <w:tcW w:w="3776" w:type="dxa"/>
            <w:tcBorders>
              <w:top w:val="single" w:color="000000" w:sz="4" w:space="0"/>
              <w:left w:val="single" w:color="000000" w:sz="4" w:space="0"/>
              <w:bottom w:val="single" w:color="000000" w:sz="4" w:space="0"/>
              <w:right w:val="single" w:color="000000" w:sz="4" w:space="0"/>
            </w:tcBorders>
          </w:tcPr>
          <w:p>
            <w:pPr>
              <w:widowControl w:val="0"/>
              <w:rPr>
                <w:rFonts w:hint="default"/>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1887" w:type="dxa"/>
            <w:tcBorders>
              <w:top w:val="single" w:color="000000" w:sz="4" w:space="0"/>
              <w:left w:val="single" w:color="000000" w:sz="4" w:space="0"/>
              <w:bottom w:val="single" w:color="000000" w:sz="4" w:space="0"/>
              <w:right w:val="single" w:color="000000" w:sz="4" w:space="0"/>
            </w:tcBorders>
          </w:tcPr>
          <w:p>
            <w:pPr>
              <w:widowControl w:val="0"/>
              <w:rPr>
                <w:rFonts w:hint="default"/>
                <w:kern w:val="2"/>
                <w:sz w:val="21"/>
                <w:szCs w:val="21"/>
              </w:rPr>
            </w:pPr>
            <w:r>
              <w:rPr>
                <w:rFonts w:ascii="宋体" w:hAnsi="宋体" w:eastAsia="宋体" w:cs="宋体"/>
                <w:szCs w:val="21"/>
              </w:rPr>
              <w:t>通信地址</w:t>
            </w:r>
          </w:p>
        </w:tc>
        <w:tc>
          <w:tcPr>
            <w:tcW w:w="11324" w:type="dxa"/>
            <w:gridSpan w:val="5"/>
            <w:tcBorders>
              <w:top w:val="single" w:color="000000" w:sz="4" w:space="0"/>
              <w:left w:val="single" w:color="000000" w:sz="4" w:space="0"/>
              <w:bottom w:val="single" w:color="000000" w:sz="4" w:space="0"/>
              <w:right w:val="single" w:color="000000" w:sz="4" w:space="0"/>
            </w:tcBorders>
          </w:tcPr>
          <w:p>
            <w:pPr>
              <w:widowControl w:val="0"/>
              <w:rPr>
                <w:rFonts w:hint="default"/>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trPr>
        <w:tc>
          <w:tcPr>
            <w:tcW w:w="13211" w:type="dxa"/>
            <w:gridSpan w:val="6"/>
            <w:tcBorders>
              <w:top w:val="single" w:color="000000" w:sz="4" w:space="0"/>
              <w:left w:val="single" w:color="000000" w:sz="4" w:space="0"/>
              <w:bottom w:val="single" w:color="000000" w:sz="4" w:space="0"/>
              <w:right w:val="single" w:color="000000" w:sz="4" w:space="0"/>
            </w:tcBorders>
          </w:tcPr>
          <w:p>
            <w:pPr>
              <w:widowControl w:val="0"/>
              <w:rPr>
                <w:rFonts w:hint="default"/>
                <w:kern w:val="2"/>
                <w:sz w:val="21"/>
                <w:szCs w:val="21"/>
              </w:rPr>
            </w:pPr>
            <w:r>
              <w:rPr>
                <w:rFonts w:ascii="宋体" w:hAnsi="宋体" w:eastAsia="宋体" w:cs="宋体"/>
                <w:szCs w:val="21"/>
              </w:rPr>
              <w:t>工作简历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6" w:hRule="atLeast"/>
        </w:trPr>
        <w:tc>
          <w:tcPr>
            <w:tcW w:w="13211" w:type="dxa"/>
            <w:gridSpan w:val="6"/>
            <w:tcBorders>
              <w:top w:val="single" w:color="000000" w:sz="4" w:space="0"/>
              <w:left w:val="single" w:color="000000" w:sz="4" w:space="0"/>
              <w:bottom w:val="single" w:color="000000" w:sz="4" w:space="0"/>
              <w:right w:val="single" w:color="000000" w:sz="4" w:space="0"/>
            </w:tcBorders>
          </w:tcPr>
          <w:p>
            <w:pPr>
              <w:widowControl w:val="0"/>
              <w:rPr>
                <w:rFonts w:hint="default"/>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trPr>
        <w:tc>
          <w:tcPr>
            <w:tcW w:w="13211" w:type="dxa"/>
            <w:gridSpan w:val="6"/>
            <w:tcBorders>
              <w:top w:val="single" w:color="000000" w:sz="4" w:space="0"/>
              <w:left w:val="single" w:color="000000" w:sz="4" w:space="0"/>
              <w:bottom w:val="single" w:color="000000" w:sz="4" w:space="0"/>
              <w:right w:val="single" w:color="000000" w:sz="4" w:space="0"/>
            </w:tcBorders>
          </w:tcPr>
          <w:p>
            <w:pPr>
              <w:widowControl w:val="0"/>
              <w:rPr>
                <w:rFonts w:hint="default"/>
                <w:kern w:val="2"/>
                <w:sz w:val="21"/>
                <w:szCs w:val="21"/>
              </w:rPr>
            </w:pPr>
            <w:r>
              <w:rPr>
                <w:rFonts w:ascii="宋体" w:hAnsi="宋体" w:eastAsia="宋体" w:cs="宋体"/>
                <w:szCs w:val="21"/>
              </w:rPr>
              <w:t>学习建议</w:t>
            </w:r>
          </w:p>
        </w:tc>
      </w:tr>
    </w:tbl>
    <w:p>
      <w:pPr>
        <w:pStyle w:val="9"/>
        <w:widowControl w:val="0"/>
        <w:spacing w:line="276" w:lineRule="auto"/>
        <w:jc w:val="both"/>
        <w:rPr>
          <w:rFonts w:ascii="微软雅黑" w:hAnsi="微软雅黑" w:eastAsiaTheme="minorEastAsia"/>
          <w:color w:val="auto"/>
          <w:sz w:val="28"/>
          <w:szCs w:val="28"/>
        </w:rPr>
      </w:pPr>
    </w:p>
    <w:sectPr>
      <w:pgSz w:w="16840" w:h="11900" w:orient="landscape"/>
      <w:pgMar w:top="851" w:right="1440" w:bottom="851" w:left="1440" w:header="851" w:footer="992" w:gutter="0"/>
      <w:pgBorders w:offsetFrom="page">
        <w:top w:val="single" w:color="000000" w:sz="8" w:space="24"/>
        <w:bottom w:val="single" w:color="000000" w:sz="8" w:space="24"/>
        <w:right w:val="single" w:color="000000" w:sz="8" w:space="24"/>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swiss"/>
    <w:pitch w:val="default"/>
    <w:sig w:usb0="80000287" w:usb1="280F3C52" w:usb2="00000016" w:usb3="00000000" w:csb0="0004001F" w:csb1="00000000"/>
  </w:font>
  <w:font w:name="华文宋体">
    <w:altName w:val="宋体"/>
    <w:panose1 w:val="00000000000000000000"/>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roman"/>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00A9F"/>
    <w:multiLevelType w:val="multilevel"/>
    <w:tmpl w:val="35E00A9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autoHyphenation/>
  <w:noPunctuationKerning w:val="1"/>
  <w:characterSpacingControl w:val="doNotCompress"/>
  <w:compat>
    <w:doNotExpandShiftReturn/>
    <w:useFELayout/>
    <w:compatSetting w:name="compatibilityMode" w:uri="http://schemas.microsoft.com/office/word" w:val="12"/>
  </w:compat>
  <w:rsids>
    <w:rsidRoot w:val="00395488"/>
    <w:rsid w:val="00022139"/>
    <w:rsid w:val="00031E0A"/>
    <w:rsid w:val="00057932"/>
    <w:rsid w:val="000672B5"/>
    <w:rsid w:val="0009432B"/>
    <w:rsid w:val="000A482C"/>
    <w:rsid w:val="000B3B5A"/>
    <w:rsid w:val="000C19F2"/>
    <w:rsid w:val="00116386"/>
    <w:rsid w:val="00123901"/>
    <w:rsid w:val="00146425"/>
    <w:rsid w:val="00172D9D"/>
    <w:rsid w:val="00175CD4"/>
    <w:rsid w:val="001B4840"/>
    <w:rsid w:val="001C39D6"/>
    <w:rsid w:val="001D4AA7"/>
    <w:rsid w:val="001D632E"/>
    <w:rsid w:val="00213EBF"/>
    <w:rsid w:val="002A09AC"/>
    <w:rsid w:val="002D07F2"/>
    <w:rsid w:val="002D156F"/>
    <w:rsid w:val="002E31C5"/>
    <w:rsid w:val="002F59AF"/>
    <w:rsid w:val="00303A58"/>
    <w:rsid w:val="00311271"/>
    <w:rsid w:val="003161E4"/>
    <w:rsid w:val="003300C4"/>
    <w:rsid w:val="0034462A"/>
    <w:rsid w:val="00384E68"/>
    <w:rsid w:val="00395488"/>
    <w:rsid w:val="003B1107"/>
    <w:rsid w:val="003C4902"/>
    <w:rsid w:val="004022DC"/>
    <w:rsid w:val="00417297"/>
    <w:rsid w:val="004348A9"/>
    <w:rsid w:val="004522F2"/>
    <w:rsid w:val="00481542"/>
    <w:rsid w:val="004A008E"/>
    <w:rsid w:val="004A4923"/>
    <w:rsid w:val="004C0E2D"/>
    <w:rsid w:val="004C3E23"/>
    <w:rsid w:val="004C66DA"/>
    <w:rsid w:val="004D7D33"/>
    <w:rsid w:val="00517D11"/>
    <w:rsid w:val="005301ED"/>
    <w:rsid w:val="00540EDA"/>
    <w:rsid w:val="00555AF3"/>
    <w:rsid w:val="00570364"/>
    <w:rsid w:val="00573C48"/>
    <w:rsid w:val="005824F7"/>
    <w:rsid w:val="005B2284"/>
    <w:rsid w:val="005C4883"/>
    <w:rsid w:val="005E58A3"/>
    <w:rsid w:val="005F079B"/>
    <w:rsid w:val="005F4F2B"/>
    <w:rsid w:val="00607D5D"/>
    <w:rsid w:val="006167DF"/>
    <w:rsid w:val="00645239"/>
    <w:rsid w:val="006815AA"/>
    <w:rsid w:val="006C2F14"/>
    <w:rsid w:val="0072696A"/>
    <w:rsid w:val="0073349B"/>
    <w:rsid w:val="00753C16"/>
    <w:rsid w:val="007C3D7B"/>
    <w:rsid w:val="007F4D35"/>
    <w:rsid w:val="008115B7"/>
    <w:rsid w:val="0085631A"/>
    <w:rsid w:val="00870A1E"/>
    <w:rsid w:val="00887D7B"/>
    <w:rsid w:val="008C097A"/>
    <w:rsid w:val="008C7248"/>
    <w:rsid w:val="008E0ECF"/>
    <w:rsid w:val="0090590E"/>
    <w:rsid w:val="00914793"/>
    <w:rsid w:val="009176FC"/>
    <w:rsid w:val="00952DF0"/>
    <w:rsid w:val="00972520"/>
    <w:rsid w:val="00980F82"/>
    <w:rsid w:val="00981D56"/>
    <w:rsid w:val="009A12C4"/>
    <w:rsid w:val="009B1594"/>
    <w:rsid w:val="009C46AC"/>
    <w:rsid w:val="009C55AF"/>
    <w:rsid w:val="00A055B3"/>
    <w:rsid w:val="00A25470"/>
    <w:rsid w:val="00A35851"/>
    <w:rsid w:val="00A90614"/>
    <w:rsid w:val="00AC3763"/>
    <w:rsid w:val="00AD5436"/>
    <w:rsid w:val="00AE755B"/>
    <w:rsid w:val="00B275AC"/>
    <w:rsid w:val="00B456FC"/>
    <w:rsid w:val="00B55914"/>
    <w:rsid w:val="00B635B4"/>
    <w:rsid w:val="00B803D3"/>
    <w:rsid w:val="00B8099E"/>
    <w:rsid w:val="00BD4192"/>
    <w:rsid w:val="00BE3764"/>
    <w:rsid w:val="00BE45AD"/>
    <w:rsid w:val="00BE6A57"/>
    <w:rsid w:val="00C0005C"/>
    <w:rsid w:val="00C33D0C"/>
    <w:rsid w:val="00C34039"/>
    <w:rsid w:val="00C50A5D"/>
    <w:rsid w:val="00C525C4"/>
    <w:rsid w:val="00C57FC8"/>
    <w:rsid w:val="00C60438"/>
    <w:rsid w:val="00C619A3"/>
    <w:rsid w:val="00C64010"/>
    <w:rsid w:val="00C714CE"/>
    <w:rsid w:val="00C73B3A"/>
    <w:rsid w:val="00C903A0"/>
    <w:rsid w:val="00CA154B"/>
    <w:rsid w:val="00CA72AB"/>
    <w:rsid w:val="00CC012B"/>
    <w:rsid w:val="00CD7DDE"/>
    <w:rsid w:val="00D12F62"/>
    <w:rsid w:val="00D140E0"/>
    <w:rsid w:val="00D21849"/>
    <w:rsid w:val="00D33552"/>
    <w:rsid w:val="00D6372C"/>
    <w:rsid w:val="00D64E78"/>
    <w:rsid w:val="00D86455"/>
    <w:rsid w:val="00D91E10"/>
    <w:rsid w:val="00D97F8D"/>
    <w:rsid w:val="00DA1AFD"/>
    <w:rsid w:val="00DF3FB7"/>
    <w:rsid w:val="00DF7EDA"/>
    <w:rsid w:val="00E1340C"/>
    <w:rsid w:val="00E22929"/>
    <w:rsid w:val="00E41E9C"/>
    <w:rsid w:val="00E55250"/>
    <w:rsid w:val="00E66E88"/>
    <w:rsid w:val="00EB71F2"/>
    <w:rsid w:val="00EC5858"/>
    <w:rsid w:val="00ED295A"/>
    <w:rsid w:val="00EE52D1"/>
    <w:rsid w:val="00EE6B47"/>
    <w:rsid w:val="00F12427"/>
    <w:rsid w:val="00F264A1"/>
    <w:rsid w:val="00F77709"/>
    <w:rsid w:val="00FA6D41"/>
    <w:rsid w:val="00FC6C28"/>
    <w:rsid w:val="00FF530F"/>
    <w:rsid w:val="041D0905"/>
    <w:rsid w:val="0E121BAB"/>
    <w:rsid w:val="160A69AE"/>
    <w:rsid w:val="19730BF3"/>
    <w:rsid w:val="291616D6"/>
    <w:rsid w:val="45E051CD"/>
    <w:rsid w:val="48A75581"/>
    <w:rsid w:val="525963B4"/>
    <w:rsid w:val="6CD309ED"/>
    <w:rsid w:val="6F3625E4"/>
    <w:rsid w:val="785B4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hint="eastAsia" w:ascii="Arial Unicode MS" w:hAnsi="Arial Unicode MS" w:eastAsia="Times New Roman" w:cs="Arial Unicode MS"/>
      <w:color w:val="000000"/>
      <w:sz w:val="24"/>
      <w:szCs w:val="24"/>
      <w:u w:color="000000"/>
      <w:lang w:val="zh-CN"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qFormat/>
    <w:uiPriority w:val="0"/>
    <w:rPr>
      <w:u w:val="single"/>
    </w:rPr>
  </w:style>
  <w:style w:type="table" w:customStyle="1" w:styleId="7">
    <w:name w:val="Table Normal"/>
    <w:qFormat/>
    <w:uiPriority w:val="0"/>
    <w:tblPr>
      <w:tblCellMar>
        <w:top w:w="0" w:type="dxa"/>
        <w:left w:w="0" w:type="dxa"/>
        <w:bottom w:w="0" w:type="dxa"/>
        <w:right w:w="0" w:type="dxa"/>
      </w:tblCellMar>
    </w:tblPr>
  </w:style>
  <w:style w:type="paragraph" w:customStyle="1" w:styleId="8">
    <w:name w:val="页眉与页脚"/>
    <w:uiPriority w:val="0"/>
    <w:pPr>
      <w:tabs>
        <w:tab w:val="right" w:pos="9020"/>
      </w:tabs>
    </w:pPr>
    <w:rPr>
      <w:rFonts w:ascii="Helvetica" w:hAnsi="Helvetica" w:eastAsia="Arial Unicode MS" w:cs="Arial Unicode MS"/>
      <w:color w:val="000000"/>
      <w:sz w:val="24"/>
      <w:szCs w:val="24"/>
      <w:lang w:val="en-US" w:eastAsia="zh-CN" w:bidi="ar-SA"/>
    </w:rPr>
  </w:style>
  <w:style w:type="paragraph" w:customStyle="1" w:styleId="9">
    <w:name w:val="正文 A"/>
    <w:qFormat/>
    <w:uiPriority w:val="0"/>
    <w:rPr>
      <w:rFonts w:ascii="宋体" w:hAnsi="宋体" w:eastAsia="宋体" w:cs="宋体"/>
      <w:color w:val="000000"/>
      <w:sz w:val="24"/>
      <w:szCs w:val="24"/>
      <w:u w:color="000000"/>
      <w:lang w:val="en-US" w:eastAsia="zh-CN" w:bidi="ar-SA"/>
    </w:rPr>
  </w:style>
  <w:style w:type="character" w:customStyle="1" w:styleId="10">
    <w:name w:val="页眉 Char"/>
    <w:basedOn w:val="5"/>
    <w:link w:val="3"/>
    <w:semiHidden/>
    <w:qFormat/>
    <w:uiPriority w:val="99"/>
    <w:rPr>
      <w:rFonts w:ascii="Arial Unicode MS" w:hAnsi="Arial Unicode MS" w:eastAsia="Times New Roman" w:cs="Arial Unicode MS"/>
      <w:color w:val="000000"/>
      <w:sz w:val="18"/>
      <w:szCs w:val="18"/>
      <w:u w:color="000000"/>
      <w:lang w:val="zh-CN"/>
    </w:rPr>
  </w:style>
  <w:style w:type="character" w:customStyle="1" w:styleId="11">
    <w:name w:val="页脚 Char"/>
    <w:basedOn w:val="5"/>
    <w:link w:val="2"/>
    <w:semiHidden/>
    <w:qFormat/>
    <w:uiPriority w:val="99"/>
    <w:rPr>
      <w:rFonts w:ascii="Arial Unicode MS" w:hAnsi="Arial Unicode MS" w:eastAsia="Times New Roman" w:cs="Arial Unicode MS"/>
      <w:color w:val="000000"/>
      <w:sz w:val="18"/>
      <w:szCs w:val="18"/>
      <w:u w:color="000000"/>
      <w:lang w:val="zh-CN"/>
    </w:rPr>
  </w:style>
  <w:style w:type="paragraph" w:customStyle="1" w:styleId="12">
    <w:name w:val="ordinary-output"/>
    <w:basedOn w:val="1"/>
    <w:qFormat/>
    <w:uiPriority w:val="0"/>
    <w:pPr>
      <w:spacing w:before="100" w:beforeAutospacing="1" w:after="100" w:afterAutospacing="1"/>
    </w:pPr>
    <w:rPr>
      <w:rFonts w:hint="default" w:ascii="宋体" w:hAnsi="宋体" w:eastAsia="宋体" w:cs="宋体"/>
      <w:color w:val="auto"/>
      <w:lang w:val="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Info spid="_x0000_s102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5D6609-E93B-4021-9848-75839E49360C}">
  <ds:schemaRefs/>
</ds:datastoreItem>
</file>

<file path=docProps/app.xml><?xml version="1.0" encoding="utf-8"?>
<Properties xmlns="http://schemas.openxmlformats.org/officeDocument/2006/extended-properties" xmlns:vt="http://schemas.openxmlformats.org/officeDocument/2006/docPropsVTypes">
  <Template>Normal</Template>
  <Pages>9</Pages>
  <Words>586</Words>
  <Characters>3341</Characters>
  <Lines>27</Lines>
  <Paragraphs>7</Paragraphs>
  <TotalTime>20</TotalTime>
  <ScaleCrop>false</ScaleCrop>
  <LinksUpToDate>false</LinksUpToDate>
  <CharactersWithSpaces>3920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2019-10-30T02:30:00Z</dcterms:created>
  <dc:creator>Administrator</dc:creator>
  <cp:lastModifiedBy>Administrator</cp:lastModifiedBy>
  <dcterms:modified xsi:type="dcterms:W3CDTF">2019-10-30T03:21:32Z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