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80" w:rsidRPr="003D3D80" w:rsidRDefault="003D3D80" w:rsidP="00662F12">
      <w:pPr>
        <w:widowControl/>
        <w:shd w:val="clear" w:color="auto" w:fill="FFFFFF"/>
        <w:spacing w:after="210"/>
        <w:jc w:val="center"/>
        <w:outlineLvl w:val="1"/>
        <w:rPr>
          <w:rFonts w:ascii="微软雅黑" w:eastAsia="微软雅黑" w:hAnsi="微软雅黑" w:cs="宋体"/>
          <w:color w:val="333333"/>
          <w:spacing w:val="8"/>
          <w:kern w:val="0"/>
          <w:sz w:val="33"/>
          <w:szCs w:val="33"/>
        </w:rPr>
      </w:pPr>
      <w:r w:rsidRPr="003D3D80">
        <w:rPr>
          <w:rFonts w:ascii="微软雅黑" w:eastAsia="微软雅黑" w:hAnsi="微软雅黑" w:cs="宋体" w:hint="eastAsia"/>
          <w:color w:val="333333"/>
          <w:spacing w:val="8"/>
          <w:kern w:val="0"/>
          <w:sz w:val="33"/>
          <w:szCs w:val="33"/>
        </w:rPr>
        <w:t>荷兰商学院财税研究院</w:t>
      </w:r>
      <w:r>
        <w:rPr>
          <w:rFonts w:ascii="微软雅黑" w:eastAsia="微软雅黑" w:hAnsi="微软雅黑" w:cs="宋体" w:hint="eastAsia"/>
          <w:color w:val="333333"/>
          <w:spacing w:val="8"/>
          <w:kern w:val="0"/>
          <w:sz w:val="33"/>
          <w:szCs w:val="33"/>
        </w:rPr>
        <w:t>财税MBA项目</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p>
    <w:p w:rsidR="003D3D80" w:rsidRPr="003D3D80" w:rsidRDefault="003D3D80" w:rsidP="00662F12">
      <w:pPr>
        <w:widowControl/>
        <w:shd w:val="clear" w:color="auto" w:fill="FFFFFF"/>
        <w:ind w:firstLineChars="250" w:firstLine="690"/>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BSN荷兰商学院是荷兰政府批准、中国政府认可的应用科学型大学，是世界上将“行动学习法”应用于工商管理教育领域的先驱，是全球为数不多的获得六项国际权威认证的欧洲一流商学院。</w:t>
      </w:r>
    </w:p>
    <w:p w:rsidR="003D3D80" w:rsidRPr="003D3D80" w:rsidRDefault="003D3D80" w:rsidP="00662F12">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荷兰商学院财税研究院是BSN荷兰商学院针对财税管理成立的专业机构，致力于为企业管理者和财务管理者提供精准和税收执法专业的财税管理课程。通过系统化财税管理模型，在打破传统的教学形式基础上，将繁杂、严肃的财税话题以文化形态转为模拟场景，并通过轻松、通俗易懂的语言表现出来。课程为企业高管提供了一个完整的“税收方法论”，并使其迅速成为“财税操盘手”和培养具备企业风险管控知识和良好税收筹划能力的智慧型企业管理者。</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资质荣誉</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1、六大权威认证</w:t>
      </w:r>
    </w:p>
    <w:p w:rsidR="00662F12" w:rsidRPr="003D3D80" w:rsidRDefault="00662F12" w:rsidP="00662F12">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hint="eastAsia"/>
          <w:noProof/>
          <w:color w:val="333333"/>
          <w:spacing w:val="8"/>
          <w:kern w:val="0"/>
          <w:sz w:val="26"/>
          <w:szCs w:val="26"/>
        </w:rPr>
        <w:drawing>
          <wp:inline distT="0" distB="0" distL="0" distR="0">
            <wp:extent cx="5274310" cy="1889760"/>
            <wp:effectExtent l="19050" t="0" r="2540" b="0"/>
            <wp:docPr id="2" name="图片 1" descr="微信图片_20191116094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116094215.jpg"/>
                    <pic:cNvPicPr/>
                  </pic:nvPicPr>
                  <pic:blipFill>
                    <a:blip r:embed="rId4" cstate="print"/>
                    <a:stretch>
                      <a:fillRect/>
                    </a:stretch>
                  </pic:blipFill>
                  <pic:spPr>
                    <a:xfrm>
                      <a:off x="0" y="0"/>
                      <a:ext cx="5274310" cy="1889760"/>
                    </a:xfrm>
                    <a:prstGeom prst="rect">
                      <a:avLst/>
                    </a:prstGeom>
                  </pic:spPr>
                </pic:pic>
              </a:graphicData>
            </a:graphic>
          </wp:inline>
        </w:drawing>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2、多网资质查询</w:t>
      </w:r>
    </w:p>
    <w:p w:rsidR="003D3D80" w:rsidRPr="003D3D80" w:rsidRDefault="00662F12" w:rsidP="00662F12">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hint="eastAsia"/>
          <w:noProof/>
          <w:color w:val="333333"/>
          <w:spacing w:val="8"/>
          <w:kern w:val="0"/>
          <w:sz w:val="26"/>
          <w:szCs w:val="26"/>
        </w:rPr>
        <w:lastRenderedPageBreak/>
        <w:drawing>
          <wp:inline distT="0" distB="0" distL="0" distR="0">
            <wp:extent cx="5274310" cy="1157605"/>
            <wp:effectExtent l="19050" t="0" r="2540" b="0"/>
            <wp:docPr id="4" name="图片 3" descr="微信图片_2019111609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116095039.jpg"/>
                    <pic:cNvPicPr/>
                  </pic:nvPicPr>
                  <pic:blipFill>
                    <a:blip r:embed="rId5" cstate="print"/>
                    <a:stretch>
                      <a:fillRect/>
                    </a:stretch>
                  </pic:blipFill>
                  <pic:spPr>
                    <a:xfrm>
                      <a:off x="0" y="0"/>
                      <a:ext cx="5274310" cy="1157605"/>
                    </a:xfrm>
                    <a:prstGeom prst="rect">
                      <a:avLst/>
                    </a:prstGeom>
                  </pic:spPr>
                </pic:pic>
              </a:graphicData>
            </a:graphic>
          </wp:inline>
        </w:drawing>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BSN三大优势</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1、全球认可，引领学员重塑国际新理念、管理新格局</w:t>
      </w:r>
    </w:p>
    <w:p w:rsid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植根荷兰，辐射全球，面向未来，培养领袖。BSN荷兰商学院拥有全球领先的管理理念、中西贯通的教授团队，强调个人和企业要在国际视野中树立全新发展理念，注重培养学员的思维模式、管理格局与资源整合能力。 </w:t>
      </w:r>
    </w:p>
    <w:p w:rsidR="00C05BAB" w:rsidRPr="003D3D80" w:rsidRDefault="00C05BAB" w:rsidP="00662F12">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hint="eastAsia"/>
          <w:noProof/>
          <w:color w:val="333333"/>
          <w:spacing w:val="8"/>
          <w:kern w:val="0"/>
          <w:sz w:val="26"/>
          <w:szCs w:val="26"/>
        </w:rPr>
        <w:lastRenderedPageBreak/>
        <w:drawing>
          <wp:inline distT="0" distB="0" distL="0" distR="0">
            <wp:extent cx="5274310" cy="7452360"/>
            <wp:effectExtent l="19050" t="0" r="2540" b="0"/>
            <wp:docPr id="5" name="图片 4" descr="微信图片_20191116095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1116095218.jpg"/>
                    <pic:cNvPicPr/>
                  </pic:nvPicPr>
                  <pic:blipFill>
                    <a:blip r:embed="rId6" cstate="print"/>
                    <a:stretch>
                      <a:fillRect/>
                    </a:stretch>
                  </pic:blipFill>
                  <pic:spPr>
                    <a:xfrm>
                      <a:off x="0" y="0"/>
                      <a:ext cx="5274310" cy="7452360"/>
                    </a:xfrm>
                    <a:prstGeom prst="rect">
                      <a:avLst/>
                    </a:prstGeom>
                  </pic:spPr>
                </pic:pic>
              </a:graphicData>
            </a:graphic>
          </wp:inline>
        </w:drawing>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荷兰商学院授权徐箐老师建设荷兰商学院财税研究院的授权书</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2、知行合一，赋能学员管理能力、企业运营绩效提升</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lastRenderedPageBreak/>
        <w:t>产学互动，教研并重，夯实知识，应用实践。BSN荷兰商学院以践行30年的“行动学习法”为核心，结合中国本土化商业实践，建立了兼具全球广度和中国深度的MBA课程体系——从思维框架到管理实务，从人力资源到企业战略，全面提升和培养学员领导力和企业创新力。</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D3D80">
        <w:rPr>
          <w:rFonts w:ascii="微软雅黑" w:eastAsia="微软雅黑" w:hAnsi="微软雅黑" w:cs="宋体" w:hint="eastAsia"/>
          <w:color w:val="333333"/>
          <w:spacing w:val="8"/>
          <w:kern w:val="0"/>
          <w:sz w:val="26"/>
          <w:szCs w:val="26"/>
        </w:rPr>
        <w:t>独设预科学习，帮助学员提升自我及企业认知</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26" type="#_x0000_t75" alt="" style="width:24pt;height:24pt"/>
        </w:pict>
      </w:r>
      <w:r w:rsidRPr="003D3D80">
        <w:rPr>
          <w:rFonts w:ascii="微软雅黑" w:eastAsia="微软雅黑" w:hAnsi="微软雅黑" w:cs="宋体" w:hint="eastAsia"/>
          <w:color w:val="333333"/>
          <w:spacing w:val="8"/>
          <w:kern w:val="0"/>
          <w:sz w:val="26"/>
          <w:szCs w:val="26"/>
        </w:rPr>
        <w:t>独创行动学习实验室和模拟管理实战特色课程，学以致用，让知识变成智慧</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27" type="#_x0000_t75" alt="" style="width:24pt;height:24pt"/>
        </w:pict>
      </w:r>
      <w:r w:rsidRPr="003D3D80">
        <w:rPr>
          <w:rFonts w:ascii="微软雅黑" w:eastAsia="微软雅黑" w:hAnsi="微软雅黑" w:cs="宋体" w:hint="eastAsia"/>
          <w:color w:val="333333"/>
          <w:spacing w:val="8"/>
          <w:kern w:val="0"/>
          <w:sz w:val="26"/>
          <w:szCs w:val="26"/>
        </w:rPr>
        <w:t>独创双向导师机制，学术理论与企业实践相结合</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28" type="#_x0000_t75" alt="" style="width:24pt;height:24pt"/>
        </w:pict>
      </w:r>
      <w:r w:rsidRPr="003D3D80">
        <w:rPr>
          <w:rFonts w:ascii="微软雅黑" w:eastAsia="微软雅黑" w:hAnsi="微软雅黑" w:cs="宋体" w:hint="eastAsia"/>
          <w:color w:val="333333"/>
          <w:spacing w:val="8"/>
          <w:kern w:val="0"/>
          <w:sz w:val="26"/>
          <w:szCs w:val="26"/>
        </w:rPr>
        <w:t>全程学习辅导，让毕业不再难</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3、价值共创，搭建学员和校企高质量发展融合新平台</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积极开放，互利共创，相互加持，赋能成长。BSN荷兰商学院全球毕业校友已经超过10000+，每年都会举办全球毕业典礼、全球创新营、标杆企业考察、政府科研机构访问等丰富多彩的线下活动，为校友搭建分享与互动、赋能与成长的价值平台。</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29" type="#_x0000_t75" alt="" style="width:24pt;height:24pt"/>
        </w:pict>
      </w:r>
      <w:r w:rsidRPr="003D3D80">
        <w:rPr>
          <w:rFonts w:ascii="微软雅黑" w:eastAsia="微软雅黑" w:hAnsi="微软雅黑" w:cs="宋体" w:hint="eastAsia"/>
          <w:color w:val="333333"/>
          <w:spacing w:val="8"/>
          <w:kern w:val="0"/>
          <w:sz w:val="26"/>
          <w:szCs w:val="26"/>
        </w:rPr>
        <w:t>校友分布：三大洲际中心，11个校区，70多个国家和地区，10000+校友</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0" type="#_x0000_t75" alt="" style="width:24pt;height:24pt"/>
        </w:pict>
      </w:r>
      <w:r w:rsidRPr="003D3D80">
        <w:rPr>
          <w:rFonts w:ascii="微软雅黑" w:eastAsia="微软雅黑" w:hAnsi="微软雅黑" w:cs="宋体" w:hint="eastAsia"/>
          <w:color w:val="333333"/>
          <w:spacing w:val="8"/>
          <w:kern w:val="0"/>
          <w:sz w:val="26"/>
          <w:szCs w:val="26"/>
        </w:rPr>
        <w:t>校友属性：创新企业创始人，涉外企业、私营企业、国有企业高管</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1" type="#_x0000_t75" alt="" style="width:24pt;height:24pt"/>
        </w:pict>
      </w:r>
      <w:r w:rsidRPr="003D3D80">
        <w:rPr>
          <w:rFonts w:ascii="微软雅黑" w:eastAsia="微软雅黑" w:hAnsi="微软雅黑" w:cs="宋体" w:hint="eastAsia"/>
          <w:color w:val="333333"/>
          <w:spacing w:val="8"/>
          <w:kern w:val="0"/>
          <w:sz w:val="26"/>
          <w:szCs w:val="26"/>
        </w:rPr>
        <w:t>校友活动：每年数十场线下活动</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2" type="#_x0000_t75" alt="" style="width:24pt;height:24pt"/>
        </w:pic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p>
    <w:p w:rsidR="003D3D80" w:rsidRDefault="003D3D80" w:rsidP="00662F12">
      <w:pPr>
        <w:widowControl/>
        <w:shd w:val="clear" w:color="auto" w:fill="FFFFFF"/>
        <w:rPr>
          <w:rFonts w:ascii="微软雅黑" w:eastAsia="微软雅黑" w:hAnsi="微软雅黑" w:cs="宋体" w:hint="eastAsia"/>
          <w:b/>
          <w:bCs/>
          <w:color w:val="FA5206"/>
          <w:spacing w:val="8"/>
          <w:kern w:val="0"/>
          <w:sz w:val="26"/>
        </w:rPr>
      </w:pPr>
      <w:r w:rsidRPr="003D3D80">
        <w:rPr>
          <w:rFonts w:ascii="微软雅黑" w:eastAsia="微软雅黑" w:hAnsi="微软雅黑" w:cs="宋体" w:hint="eastAsia"/>
          <w:b/>
          <w:bCs/>
          <w:color w:val="FA5206"/>
          <w:spacing w:val="8"/>
          <w:kern w:val="0"/>
          <w:sz w:val="26"/>
        </w:rPr>
        <w:t>财税MBA核心师资</w:t>
      </w:r>
    </w:p>
    <w:p w:rsidR="00C05BAB" w:rsidRPr="003D3D80" w:rsidRDefault="00C05BAB" w:rsidP="00662F12">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hint="eastAsia"/>
          <w:noProof/>
          <w:color w:val="333333"/>
          <w:spacing w:val="8"/>
          <w:kern w:val="0"/>
          <w:sz w:val="26"/>
          <w:szCs w:val="26"/>
        </w:rPr>
        <w:lastRenderedPageBreak/>
        <w:drawing>
          <wp:inline distT="0" distB="0" distL="0" distR="0">
            <wp:extent cx="5274310" cy="2969260"/>
            <wp:effectExtent l="19050" t="0" r="2540" b="0"/>
            <wp:docPr id="6" name="图片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5274310" cy="2969260"/>
                    </a:xfrm>
                    <a:prstGeom prst="rect">
                      <a:avLst/>
                    </a:prstGeom>
                  </pic:spPr>
                </pic:pic>
              </a:graphicData>
            </a:graphic>
          </wp:inline>
        </w:drawing>
      </w:r>
      <w:r>
        <w:rPr>
          <w:rFonts w:ascii="微软雅黑" w:eastAsia="微软雅黑" w:hAnsi="微软雅黑" w:cs="宋体" w:hint="eastAsia"/>
          <w:noProof/>
          <w:color w:val="333333"/>
          <w:spacing w:val="8"/>
          <w:kern w:val="0"/>
          <w:sz w:val="26"/>
          <w:szCs w:val="26"/>
        </w:rPr>
        <w:drawing>
          <wp:inline distT="0" distB="0" distL="0" distR="0">
            <wp:extent cx="5274310" cy="3061970"/>
            <wp:effectExtent l="19050" t="0" r="2540" b="0"/>
            <wp:docPr id="7" name="图片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stretch>
                      <a:fillRect/>
                    </a:stretch>
                  </pic:blipFill>
                  <pic:spPr>
                    <a:xfrm>
                      <a:off x="0" y="0"/>
                      <a:ext cx="5274310" cy="3061970"/>
                    </a:xfrm>
                    <a:prstGeom prst="rect">
                      <a:avLst/>
                    </a:prstGeom>
                  </pic:spPr>
                </pic:pic>
              </a:graphicData>
            </a:graphic>
          </wp:inline>
        </w:drawing>
      </w:r>
      <w:r>
        <w:rPr>
          <w:rFonts w:ascii="微软雅黑" w:eastAsia="微软雅黑" w:hAnsi="微软雅黑" w:cs="宋体" w:hint="eastAsia"/>
          <w:noProof/>
          <w:color w:val="333333"/>
          <w:spacing w:val="8"/>
          <w:kern w:val="0"/>
          <w:sz w:val="26"/>
          <w:szCs w:val="26"/>
        </w:rPr>
        <w:lastRenderedPageBreak/>
        <w:drawing>
          <wp:inline distT="0" distB="0" distL="0" distR="0">
            <wp:extent cx="5274310" cy="3140075"/>
            <wp:effectExtent l="19050" t="0" r="2540" b="0"/>
            <wp:docPr id="8" name="图片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stretch>
                      <a:fillRect/>
                    </a:stretch>
                  </pic:blipFill>
                  <pic:spPr>
                    <a:xfrm>
                      <a:off x="0" y="0"/>
                      <a:ext cx="5274310" cy="3140075"/>
                    </a:xfrm>
                    <a:prstGeom prst="rect">
                      <a:avLst/>
                    </a:prstGeom>
                  </pic:spPr>
                </pic:pic>
              </a:graphicData>
            </a:graphic>
          </wp:inline>
        </w:drawing>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荷兰商学院财税研究院的教授团队不仅具有国际视野、通晓中西方管理精髓，而且深谙中国本土的企业发展和管理实践，能够将世界前沿管理思想与中国企业所面临的实际问题有机融合，让学员掌握解决企业问题的方法论，从而为企业高质量发展创造新价值</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财税MBA课程亮点</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1、系统前沿的财税知识</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所有课程设置均以企业战略中税收规划、风险规避为主要内容，并贯穿整个教学体系。</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2、税收研策经验丰富的专家团队</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授课专家团队在税收一线工作多年，积累了扎实的财税知识和丰富的实践经验。</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3、针对性的课程设置</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在课程设置上重点突出，重点针对企业最为关注的财税问题和税收热点，重塑学员对财税问题的认知。</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lastRenderedPageBreak/>
        <w:t>4、线上线下活动相结合</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多年积累成熟线上财税平台，提供充分的交流机会；结合学员需求，定期举办线下沙龙，互动式讲座。</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5、独特的教学方法</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采用场景式、案例式教学，具备极强的启发性。</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6、一对一顾问式咨询</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满足学员个性化需求、提供全面解决方案。</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财税MBA课程体系</w:t>
      </w:r>
    </w:p>
    <w:p w:rsidR="003D3D80" w:rsidRPr="003D3D80" w:rsidRDefault="00C05BAB" w:rsidP="00662F12">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hint="eastAsia"/>
          <w:noProof/>
          <w:color w:val="333333"/>
          <w:spacing w:val="8"/>
          <w:kern w:val="0"/>
          <w:sz w:val="26"/>
          <w:szCs w:val="26"/>
        </w:rPr>
        <w:drawing>
          <wp:inline distT="0" distB="0" distL="0" distR="0">
            <wp:extent cx="5274310" cy="2967355"/>
            <wp:effectExtent l="19050" t="0" r="2540" b="0"/>
            <wp:docPr id="9" name="图片 8"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stretch>
                      <a:fillRect/>
                    </a:stretch>
                  </pic:blipFill>
                  <pic:spPr>
                    <a:xfrm>
                      <a:off x="0" y="0"/>
                      <a:ext cx="5274310" cy="2967355"/>
                    </a:xfrm>
                    <a:prstGeom prst="rect">
                      <a:avLst/>
                    </a:prstGeom>
                  </pic:spPr>
                </pic:pic>
              </a:graphicData>
            </a:graphic>
          </wp:inline>
        </w:drawing>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BSN 校友网络</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BSN学员主要来自各行各业的商业管理精英。提升自我、超越自我，是每一个BSN学员奋斗的目标。即便是纵横商海多年的业界领袖，进入BSN后，也以开放的利他精神和谦虚的空杯心态，积极融入到学习中来。创新，是企业家精神，更是企业管理者成长、变革、价值创造的重要路径。BSN人，正在践行“以学习改变命运，以创新铸造辉煌”的时代使命。</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lastRenderedPageBreak/>
        <w:t>迄今为止，BSN荷兰商学院分别以荷兰、中国、南非为洲际中心在全球范围内建立了11大校区。已有来自世界70多个国家和地区的近万名学生用荷兰语、英语、西班牙语、汉语和捷克语5种语言学习着最实用的管理理论和工具，讨论着最前沿的管理现象和问题。全球学生和校友服务的机构和从事的行业多种多样。既有世界500强名企，也有创业企业；既来自金融、制造等企业，也服务于政府、大学等公共机构。全球校友分布包括了美国、加拿大、德国、荷兰、澳大利亚、中国、俄罗斯等经济发达和发展中国家。</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自2008年以来，亚洲学区生源的所属行业、企业属性、地域来源、职能领域都呈现出多元化特点。来自中国（大陆、香港、台湾）、美国、日本、英国、德国、韩国、新西兰、加拿大等13个国家和地区的近两千名学生接受了BSN荷兰商学院的工商管理学位教育。现已有超过千名学生取得了BSN荷兰商学院的工商管理硕士（MBA）和工商管理博士（DBA）学位。</w:t>
      </w:r>
    </w:p>
    <w:p w:rsidR="0087532B"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大部分校友为国有企业、涉外企业、集体股份制或私营企业的中高级职业经理人、企业家、股东。少数校友服务于科研院校、政府机构。</w:t>
      </w:r>
    </w:p>
    <w:p w:rsidR="003D3D80" w:rsidRPr="003D3D80" w:rsidRDefault="0087532B" w:rsidP="00662F12">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hint="eastAsia"/>
          <w:noProof/>
          <w:color w:val="333333"/>
          <w:spacing w:val="8"/>
          <w:kern w:val="0"/>
          <w:sz w:val="26"/>
          <w:szCs w:val="26"/>
        </w:rPr>
        <w:drawing>
          <wp:inline distT="0" distB="0" distL="0" distR="0">
            <wp:extent cx="5274310" cy="1962150"/>
            <wp:effectExtent l="19050" t="0" r="2540" b="0"/>
            <wp:docPr id="11" name="图片 10"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cstate="print"/>
                    <a:stretch>
                      <a:fillRect/>
                    </a:stretch>
                  </pic:blipFill>
                  <pic:spPr>
                    <a:xfrm>
                      <a:off x="0" y="0"/>
                      <a:ext cx="5274310" cy="1962150"/>
                    </a:xfrm>
                    <a:prstGeom prst="rect">
                      <a:avLst/>
                    </a:prstGeom>
                  </pic:spPr>
                </pic:pic>
              </a:graphicData>
            </a:graphic>
          </wp:inline>
        </w:drawing>
      </w:r>
      <w:r w:rsidR="003D3D80" w:rsidRPr="003D3D80">
        <w:rPr>
          <w:rFonts w:ascii="微软雅黑" w:eastAsia="微软雅黑" w:hAnsi="微软雅黑" w:cs="宋体" w:hint="eastAsia"/>
          <w:color w:val="333333"/>
          <w:spacing w:val="8"/>
          <w:kern w:val="0"/>
          <w:sz w:val="26"/>
          <w:szCs w:val="26"/>
        </w:rPr>
        <w:t>      </w:t>
      </w:r>
    </w:p>
    <w:p w:rsidR="003D3D80" w:rsidRDefault="003D3D80" w:rsidP="0087532B">
      <w:pPr>
        <w:widowControl/>
        <w:shd w:val="clear" w:color="auto" w:fill="FFFFFF"/>
        <w:jc w:val="left"/>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lastRenderedPageBreak/>
        <w:t>标杆企业参访</w:t>
      </w:r>
    </w:p>
    <w:p w:rsidR="0087532B" w:rsidRPr="003D3D80" w:rsidRDefault="0087532B" w:rsidP="0087532B">
      <w:pPr>
        <w:widowControl/>
        <w:shd w:val="clear" w:color="auto" w:fill="FFFFFF"/>
        <w:jc w:val="left"/>
        <w:rPr>
          <w:rFonts w:ascii="微软雅黑" w:eastAsia="微软雅黑" w:hAnsi="微软雅黑" w:cs="宋体" w:hint="eastAsia"/>
          <w:color w:val="333333"/>
          <w:spacing w:val="8"/>
          <w:kern w:val="0"/>
          <w:sz w:val="26"/>
          <w:szCs w:val="26"/>
        </w:rPr>
      </w:pPr>
      <w:r>
        <w:rPr>
          <w:rFonts w:ascii="微软雅黑" w:eastAsia="微软雅黑" w:hAnsi="微软雅黑" w:cs="宋体" w:hint="eastAsia"/>
          <w:noProof/>
          <w:color w:val="333333"/>
          <w:spacing w:val="8"/>
          <w:kern w:val="0"/>
          <w:sz w:val="26"/>
          <w:szCs w:val="26"/>
        </w:rPr>
        <w:drawing>
          <wp:inline distT="0" distB="0" distL="0" distR="0">
            <wp:extent cx="5274310" cy="3861435"/>
            <wp:effectExtent l="19050" t="0" r="2540" b="0"/>
            <wp:docPr id="10" name="图片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stretch>
                      <a:fillRect/>
                    </a:stretch>
                  </pic:blipFill>
                  <pic:spPr>
                    <a:xfrm>
                      <a:off x="0" y="0"/>
                      <a:ext cx="5274310" cy="3861435"/>
                    </a:xfrm>
                    <a:prstGeom prst="rect">
                      <a:avLst/>
                    </a:prstGeom>
                  </pic:spPr>
                </pic:pic>
              </a:graphicData>
            </a:graphic>
          </wp:inline>
        </w:drawing>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b/>
          <w:bCs/>
          <w:color w:val="FA5206"/>
          <w:spacing w:val="8"/>
          <w:kern w:val="0"/>
          <w:sz w:val="26"/>
        </w:rPr>
        <w:t>欢迎加入财税MBA</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1、申请对象</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3" type="#_x0000_t75" alt="" style="width:24pt;height:24pt"/>
        </w:pict>
      </w:r>
      <w:r w:rsidRPr="003D3D80">
        <w:rPr>
          <w:rFonts w:ascii="微软雅黑" w:eastAsia="微软雅黑" w:hAnsi="微软雅黑" w:cs="宋体" w:hint="eastAsia"/>
          <w:color w:val="333333"/>
          <w:spacing w:val="8"/>
          <w:kern w:val="0"/>
          <w:sz w:val="26"/>
          <w:szCs w:val="26"/>
        </w:rPr>
        <w:t>企业主、职业经理人、企业高管、财务总监、税收及金融领域专业人士等其他涉税人士。</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工作经验：三年以上管理经验；参加过企业管理培训、MBA、EMBA研修课程学习的申请人优先录取。</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2、申请资料</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4" type="#_x0000_t75" alt="" style="width:24pt;height:24pt"/>
        </w:pict>
      </w:r>
      <w:r w:rsidRPr="003D3D80">
        <w:rPr>
          <w:rFonts w:ascii="微软雅黑" w:eastAsia="微软雅黑" w:hAnsi="微软雅黑" w:cs="宋体" w:hint="eastAsia"/>
          <w:color w:val="333333"/>
          <w:spacing w:val="8"/>
          <w:kern w:val="0"/>
          <w:sz w:val="26"/>
          <w:szCs w:val="26"/>
        </w:rPr>
        <w:t>入学申请表</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5" type="#_x0000_t75" alt="" style="width:24pt;height:24pt"/>
        </w:pict>
      </w:r>
      <w:r w:rsidRPr="003D3D80">
        <w:rPr>
          <w:rFonts w:ascii="微软雅黑" w:eastAsia="微软雅黑" w:hAnsi="微软雅黑" w:cs="宋体" w:hint="eastAsia"/>
          <w:color w:val="333333"/>
          <w:spacing w:val="8"/>
          <w:kern w:val="0"/>
          <w:sz w:val="26"/>
          <w:szCs w:val="26"/>
        </w:rPr>
        <w:t>最高学历或学位证书原件及复印件</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6" type="#_x0000_t75" alt="" style="width:24pt;height:24pt"/>
        </w:pict>
      </w:r>
      <w:r w:rsidRPr="003D3D80">
        <w:rPr>
          <w:rFonts w:ascii="微软雅黑" w:eastAsia="微软雅黑" w:hAnsi="微软雅黑" w:cs="宋体" w:hint="eastAsia"/>
          <w:color w:val="333333"/>
          <w:spacing w:val="8"/>
          <w:kern w:val="0"/>
          <w:sz w:val="26"/>
          <w:szCs w:val="26"/>
        </w:rPr>
        <w:t>个人责任声明</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7" type="#_x0000_t75" alt="" style="width:24pt;height:24pt"/>
        </w:pict>
      </w:r>
      <w:r w:rsidRPr="003D3D80">
        <w:rPr>
          <w:rFonts w:ascii="微软雅黑" w:eastAsia="微软雅黑" w:hAnsi="微软雅黑" w:cs="宋体" w:hint="eastAsia"/>
          <w:color w:val="333333"/>
          <w:spacing w:val="8"/>
          <w:kern w:val="0"/>
          <w:sz w:val="26"/>
          <w:szCs w:val="26"/>
        </w:rPr>
        <w:t>入学推荐表</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8" type="#_x0000_t75" alt="" style="width:24pt;height:24pt"/>
        </w:pict>
      </w:r>
      <w:r w:rsidRPr="003D3D80">
        <w:rPr>
          <w:rFonts w:ascii="微软雅黑" w:eastAsia="微软雅黑" w:hAnsi="微软雅黑" w:cs="宋体" w:hint="eastAsia"/>
          <w:color w:val="333333"/>
          <w:spacing w:val="8"/>
          <w:kern w:val="0"/>
          <w:sz w:val="26"/>
          <w:szCs w:val="26"/>
        </w:rPr>
        <w:t>身份证（或护照）原件及复印件</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39" type="#_x0000_t75" alt="" style="width:24pt;height:24pt"/>
        </w:pict>
      </w:r>
      <w:r w:rsidRPr="003D3D80">
        <w:rPr>
          <w:rFonts w:ascii="微软雅黑" w:eastAsia="微软雅黑" w:hAnsi="微软雅黑" w:cs="宋体" w:hint="eastAsia"/>
          <w:color w:val="333333"/>
          <w:spacing w:val="8"/>
          <w:kern w:val="0"/>
          <w:sz w:val="26"/>
          <w:szCs w:val="26"/>
        </w:rPr>
        <w:t>一寸彩色证件照2张</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40" type="#_x0000_t75" alt="" style="width:24pt;height:24pt"/>
        </w:pict>
      </w:r>
      <w:r w:rsidRPr="003D3D80">
        <w:rPr>
          <w:rFonts w:ascii="微软雅黑" w:eastAsia="微软雅黑" w:hAnsi="微软雅黑" w:cs="宋体" w:hint="eastAsia"/>
          <w:color w:val="333333"/>
          <w:spacing w:val="8"/>
          <w:kern w:val="0"/>
          <w:sz w:val="26"/>
          <w:szCs w:val="26"/>
        </w:rPr>
        <w:t>名片2张</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3、入学流程</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提交（申请人完整填写并提交《入学申请表》及申请材料，并缴纳报名费）→ 初审 → 面试 → 录取 → 缴费 → 注册</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4、学费</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41" type="#_x0000_t75" alt="" style="width:24pt;height:24pt"/>
        </w:pict>
      </w:r>
      <w:r w:rsidRPr="003D3D80">
        <w:rPr>
          <w:rFonts w:ascii="微软雅黑" w:eastAsia="微软雅黑" w:hAnsi="微软雅黑" w:cs="宋体" w:hint="eastAsia"/>
          <w:color w:val="333333"/>
          <w:spacing w:val="8"/>
          <w:kern w:val="0"/>
          <w:sz w:val="26"/>
          <w:szCs w:val="26"/>
        </w:rPr>
        <w:t>申请费：2,000元（RMB）</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42" type="#_x0000_t75" alt="" style="width:24pt;height:24pt"/>
        </w:pict>
      </w:r>
      <w:r w:rsidRPr="003D3D80">
        <w:rPr>
          <w:rFonts w:ascii="微软雅黑" w:eastAsia="微软雅黑" w:hAnsi="微软雅黑" w:cs="宋体" w:hint="eastAsia"/>
          <w:color w:val="333333"/>
          <w:spacing w:val="8"/>
          <w:kern w:val="0"/>
          <w:sz w:val="26"/>
          <w:szCs w:val="26"/>
        </w:rPr>
        <w:t>学   费：158,000元（RMB）</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5、学习方式</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43" type="#_x0000_t75" alt="" style="width:24pt;height:24pt"/>
        </w:pict>
      </w:r>
      <w:r w:rsidRPr="003D3D80">
        <w:rPr>
          <w:rFonts w:ascii="微软雅黑" w:eastAsia="微软雅黑" w:hAnsi="微软雅黑" w:cs="宋体" w:hint="eastAsia"/>
          <w:color w:val="333333"/>
          <w:spacing w:val="8"/>
          <w:kern w:val="0"/>
          <w:sz w:val="26"/>
          <w:szCs w:val="26"/>
        </w:rPr>
        <w:t>学制两年，每月集中授课一次，每次连续2-3天。</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color w:val="333333"/>
          <w:spacing w:val="8"/>
          <w:kern w:val="0"/>
          <w:sz w:val="26"/>
          <w:szCs w:val="26"/>
        </w:rPr>
        <w:pict>
          <v:shape id="_x0000_i1044" type="#_x0000_t75" alt="" style="width:24pt;height:24pt"/>
        </w:pict>
      </w:r>
      <w:r w:rsidRPr="003D3D80">
        <w:rPr>
          <w:rFonts w:ascii="微软雅黑" w:eastAsia="微软雅黑" w:hAnsi="微软雅黑" w:cs="宋体" w:hint="eastAsia"/>
          <w:color w:val="333333"/>
          <w:spacing w:val="8"/>
          <w:kern w:val="0"/>
          <w:sz w:val="26"/>
          <w:szCs w:val="26"/>
        </w:rPr>
        <w:t>课程阶段不少于18个月，论文阶段不少于6个月。</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FA5206"/>
          <w:spacing w:val="8"/>
          <w:kern w:val="0"/>
          <w:sz w:val="26"/>
          <w:szCs w:val="26"/>
        </w:rPr>
        <w:t>6、学位</w:t>
      </w:r>
    </w:p>
    <w:p w:rsidR="003D3D80" w:rsidRPr="003D3D80" w:rsidRDefault="003D3D80" w:rsidP="00662F12">
      <w:pPr>
        <w:widowControl/>
        <w:shd w:val="clear" w:color="auto" w:fill="FFFFFF"/>
        <w:rPr>
          <w:rFonts w:ascii="微软雅黑" w:eastAsia="微软雅黑" w:hAnsi="微软雅黑" w:cs="宋体" w:hint="eastAsia"/>
          <w:color w:val="333333"/>
          <w:spacing w:val="8"/>
          <w:kern w:val="0"/>
          <w:sz w:val="26"/>
          <w:szCs w:val="26"/>
        </w:rPr>
      </w:pPr>
      <w:r w:rsidRPr="003D3D80">
        <w:rPr>
          <w:rFonts w:ascii="微软雅黑" w:eastAsia="微软雅黑" w:hAnsi="微软雅黑" w:cs="宋体" w:hint="eastAsia"/>
          <w:color w:val="333333"/>
          <w:spacing w:val="8"/>
          <w:kern w:val="0"/>
          <w:sz w:val="26"/>
          <w:szCs w:val="26"/>
        </w:rPr>
        <w:t>学员完成所有规定课程学习和学位论文答辩，成绩合格者，BSN荷兰商学院将颁发全球认可的财税方向工商管理硕士（MBA）证书。</w:t>
      </w:r>
    </w:p>
    <w:p w:rsidR="004B60D6" w:rsidRDefault="0087532B" w:rsidP="00662F12"/>
    <w:sectPr w:rsidR="004B60D6" w:rsidSect="00A229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3D80"/>
    <w:rsid w:val="003D3D80"/>
    <w:rsid w:val="003D5E8E"/>
    <w:rsid w:val="00662F12"/>
    <w:rsid w:val="0087532B"/>
    <w:rsid w:val="00A22905"/>
    <w:rsid w:val="00B2463B"/>
    <w:rsid w:val="00C05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05"/>
    <w:pPr>
      <w:widowControl w:val="0"/>
      <w:jc w:val="both"/>
    </w:pPr>
  </w:style>
  <w:style w:type="paragraph" w:styleId="2">
    <w:name w:val="heading 2"/>
    <w:basedOn w:val="a"/>
    <w:link w:val="2Char"/>
    <w:uiPriority w:val="9"/>
    <w:qFormat/>
    <w:rsid w:val="003D3D8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D3D80"/>
    <w:rPr>
      <w:rFonts w:ascii="宋体" w:eastAsia="宋体" w:hAnsi="宋体" w:cs="宋体"/>
      <w:b/>
      <w:bCs/>
      <w:kern w:val="0"/>
      <w:sz w:val="36"/>
      <w:szCs w:val="36"/>
    </w:rPr>
  </w:style>
  <w:style w:type="character" w:customStyle="1" w:styleId="richmediameta">
    <w:name w:val="rich_media_meta"/>
    <w:basedOn w:val="a0"/>
    <w:rsid w:val="003D3D80"/>
  </w:style>
  <w:style w:type="character" w:customStyle="1" w:styleId="apple-converted-space">
    <w:name w:val="apple-converted-space"/>
    <w:basedOn w:val="a0"/>
    <w:rsid w:val="003D3D80"/>
  </w:style>
  <w:style w:type="character" w:styleId="a3">
    <w:name w:val="Hyperlink"/>
    <w:basedOn w:val="a0"/>
    <w:uiPriority w:val="99"/>
    <w:semiHidden/>
    <w:unhideWhenUsed/>
    <w:rsid w:val="003D3D80"/>
    <w:rPr>
      <w:color w:val="0000FF"/>
      <w:u w:val="single"/>
    </w:rPr>
  </w:style>
  <w:style w:type="character" w:styleId="a4">
    <w:name w:val="Emphasis"/>
    <w:basedOn w:val="a0"/>
    <w:uiPriority w:val="20"/>
    <w:qFormat/>
    <w:rsid w:val="003D3D80"/>
    <w:rPr>
      <w:i/>
      <w:iCs/>
    </w:rPr>
  </w:style>
  <w:style w:type="paragraph" w:styleId="a5">
    <w:name w:val="Normal (Web)"/>
    <w:basedOn w:val="a"/>
    <w:uiPriority w:val="99"/>
    <w:semiHidden/>
    <w:unhideWhenUsed/>
    <w:rsid w:val="003D3D8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D3D80"/>
    <w:rPr>
      <w:b/>
      <w:bCs/>
    </w:rPr>
  </w:style>
  <w:style w:type="paragraph" w:styleId="a7">
    <w:name w:val="Balloon Text"/>
    <w:basedOn w:val="a"/>
    <w:link w:val="Char"/>
    <w:uiPriority w:val="99"/>
    <w:semiHidden/>
    <w:unhideWhenUsed/>
    <w:rsid w:val="003D3D80"/>
    <w:rPr>
      <w:sz w:val="18"/>
      <w:szCs w:val="18"/>
    </w:rPr>
  </w:style>
  <w:style w:type="character" w:customStyle="1" w:styleId="Char">
    <w:name w:val="批注框文本 Char"/>
    <w:basedOn w:val="a0"/>
    <w:link w:val="a7"/>
    <w:uiPriority w:val="99"/>
    <w:semiHidden/>
    <w:rsid w:val="003D3D80"/>
    <w:rPr>
      <w:sz w:val="18"/>
      <w:szCs w:val="18"/>
    </w:rPr>
  </w:style>
</w:styles>
</file>

<file path=word/webSettings.xml><?xml version="1.0" encoding="utf-8"?>
<w:webSettings xmlns:r="http://schemas.openxmlformats.org/officeDocument/2006/relationships" xmlns:w="http://schemas.openxmlformats.org/wordprocessingml/2006/main">
  <w:divs>
    <w:div w:id="1767848319">
      <w:bodyDiv w:val="1"/>
      <w:marLeft w:val="0"/>
      <w:marRight w:val="0"/>
      <w:marTop w:val="0"/>
      <w:marBottom w:val="0"/>
      <w:divBdr>
        <w:top w:val="none" w:sz="0" w:space="0" w:color="auto"/>
        <w:left w:val="none" w:sz="0" w:space="0" w:color="auto"/>
        <w:bottom w:val="none" w:sz="0" w:space="0" w:color="auto"/>
        <w:right w:val="none" w:sz="0" w:space="0" w:color="auto"/>
      </w:divBdr>
      <w:divsChild>
        <w:div w:id="41991241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2019-11-16T01:39:00Z</dcterms:created>
  <dcterms:modified xsi:type="dcterms:W3CDTF">2019-11-16T01:59:00Z</dcterms:modified>
</cp:coreProperties>
</file>