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460" w:lineRule="exact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华文宋体" w:eastAsia="黑体" w:cs="华文宋体"/>
          <w:b/>
          <w:color w:val="000000"/>
          <w:sz w:val="32"/>
          <w:szCs w:val="32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-769620</wp:posOffset>
            </wp:positionV>
            <wp:extent cx="7552690" cy="10702290"/>
            <wp:effectExtent l="19050" t="0" r="0" b="0"/>
            <wp:wrapNone/>
            <wp:docPr id="2" name="图片 2" descr="建设工程分会2号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建设工程分会2号_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0229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-762000</wp:posOffset>
            </wp:positionV>
            <wp:extent cx="7545705" cy="10680700"/>
            <wp:effectExtent l="19050" t="0" r="0" b="0"/>
            <wp:wrapNone/>
            <wp:docPr id="3" name="图片 3" descr="建设工程分会2号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建设工程分会2号_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80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pStyle w:val="2"/>
        <w:ind w:firstLine="643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</w:p>
    <w:p>
      <w:pPr>
        <w:widowControl/>
        <w:autoSpaceDE/>
        <w:autoSpaceDN/>
        <w:spacing w:line="460" w:lineRule="exact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</w:rPr>
        <w:t>附件1:</w:t>
      </w:r>
    </w:p>
    <w:p>
      <w:pPr>
        <w:widowControl/>
        <w:autoSpaceDE/>
        <w:autoSpaceDN/>
        <w:spacing w:line="460" w:lineRule="exact"/>
        <w:rPr>
          <w:rFonts w:hint="eastAsia" w:ascii="黑体" w:hAnsi="华文宋体" w:eastAsia="黑体" w:cs="华文宋体"/>
          <w:b/>
          <w:color w:val="000000"/>
          <w:sz w:val="32"/>
          <w:szCs w:val="32"/>
        </w:rPr>
      </w:pPr>
      <w:r>
        <w:rPr>
          <w:rFonts w:hint="eastAsia" w:ascii="黑体" w:hAnsi="华文宋体" w:eastAsia="黑体" w:cs="华文宋体"/>
          <w:b/>
          <w:color w:val="000000"/>
          <w:sz w:val="32"/>
          <w:szCs w:val="32"/>
        </w:rPr>
        <w:t xml:space="preserve">                     培 训 须 知</w:t>
      </w:r>
    </w:p>
    <w:p>
      <w:pPr>
        <w:autoSpaceDE/>
        <w:autoSpaceDN/>
        <w:spacing w:line="316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/>
        </w:rPr>
        <w:t>一、</w:t>
      </w:r>
      <w:r>
        <w:rPr>
          <w:rFonts w:hint="eastAsia" w:ascii="黑体" w:hAnsi="黑体" w:eastAsia="黑体" w:cs="黑体"/>
          <w:b/>
          <w:sz w:val="28"/>
          <w:szCs w:val="28"/>
        </w:rPr>
        <w:t>培训内容</w:t>
      </w:r>
    </w:p>
    <w:p>
      <w:pPr>
        <w:widowControl/>
        <w:autoSpaceDE/>
        <w:autoSpaceDN/>
        <w:spacing w:line="380" w:lineRule="exact"/>
        <w:ind w:firstLine="280" w:firstLineChars="100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bidi="ar-SA"/>
        </w:rPr>
        <w:t>第一部分：新版《建设工程工程量清单计价标准(征)》全面解读与建设项目造价精细化管理实务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（一） 新版《建设工程工程量清单计价标准(征)》深度解读及应用操作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新版《建设工程工程量清单计价标准(征)》(建司局函标〔2021〕144号，以下简称“《新清标(征)》”)修订背景介绍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工程造价构成与性质分析及</w:t>
      </w:r>
      <w:r>
        <w:rPr>
          <w:sz w:val="28"/>
          <w:szCs w:val="28"/>
        </w:rPr>
        <w:t>《新清标(征)》中关于最高投标限价编制与监管的改革政策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计价方式和合同形式分析及</w:t>
      </w:r>
      <w:r>
        <w:rPr>
          <w:sz w:val="28"/>
          <w:szCs w:val="28"/>
        </w:rPr>
        <w:t>《新清标(征)》中关于招标清单属性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总价合同价格结算的</w:t>
      </w:r>
      <w:r>
        <w:rPr>
          <w:rFonts w:hint="eastAsia"/>
          <w:sz w:val="28"/>
          <w:szCs w:val="28"/>
        </w:rPr>
        <w:t>突破性</w:t>
      </w:r>
      <w:r>
        <w:rPr>
          <w:sz w:val="28"/>
          <w:szCs w:val="28"/>
        </w:rPr>
        <w:t>规定；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计价包干分析案例及</w:t>
      </w:r>
      <w:r>
        <w:rPr>
          <w:sz w:val="28"/>
          <w:szCs w:val="28"/>
        </w:rPr>
        <w:t>《新清标(征)》</w:t>
      </w:r>
      <w:r>
        <w:rPr>
          <w:rFonts w:hint="eastAsia"/>
          <w:sz w:val="28"/>
          <w:szCs w:val="28"/>
        </w:rPr>
        <w:t>中关于措施费包干计价的新规定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工程计量支付及</w:t>
      </w:r>
      <w:r>
        <w:rPr>
          <w:sz w:val="28"/>
          <w:szCs w:val="28"/>
        </w:rPr>
        <w:t>《新清标(征)》中关于过程结算的新规定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工程计价风险与价格调整及</w:t>
      </w:r>
      <w:r>
        <w:rPr>
          <w:sz w:val="28"/>
          <w:szCs w:val="28"/>
        </w:rPr>
        <w:t>《新清标(征)》中关于固定价格与情势变更的规定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工程量变更结算案例及</w:t>
      </w:r>
      <w:r>
        <w:rPr>
          <w:sz w:val="28"/>
          <w:szCs w:val="28"/>
        </w:rPr>
        <w:t>《新清标(征)》中</w:t>
      </w:r>
      <w:r>
        <w:rPr>
          <w:rFonts w:hint="eastAsia"/>
          <w:sz w:val="28"/>
          <w:szCs w:val="28"/>
        </w:rPr>
        <w:t>的新规定；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工程签证与材料认质认价管理及</w:t>
      </w:r>
      <w:r>
        <w:rPr>
          <w:sz w:val="28"/>
          <w:szCs w:val="28"/>
        </w:rPr>
        <w:t>《新清标(征)》中</w:t>
      </w:r>
      <w:r>
        <w:rPr>
          <w:rFonts w:hint="eastAsia"/>
          <w:sz w:val="28"/>
          <w:szCs w:val="28"/>
        </w:rPr>
        <w:t>的新规定；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暂估价项目计价案例及</w:t>
      </w:r>
      <w:r>
        <w:rPr>
          <w:sz w:val="28"/>
          <w:szCs w:val="28"/>
        </w:rPr>
        <w:t>《新清标(征)》中</w:t>
      </w:r>
      <w:r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新规定</w:t>
      </w:r>
      <w:r>
        <w:rPr>
          <w:rFonts w:hint="eastAsia"/>
          <w:sz w:val="28"/>
          <w:szCs w:val="28"/>
        </w:rPr>
        <w:t>；</w:t>
      </w:r>
    </w:p>
    <w:p>
      <w:pPr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spacing w:line="380" w:lineRule="exact"/>
        <w:ind w:left="845" w:hanging="284"/>
        <w:textAlignment w:val="baseline"/>
        <w:outlineLvl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总承包服务费计价案例及</w:t>
      </w:r>
      <w:r>
        <w:rPr>
          <w:sz w:val="28"/>
          <w:szCs w:val="28"/>
        </w:rPr>
        <w:t>《新清标(征)》中关于甲供材料设备计价与结算的新规定</w:t>
      </w:r>
      <w:r>
        <w:rPr>
          <w:rFonts w:hint="eastAsia"/>
          <w:sz w:val="28"/>
          <w:szCs w:val="28"/>
        </w:rPr>
        <w:t>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（二）最新造价相关政策文件解读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left="701" w:leftChars="255" w:hanging="140" w:hangingChars="5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1.国务院办公厅《关于促进建筑业持续健康发展的意见》（国办发〔2017〕19号）中相关计价规定；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left="841" w:leftChars="255" w:hanging="280" w:hangingChars="1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2.住建部《关于加强和改善工程造价监管的意见》（建标〔2017〕209号）；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3《招标投标法》修订基本精神启示；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left="841" w:leftChars="255" w:hanging="280" w:hangingChars="100"/>
        <w:textAlignment w:val="baseline"/>
        <w:outlineLvl w:val="0"/>
        <w:rPr>
          <w:rFonts w:hint="eastAsia"/>
          <w:color w:val="000000"/>
          <w:sz w:val="28"/>
          <w:szCs w:val="28"/>
          <w:lang w:val="en-US"/>
        </w:rPr>
      </w:pPr>
      <w:r>
        <w:rPr>
          <w:rFonts w:hint="eastAsia"/>
          <w:color w:val="000000"/>
          <w:sz w:val="28"/>
          <w:szCs w:val="28"/>
          <w:lang w:val="en-US"/>
        </w:rPr>
        <w:t>4.</w:t>
      </w:r>
      <w:r>
        <w:rPr>
          <w:rFonts w:hint="eastAsia"/>
          <w:color w:val="000000"/>
          <w:sz w:val="28"/>
          <w:szCs w:val="28"/>
        </w:rPr>
        <w:t>新版《建设项目工程总承包合同（示范文本）》修订核心亮点、重点条款宣贯解读；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/>
        </w:rPr>
        <w:t>5</w:t>
      </w:r>
      <w:r>
        <w:rPr>
          <w:rFonts w:hint="eastAsia"/>
          <w:color w:val="000000"/>
          <w:sz w:val="28"/>
          <w:szCs w:val="28"/>
        </w:rPr>
        <w:t>.《房屋建筑和市政基础设施项目工程总承包管理办法》解读及应用；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/>
        </w:rPr>
        <w:t>6.《建筑工程施工发包与承包计价管理办法》（修订征求意见稿）解读及应用。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（三）招投标环节过程控制精细化管理与操作方法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1.“招标工程量清单”跟踪控制及对策；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2.招标文件编制以及合同约定要点；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3.“最高投标限价”跟踪控制及对策；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4.材料、设备、专业工程暂估价及甲乙供材料招投标关键；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5.招投标环节过程精细化管理的要点；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  <w:lang w:val="en-US"/>
        </w:rPr>
      </w:pPr>
      <w:r>
        <w:rPr>
          <w:rFonts w:hint="eastAsia"/>
          <w:color w:val="000000"/>
          <w:sz w:val="28"/>
          <w:szCs w:val="28"/>
          <w:lang w:val="en-US"/>
        </w:rPr>
        <w:t>6.招标文件中价格风险的约定方法与要点。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（四）合同约定环节过程精细化管理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1.合约规划及审查谈判要点；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2.合同约定原则、方法以及跟踪控制对策；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3.合同约定中涉税条款的处理与风险防范；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4.合同约定类型的选择及各种合同类型的约定策略；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5.合同约定内容、效力以及跟踪审查对策；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6.各种不同合同类型下发、承包的合同风险约定对策。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（五）合同价款调整环节精细化管理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1.合同价款调整的政策原则；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2.法律法规变化导致价款调整跟踪控制对策；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3.工程变更导致价款调整的跟踪控制对策；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4.暂估价导致价款调整跟踪对策；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5.误期赔偿导致价款调整的控制；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6.施工索赔导致价款调整的控制；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7.暂列金额导致价款调整的控制；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8.变更、签证、索赔及价款调整控制技巧。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（六）合同价款支付环节过程精细化管理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1.合同价款支付的总体税控筹划；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2.预付款支付的跟踪控制及对策；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3.安全文明施工费支付控制对策；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4.总价措施费用支付的控制对策；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5.进度款支付过程中的控制对策；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6.工程价款跟踪管理工具；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7.价款支付中承包方“停工权”使用及应对。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（七）工程审计、监督与结算过程精细化管理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1.当事人约定以行政审计、财政评审作为工程款结算依据的处理；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2.当事人申请进行司法鉴定的处理；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3.不影响双方结算协议效力的情形；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4.如何处理中标合同约定与以审计结果作为结算依据不一致；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5.约定以审计结论作为结算依据，能否变更结算约定；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6.超越资质范围出具审计报告，审计结果能否作为结算依据；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7.政府审计结果是否影响双方当事人结算协议的履行；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left="841" w:leftChars="255" w:hanging="280" w:hangingChars="1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8.审计机关对发包人的竣工决算，审计结果对承包人与实际施工人约定的结算方式的影响；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9.合同约定的决算审核部门审核结果能否作为结算依据；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ind w:firstLine="560" w:firstLineChars="200"/>
        <w:textAlignment w:val="baseline"/>
        <w:outlineLvl w:val="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10.工程结算审计及案例分析。</w:t>
      </w:r>
    </w:p>
    <w:p>
      <w:pPr>
        <w:tabs>
          <w:tab w:val="left" w:pos="567"/>
          <w:tab w:val="left" w:pos="709"/>
        </w:tabs>
        <w:autoSpaceDE/>
        <w:autoSpaceDN/>
        <w:spacing w:line="380" w:lineRule="exact"/>
        <w:textAlignment w:val="baseline"/>
        <w:outlineLvl w:val="0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bidi="ar-SA"/>
        </w:rPr>
        <w:t>第二部分：EPC工程投资控制、合同定价与结算管理实务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（一）最新E</w:t>
      </w:r>
      <w:r>
        <w:rPr>
          <w:rFonts w:cs="宋体"/>
          <w:b/>
          <w:bCs/>
          <w:color w:val="000000"/>
          <w:kern w:val="2"/>
          <w:sz w:val="28"/>
          <w:szCs w:val="28"/>
          <w:lang w:val="en-US" w:bidi="ar-SA"/>
        </w:rPr>
        <w:t>PC</w:t>
      </w: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计价法规政策文件解读与应用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rPr>
          <w:rFonts w:cs="宋体"/>
          <w:color w:val="000000"/>
          <w:sz w:val="28"/>
          <w:szCs w:val="28"/>
        </w:rPr>
      </w:pPr>
      <w:r>
        <w:rPr>
          <w:rFonts w:hint="eastAsia"/>
          <w:bCs/>
          <w:color w:val="000000"/>
          <w:kern w:val="2"/>
          <w:sz w:val="28"/>
          <w:szCs w:val="28"/>
          <w:lang w:val="en-US" w:bidi="ar-SA"/>
        </w:rPr>
        <w:t>最新《建设工程总承包计价规范(征</w:t>
      </w:r>
      <w:r>
        <w:rPr>
          <w:bCs/>
          <w:color w:val="000000"/>
          <w:kern w:val="2"/>
          <w:sz w:val="28"/>
          <w:szCs w:val="28"/>
          <w:lang w:val="en-US" w:bidi="ar-SA"/>
        </w:rPr>
        <w:t>)</w:t>
      </w:r>
      <w:r>
        <w:rPr>
          <w:rFonts w:hint="eastAsia"/>
          <w:bCs/>
          <w:color w:val="000000"/>
          <w:kern w:val="2"/>
          <w:sz w:val="28"/>
          <w:szCs w:val="28"/>
          <w:lang w:val="en-US" w:bidi="ar-SA"/>
        </w:rPr>
        <w:t>》解读及应用；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新版《建设工程总承包合同（示范文本）》计价条款解读；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最新《建设工程总承包管理办法》计价条文解读。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（二）EPC工程范围确定依据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1.“估算控概算、概算控预算”原则在EPC项目中的适用；</w:t>
      </w:r>
    </w:p>
    <w:p>
      <w:pPr>
        <w:widowControl/>
        <w:autoSpaceDE/>
        <w:autoSpaceDN/>
        <w:spacing w:line="380" w:lineRule="exact"/>
        <w:ind w:left="841" w:leftChars="255" w:hanging="280" w:hangingChars="1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2.估算价、预算价、概算价、拦标价、中标价、合同价、结算价、决算价在EPC合同体系中的作用与效力；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3.EPC合同工程范围条款约定不明结算规则；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4.竣工图中未反映的工程变更确定方式；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5.EPC合同工程范围之外工程确定原则；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6.EPC项目结算超概算部分合法性认定原则及救济方式；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7.业主单位防范EPC总包超概算措施安排；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8.EPC合同终止工程范围、内容界定方式与救济。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（三）EPC合同定价与结算管理实务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EPC投资控制现状及DBB、EPC及DB等不同的发包模式对造价管控的影响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EPC总承包合同价格的费用构成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EPC招标清单及招标控制价编制及案例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EPC招标定价机制与合同价格形式：“总价包干”/“费率下浮”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EPC招标“发包人要求”编制与计价风险承担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EPC工程“发包人变更”的确认与计价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EPC工程物价波动下的调价机制与方法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EPC工程结算支付管理要点与实例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营改增后EPC工程计税问题解析及案例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EPC工程审计实践与争议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 xml:space="preserve">EPC计价的国际借鉴——“EPC计价的中国方案” 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新版《工程总承包合同（示范文本）》计价条款解读</w:t>
      </w:r>
      <w:r>
        <w:rPr>
          <w:rFonts w:hint="eastAsia" w:cs="宋体"/>
          <w:color w:val="000000"/>
          <w:sz w:val="28"/>
          <w:szCs w:val="28"/>
        </w:rPr>
        <w:t>；</w:t>
      </w:r>
    </w:p>
    <w:p>
      <w:pPr>
        <w:widowControl/>
        <w:numPr>
          <w:ilvl w:val="0"/>
          <w:numId w:val="2"/>
        </w:numPr>
        <w:autoSpaceDE/>
        <w:autoSpaceDN/>
        <w:spacing w:line="380" w:lineRule="exact"/>
        <w:ind w:left="901" w:hanging="34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《工程总承包管理办法》计价条款解读。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（四）EPC工程结算计量实务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1.竣工图与合同清单冲突结算依据的认定；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2.竣工图与工程现场实物不同结算依据认定；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3.工程签证单代签法律效力的认定；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4.工程签证单拒签的救济方法；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5.工程量确认法律性文件梳理；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6.工程量变更突破概算应对方式；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7.工程变更与违约行为的区别；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8.承包商拒绝工程变更法律安排。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（五）EPC工程索赔重点与难点应对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1.工程索赔的合法性基础；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2.工程索赔与概算控制机制安排；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3.可能引发索赔的十五个亮点；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4.十六项能够佐证索赔事件发生的证据固定；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5.构成索赔证据链关键要素；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6.突发性索赔谈判“敞口”的运用；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7.预案索赔设计构思；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8.索赔额在工程结算中的运用；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9.索赔过程中反索赔的防范关键点。</w:t>
      </w:r>
    </w:p>
    <w:p>
      <w:pPr>
        <w:spacing w:line="38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/>
        </w:rPr>
        <w:t>第三部分：</w:t>
      </w:r>
      <w:r>
        <w:rPr>
          <w:rFonts w:hint="eastAsia" w:ascii="黑体" w:hAnsi="黑体" w:eastAsia="黑体" w:cs="黑体"/>
          <w:sz w:val="28"/>
          <w:szCs w:val="28"/>
        </w:rPr>
        <w:t>全过程工程咨询控制要点、操作实务与风险防范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（一）全过程工程咨询的基本原理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1.产业现代化背景下的行业变革；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2.建筑工程项目管理现状与发展；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3.全过程工程咨询的概念与辨析；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4.全过程工程咨询实施体系设计。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（二）全过程工程咨询实施方案策划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1.全过程工程咨询特点及相关重要政策解析；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2.全过程工程咨询整体服务方案及基本要点；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3.全过程项目管理咨询方案与技术要点；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4.全过程造价咨询方案与技术要点；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5.投资决策综合性咨询方案与技术要点；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6.勘察设计管理咨询方案与技术要点；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7.招标采购咨询方案与技术要点；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8.施工阶段咨询方案与技术要点；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9.工程监理咨询方案与技术要点；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10.项目收尾阶段方案与技术要点；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11.运营维护咨询方案与技术要点；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12.工程项目后评价咨询实务要点。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（三）全过程工程咨询实务操作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1.全过程工程咨询服务模式落地；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2.全过程工程咨询服务实践探索；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3.全过程工程咨询计费方法。</w:t>
      </w:r>
    </w:p>
    <w:p>
      <w:pPr>
        <w:widowControl/>
        <w:autoSpaceDE/>
        <w:autoSpaceDN/>
        <w:spacing w:line="380" w:lineRule="exact"/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</w:pPr>
      <w:r>
        <w:rPr>
          <w:rFonts w:hint="eastAsia" w:cs="宋体"/>
          <w:b/>
          <w:bCs/>
          <w:color w:val="000000"/>
          <w:kern w:val="2"/>
          <w:sz w:val="28"/>
          <w:szCs w:val="28"/>
          <w:lang w:val="en-US" w:bidi="ar-SA"/>
        </w:rPr>
        <w:t>（四）全过程工程咨询合同管理及法律风险防范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1.全过程工程咨询应注意的法律问题；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2.工程建设各个阶段的主要责任及风险；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3.全过程工程咨询服务合同示范文本解读及案例分析；</w:t>
      </w:r>
    </w:p>
    <w:p>
      <w:pPr>
        <w:widowControl/>
        <w:autoSpaceDE/>
        <w:autoSpaceDN/>
        <w:spacing w:line="380" w:lineRule="exact"/>
        <w:ind w:firstLine="560" w:firstLineChars="200"/>
        <w:rPr>
          <w:rFonts w:hint="eastAsia" w:cs="宋体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4.全过程工程咨询中造价合约协同管控。</w:t>
      </w:r>
    </w:p>
    <w:p>
      <w:pPr>
        <w:autoSpaceDE/>
        <w:autoSpaceDN/>
        <w:spacing w:line="380" w:lineRule="exact"/>
        <w:rPr>
          <w:rFonts w:hint="eastAsia" w:ascii="黑体" w:hAnsi="黑体" w:eastAsia="黑体" w:cs="黑体"/>
          <w:kern w:val="2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bidi="ar-SA"/>
        </w:rPr>
        <w:t>二、培训对象</w:t>
      </w:r>
    </w:p>
    <w:p>
      <w:pPr>
        <w:spacing w:line="3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1.各地方政府有关建设规划、工程建设、监督管理等部门，工程勘察、设计、施工、监理、代理单位以及建设工程交易、投资项目评审相关人员。</w:t>
      </w:r>
    </w:p>
    <w:p>
      <w:pPr>
        <w:spacing w:line="3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2.各业主单位项目管理、合同管理、造价管理、建设开发、财务审计等相关部门人员。</w:t>
      </w:r>
    </w:p>
    <w:p>
      <w:pPr>
        <w:spacing w:line="3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3.各类建筑施工企业、工程规划设计、设备材料供应、招标投标机构、投资咨询服务、市场监督管理等部门负责人。</w:t>
      </w:r>
    </w:p>
    <w:p>
      <w:pPr>
        <w:autoSpaceDE/>
        <w:autoSpaceDN/>
        <w:spacing w:line="380" w:lineRule="exact"/>
        <w:rPr>
          <w:rFonts w:hint="eastAsia" w:ascii="黑体" w:hAnsi="黑体" w:eastAsia="黑体" w:cs="黑体"/>
          <w:kern w:val="2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bidi="ar-SA"/>
        </w:rPr>
        <w:t>三、授课专家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拟聘请国家发改委、住建部、行业协会等参与</w:t>
      </w:r>
      <w:r>
        <w:rPr>
          <w:rFonts w:hint="eastAsia"/>
          <w:bCs/>
          <w:sz w:val="28"/>
          <w:szCs w:val="28"/>
        </w:rPr>
        <w:t>政策制定、</w:t>
      </w:r>
      <w:r>
        <w:rPr>
          <w:rFonts w:hint="eastAsia"/>
          <w:kern w:val="2"/>
          <w:sz w:val="28"/>
          <w:szCs w:val="28"/>
          <w:lang w:bidi="ar-SA"/>
        </w:rPr>
        <w:t>文件编写</w:t>
      </w:r>
      <w:r>
        <w:rPr>
          <w:rFonts w:hint="eastAsia"/>
          <w:bCs/>
          <w:sz w:val="28"/>
          <w:szCs w:val="28"/>
        </w:rPr>
        <w:t>，且具有较深理论和实践经验的专家结合亟待解决的热点问题、经典案例，进行全面、系统、深入的讲解和研讨。</w:t>
      </w:r>
    </w:p>
    <w:p>
      <w:pPr>
        <w:autoSpaceDE/>
        <w:autoSpaceDN/>
        <w:spacing w:line="380" w:lineRule="exact"/>
        <w:rPr>
          <w:rFonts w:hint="eastAsia" w:ascii="黑体" w:hAnsi="黑体" w:eastAsia="黑体" w:cs="黑体"/>
          <w:kern w:val="2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bidi="ar-SA"/>
        </w:rPr>
        <w:t>四、时间地点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  <w:lang w:val="en-US"/>
        </w:rPr>
        <w:t>线上课程安排：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第一天：上午9:00—12:00，下午14:00—17:30；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bCs/>
          <w:sz w:val="28"/>
          <w:szCs w:val="28"/>
          <w:lang w:val="en-US"/>
        </w:rPr>
      </w:pPr>
      <w:r>
        <w:rPr>
          <w:rFonts w:hint="eastAsia"/>
          <w:bCs/>
          <w:sz w:val="28"/>
          <w:szCs w:val="28"/>
          <w:lang w:val="en-US"/>
        </w:rPr>
        <w:t>第二天：上午9:00—12:00，下午14:00—17:30。</w:t>
      </w:r>
    </w:p>
    <w:p>
      <w:pPr>
        <w:autoSpaceDE/>
        <w:autoSpaceDN/>
        <w:spacing w:line="380" w:lineRule="exact"/>
        <w:ind w:firstLine="560" w:firstLineChars="200"/>
        <w:rPr>
          <w:rFonts w:hint="eastAsia" w:ascii="楷体" w:hAnsi="楷体" w:eastAsia="楷体" w:cs="楷体"/>
          <w:bCs/>
          <w:color w:val="000000"/>
          <w:sz w:val="28"/>
          <w:szCs w:val="28"/>
          <w:lang w:val="en-US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  <w:lang w:val="en-US"/>
        </w:rPr>
        <w:t>线下课程安排：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2022年07月08日—13日（08日报到）      地点：珠海市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2022年07月22日—27日（22日报到）      地点：厦门市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2022年08月12日—17日（12日报到）      地点：成都市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2022年08月26日—31日（26日报到）      地点：青岛市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2022年09月14日—19日（14日报到）      地点：重庆市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2022年09月23日—28日（23日报到）      地点：武汉市</w:t>
      </w:r>
    </w:p>
    <w:p>
      <w:pPr>
        <w:autoSpaceDE/>
        <w:autoSpaceDN/>
        <w:spacing w:line="380" w:lineRule="exact"/>
        <w:rPr>
          <w:rFonts w:hint="eastAsia" w:ascii="黑体" w:hAnsi="黑体" w:eastAsia="黑体" w:cs="黑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bidi="ar-SA"/>
        </w:rPr>
        <w:t>五、</w:t>
      </w:r>
      <w:r>
        <w:rPr>
          <w:rFonts w:hint="eastAsia" w:ascii="黑体" w:hAnsi="黑体" w:eastAsia="黑体" w:cs="黑体"/>
          <w:sz w:val="28"/>
          <w:szCs w:val="28"/>
        </w:rPr>
        <w:t>会务费</w:t>
      </w:r>
      <w:r>
        <w:rPr>
          <w:rFonts w:hint="eastAsia" w:ascii="黑体" w:hAnsi="黑体" w:eastAsia="黑体" w:cs="黑体"/>
          <w:sz w:val="28"/>
          <w:szCs w:val="28"/>
          <w:lang w:val="en-US"/>
        </w:rPr>
        <w:t>用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A.</w:t>
      </w:r>
      <w:r>
        <w:rPr>
          <w:rFonts w:hint="eastAsia"/>
          <w:bCs/>
          <w:sz w:val="28"/>
          <w:szCs w:val="28"/>
          <w:lang w:val="en-US"/>
        </w:rPr>
        <w:t>1980</w:t>
      </w:r>
      <w:r>
        <w:rPr>
          <w:bCs/>
          <w:sz w:val="28"/>
          <w:szCs w:val="28"/>
          <w:lang w:val="en-US"/>
        </w:rPr>
        <w:t>元/人（</w:t>
      </w:r>
      <w:r>
        <w:rPr>
          <w:rFonts w:hint="eastAsia"/>
          <w:bCs/>
          <w:sz w:val="28"/>
          <w:szCs w:val="28"/>
          <w:lang w:val="en-US"/>
        </w:rPr>
        <w:t>含：线上网课、师资、电子课件等</w:t>
      </w:r>
      <w:r>
        <w:rPr>
          <w:bCs/>
          <w:sz w:val="28"/>
          <w:szCs w:val="28"/>
          <w:lang w:val="en-US"/>
        </w:rPr>
        <w:t>）</w:t>
      </w:r>
      <w:r>
        <w:rPr>
          <w:rFonts w:hint="eastAsia"/>
          <w:bCs/>
          <w:sz w:val="28"/>
          <w:szCs w:val="28"/>
          <w:lang w:val="en-US"/>
        </w:rPr>
        <w:t>。</w:t>
      </w:r>
    </w:p>
    <w:p>
      <w:pPr>
        <w:autoSpaceDE/>
        <w:autoSpaceDN/>
        <w:spacing w:line="380" w:lineRule="exact"/>
        <w:ind w:firstLine="560" w:firstLineChars="200"/>
        <w:rPr>
          <w:kern w:val="2"/>
          <w:sz w:val="28"/>
          <w:szCs w:val="28"/>
          <w:lang w:val="en-US" w:bidi="ar-SA"/>
        </w:rPr>
      </w:pPr>
      <w:r>
        <w:rPr>
          <w:rFonts w:hint="eastAsia"/>
          <w:kern w:val="2"/>
          <w:sz w:val="28"/>
          <w:szCs w:val="28"/>
          <w:lang w:val="en-US" w:bidi="ar-SA"/>
        </w:rPr>
        <w:t>B</w:t>
      </w:r>
      <w:r>
        <w:rPr>
          <w:kern w:val="2"/>
          <w:sz w:val="28"/>
          <w:szCs w:val="28"/>
          <w:lang w:val="en-US" w:bidi="ar-SA"/>
        </w:rPr>
        <w:t>.</w:t>
      </w:r>
      <w:r>
        <w:rPr>
          <w:rFonts w:hint="eastAsia"/>
          <w:kern w:val="2"/>
          <w:sz w:val="28"/>
          <w:szCs w:val="28"/>
          <w:lang w:val="en-US" w:bidi="ar-SA"/>
        </w:rPr>
        <w:t>3600</w:t>
      </w:r>
      <w:r>
        <w:rPr>
          <w:kern w:val="2"/>
          <w:sz w:val="28"/>
          <w:szCs w:val="28"/>
          <w:lang w:val="en-US" w:bidi="ar-SA"/>
        </w:rPr>
        <w:t>元/人（</w:t>
      </w:r>
      <w:r>
        <w:rPr>
          <w:rFonts w:hint="eastAsia"/>
          <w:kern w:val="2"/>
          <w:sz w:val="28"/>
          <w:szCs w:val="28"/>
          <w:lang w:val="en-US" w:bidi="ar-SA"/>
        </w:rPr>
        <w:t>含：师资、教材、场地、茶歇、午餐、结业证书、网课等</w:t>
      </w:r>
      <w:r>
        <w:rPr>
          <w:kern w:val="2"/>
          <w:sz w:val="28"/>
          <w:szCs w:val="28"/>
          <w:lang w:val="en-US" w:bidi="ar-SA"/>
        </w:rPr>
        <w:t>），住宿统一安排，费用自理。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val="en-US" w:bidi="ar-SA"/>
        </w:rPr>
        <w:t>C</w:t>
      </w:r>
      <w:r>
        <w:rPr>
          <w:kern w:val="2"/>
          <w:sz w:val="28"/>
          <w:szCs w:val="28"/>
          <w:lang w:val="en-US" w:bidi="ar-SA"/>
        </w:rPr>
        <w:t>.</w:t>
      </w:r>
      <w:r>
        <w:rPr>
          <w:rFonts w:hint="eastAsia"/>
          <w:kern w:val="2"/>
          <w:sz w:val="28"/>
          <w:szCs w:val="28"/>
          <w:lang w:val="en-US" w:bidi="ar-SA"/>
        </w:rPr>
        <w:t>560</w:t>
      </w:r>
      <w:r>
        <w:rPr>
          <w:kern w:val="2"/>
          <w:sz w:val="28"/>
          <w:szCs w:val="28"/>
          <w:lang w:val="en-US" w:bidi="ar-SA"/>
        </w:rPr>
        <w:t>0元/人（</w:t>
      </w:r>
      <w:r>
        <w:rPr>
          <w:rFonts w:hint="eastAsia"/>
          <w:kern w:val="2"/>
          <w:sz w:val="28"/>
          <w:szCs w:val="28"/>
          <w:lang w:val="en-US" w:bidi="ar-SA"/>
        </w:rPr>
        <w:t>含：师资、教材、场地、茶歇、</w:t>
      </w:r>
      <w:r>
        <w:rPr>
          <w:kern w:val="2"/>
          <w:sz w:val="28"/>
          <w:szCs w:val="28"/>
          <w:lang w:val="en-US" w:bidi="ar-SA"/>
        </w:rPr>
        <w:t>餐费</w:t>
      </w:r>
      <w:r>
        <w:rPr>
          <w:rFonts w:hint="eastAsia"/>
          <w:kern w:val="2"/>
          <w:sz w:val="28"/>
          <w:szCs w:val="28"/>
          <w:lang w:val="en-US" w:bidi="ar-SA"/>
        </w:rPr>
        <w:t>、结业证书、网课及标准间合住等</w:t>
      </w:r>
      <w:r>
        <w:rPr>
          <w:kern w:val="2"/>
          <w:sz w:val="28"/>
          <w:szCs w:val="28"/>
          <w:lang w:val="en-US" w:bidi="ar-SA"/>
        </w:rPr>
        <w:t>）</w:t>
      </w:r>
      <w:r>
        <w:rPr>
          <w:rFonts w:hint="eastAsia"/>
          <w:kern w:val="2"/>
          <w:sz w:val="28"/>
          <w:szCs w:val="28"/>
          <w:lang w:val="en-US" w:bidi="ar-SA"/>
        </w:rPr>
        <w:t>，如需单住请按报到通知住宿标准补单房价差。</w:t>
      </w:r>
    </w:p>
    <w:p>
      <w:pPr>
        <w:autoSpaceDE/>
        <w:autoSpaceDN/>
        <w:spacing w:line="380" w:lineRule="exact"/>
        <w:ind w:firstLine="560" w:firstLineChars="200"/>
        <w:rPr>
          <w:rFonts w:hint="eastAsia"/>
          <w:kern w:val="2"/>
          <w:sz w:val="28"/>
          <w:szCs w:val="28"/>
          <w:lang w:val="en-US" w:bidi="ar-SA"/>
        </w:rPr>
      </w:pPr>
    </w:p>
    <w:p>
      <w:pPr>
        <w:pStyle w:val="2"/>
        <w:rPr>
          <w:rFonts w:hint="eastAsia"/>
          <w:kern w:val="2"/>
          <w:sz w:val="28"/>
          <w:szCs w:val="28"/>
          <w:lang w:val="en-US" w:bidi="ar-SA"/>
        </w:rPr>
      </w:pPr>
    </w:p>
    <w:p>
      <w:pPr>
        <w:pStyle w:val="2"/>
        <w:rPr>
          <w:rFonts w:hint="eastAsia"/>
          <w:kern w:val="2"/>
          <w:sz w:val="28"/>
          <w:szCs w:val="28"/>
          <w:lang w:val="en-US" w:bidi="ar-SA"/>
        </w:rPr>
      </w:pPr>
    </w:p>
    <w:p>
      <w:pPr>
        <w:adjustRightInd w:val="0"/>
        <w:snapToGrid w:val="0"/>
        <w:spacing w:line="400" w:lineRule="exact"/>
        <w:rPr>
          <w:rStyle w:val="10"/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widowControl/>
        <w:autoSpaceDE/>
        <w:autoSpaceDN/>
        <w:spacing w:line="398" w:lineRule="exact"/>
        <w:jc w:val="both"/>
        <w:rPr>
          <w:rFonts w:hint="eastAsia" w:ascii="黑体" w:hAnsi="黑体" w:eastAsia="黑体" w:cs="黑体"/>
          <w:b/>
          <w:color w:val="000000"/>
          <w:sz w:val="30"/>
          <w:szCs w:val="30"/>
          <w:lang w:val="en-US" w:bidi="ar-SA"/>
        </w:rPr>
      </w:pPr>
    </w:p>
    <w:p>
      <w:pPr>
        <w:widowControl/>
        <w:autoSpaceDE/>
        <w:autoSpaceDN/>
        <w:spacing w:line="398" w:lineRule="exact"/>
        <w:jc w:val="both"/>
        <w:rPr>
          <w:rFonts w:hint="eastAsia" w:ascii="黑体" w:hAnsi="黑体" w:eastAsia="黑体" w:cs="黑体"/>
          <w:b/>
          <w:color w:val="000000"/>
          <w:sz w:val="30"/>
          <w:szCs w:val="30"/>
          <w:lang w:val="en-US" w:bidi="ar-SA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  <w:lang w:val="en-US" w:bidi="ar-SA"/>
        </w:rPr>
        <w:t>附件2：</w:t>
      </w:r>
    </w:p>
    <w:p>
      <w:pPr>
        <w:widowControl/>
        <w:autoSpaceDE/>
        <w:autoSpaceDN/>
        <w:spacing w:line="398" w:lineRule="exact"/>
        <w:jc w:val="center"/>
        <w:rPr>
          <w:rFonts w:hint="eastAsia" w:ascii="黑体" w:hAnsi="黑体" w:eastAsia="黑体" w:cs="黑体"/>
          <w:b/>
          <w:color w:val="000000"/>
          <w:sz w:val="30"/>
          <w:szCs w:val="30"/>
          <w:lang w:val="en-US" w:bidi="ar-SA"/>
        </w:rPr>
      </w:pPr>
      <w:r>
        <w:rPr>
          <w:rFonts w:hint="eastAsia" w:ascii="黑体" w:hAnsi="黑体" w:eastAsia="黑体" w:cs="黑体"/>
          <w:b/>
          <w:color w:val="000000"/>
          <w:sz w:val="30"/>
          <w:szCs w:val="30"/>
          <w:lang w:val="en-US" w:bidi="ar-SA"/>
        </w:rPr>
        <w:t>“新版《建设工程工程量清单计价标准(征)》全面解读与建设项目造价精细化管理、EPC工程投资控制及全过程工程咨询操作实务高级培训班”报名回执表</w:t>
      </w:r>
    </w:p>
    <w:tbl>
      <w:tblPr>
        <w:tblStyle w:val="8"/>
        <w:tblpPr w:leftFromText="180" w:rightFromText="180" w:vertAnchor="text" w:horzAnchor="margin" w:tblpXSpec="center" w:tblpY="70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52"/>
        <w:gridCol w:w="824"/>
        <w:gridCol w:w="907"/>
        <w:gridCol w:w="1125"/>
        <w:gridCol w:w="1290"/>
        <w:gridCol w:w="738"/>
        <w:gridCol w:w="627"/>
        <w:gridCol w:w="206"/>
        <w:gridCol w:w="428"/>
        <w:gridCol w:w="168"/>
        <w:gridCol w:w="188"/>
        <w:gridCol w:w="622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单位名称</w:t>
            </w:r>
          </w:p>
        </w:tc>
        <w:tc>
          <w:tcPr>
            <w:tcW w:w="5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邮  编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通讯地址</w:t>
            </w:r>
          </w:p>
        </w:tc>
        <w:tc>
          <w:tcPr>
            <w:tcW w:w="76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审批人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职 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电  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手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hint="eastAsia"/>
                <w:sz w:val="28"/>
                <w:szCs w:val="28"/>
                <w:lang w:bidi="ar-SA"/>
              </w:rPr>
              <w:t>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职 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电  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手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hint="eastAsia"/>
                <w:sz w:val="28"/>
                <w:szCs w:val="28"/>
                <w:lang w:bidi="ar-SA"/>
              </w:rPr>
              <w:t>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参会人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性 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部  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职  务</w:t>
            </w: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手 机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住宿安排</w:t>
            </w:r>
          </w:p>
        </w:tc>
        <w:tc>
          <w:tcPr>
            <w:tcW w:w="4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□单住  □合住  □自行</w:t>
            </w:r>
          </w:p>
        </w:tc>
        <w:tc>
          <w:tcPr>
            <w:tcW w:w="2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参会地点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发票类型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 xml:space="preserve">    □增值税专用发票            □增值税普票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发票信息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exact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开票单位：</w:t>
            </w:r>
          </w:p>
          <w:p>
            <w:pPr>
              <w:widowControl/>
              <w:autoSpaceDE/>
              <w:autoSpaceDN/>
              <w:spacing w:line="360" w:lineRule="exact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纳税人识别号：</w:t>
            </w:r>
          </w:p>
          <w:p>
            <w:pPr>
              <w:widowControl/>
              <w:autoSpaceDE/>
              <w:autoSpaceDN/>
              <w:spacing w:line="360" w:lineRule="exact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地址及电话：</w:t>
            </w:r>
          </w:p>
          <w:p>
            <w:pPr>
              <w:widowControl/>
              <w:autoSpaceDE/>
              <w:autoSpaceDN/>
              <w:spacing w:line="360" w:lineRule="exact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您关注或亟待解决的问题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课程选项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/>
                <w:sz w:val="28"/>
                <w:szCs w:val="28"/>
                <w:lang w:val="en-GB" w:bidi="ar-SA"/>
              </w:rPr>
            </w:pPr>
            <w:r>
              <w:rPr>
                <w:rFonts w:hint="eastAsia"/>
                <w:sz w:val="26"/>
                <w:szCs w:val="26"/>
                <w:lang w:val="en-US"/>
              </w:rPr>
              <w:t>A</w:t>
            </w:r>
            <w:r>
              <w:rPr>
                <w:rFonts w:hint="eastAsia"/>
                <w:sz w:val="26"/>
                <w:szCs w:val="26"/>
                <w:lang w:val="en-GB"/>
              </w:rPr>
              <w:t>□</w:t>
            </w:r>
            <w:r>
              <w:rPr>
                <w:rFonts w:hint="eastAsia"/>
                <w:sz w:val="26"/>
                <w:szCs w:val="26"/>
                <w:lang w:val="en-US"/>
              </w:rPr>
              <w:t>1980元/人    B</w:t>
            </w:r>
            <w:r>
              <w:rPr>
                <w:rFonts w:hint="eastAsia"/>
                <w:sz w:val="26"/>
                <w:szCs w:val="26"/>
                <w:lang w:val="en-GB"/>
              </w:rPr>
              <w:t>□</w:t>
            </w:r>
            <w:r>
              <w:rPr>
                <w:rFonts w:hint="eastAsia"/>
                <w:sz w:val="26"/>
                <w:szCs w:val="26"/>
                <w:lang w:val="en-US"/>
              </w:rPr>
              <w:t>3600元/人    C</w:t>
            </w:r>
            <w:r>
              <w:rPr>
                <w:rFonts w:hint="eastAsia"/>
                <w:sz w:val="26"/>
                <w:szCs w:val="26"/>
                <w:lang w:val="en-GB"/>
              </w:rPr>
              <w:t>□</w:t>
            </w:r>
            <w:r>
              <w:rPr>
                <w:rFonts w:hint="eastAsia"/>
                <w:sz w:val="26"/>
                <w:szCs w:val="26"/>
                <w:lang w:val="en-US"/>
              </w:rPr>
              <w:t xml:space="preserve">5600元/人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付款方式</w:t>
            </w: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bidi="ar-SA"/>
              </w:rPr>
            </w:pPr>
            <w:r>
              <w:rPr>
                <w:rFonts w:hint="eastAsia"/>
                <w:sz w:val="28"/>
                <w:szCs w:val="28"/>
                <w:lang w:val="en-GB" w:bidi="ar-SA"/>
              </w:rPr>
              <w:t xml:space="preserve">□汇款  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GB" w:bidi="ar-SA"/>
              </w:rPr>
              <w:t xml:space="preserve"> □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>支付宝</w:t>
            </w:r>
            <w:r>
              <w:rPr>
                <w:rFonts w:hint="eastAsia"/>
                <w:sz w:val="28"/>
                <w:szCs w:val="28"/>
                <w:lang w:val="en-GB" w:bidi="ar-SA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GB" w:bidi="ar-SA"/>
              </w:rPr>
              <w:t xml:space="preserve">  □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 xml:space="preserve">微信 </w:t>
            </w:r>
          </w:p>
        </w:tc>
        <w:tc>
          <w:tcPr>
            <w:tcW w:w="1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GB" w:bidi="ar-SA"/>
              </w:rPr>
            </w:pPr>
            <w:r>
              <w:rPr>
                <w:rFonts w:hint="eastAsia"/>
                <w:sz w:val="28"/>
                <w:szCs w:val="28"/>
                <w:lang w:val="en-GB" w:bidi="ar-SA"/>
              </w:rPr>
              <w:t>金额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GB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收款</w:t>
            </w:r>
            <w:r>
              <w:rPr>
                <w:rFonts w:hint="eastAsia"/>
                <w:sz w:val="28"/>
                <w:szCs w:val="28"/>
                <w:lang w:bidi="ar-SA"/>
              </w:rPr>
              <w:t>账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>户</w:t>
            </w:r>
          </w:p>
        </w:tc>
        <w:tc>
          <w:tcPr>
            <w:tcW w:w="84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rPr>
                <w:rFonts w:hint="eastAsia"/>
                <w:sz w:val="28"/>
                <w:szCs w:val="28"/>
                <w:lang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户  名：北京众合企信教育咨询有限公司</w:t>
            </w:r>
          </w:p>
          <w:p>
            <w:pPr>
              <w:widowControl/>
              <w:autoSpaceDE/>
              <w:autoSpaceDN/>
              <w:spacing w:line="360" w:lineRule="exact"/>
              <w:rPr>
                <w:rFonts w:hint="eastAsia"/>
                <w:sz w:val="28"/>
                <w:szCs w:val="28"/>
                <w:lang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开户行：中国银行北京德胜支行</w:t>
            </w:r>
          </w:p>
          <w:p>
            <w:pPr>
              <w:widowControl/>
              <w:autoSpaceDE/>
              <w:autoSpaceDN/>
              <w:spacing w:line="360" w:lineRule="exact"/>
              <w:rPr>
                <w:rFonts w:hint="eastAsia"/>
                <w:sz w:val="28"/>
                <w:szCs w:val="28"/>
                <w:lang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账  号：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>3350</w:t>
            </w:r>
            <w:r>
              <w:rPr>
                <w:rFonts w:hint="eastAsia"/>
                <w:sz w:val="28"/>
                <w:szCs w:val="28"/>
                <w:lang w:bidi="ar-SA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>7140</w:t>
            </w:r>
            <w:r>
              <w:rPr>
                <w:rFonts w:hint="eastAsia"/>
                <w:sz w:val="28"/>
                <w:szCs w:val="28"/>
                <w:lang w:bidi="ar-SA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>6387</w:t>
            </w:r>
            <w:r>
              <w:rPr>
                <w:rFonts w:hint="eastAsia"/>
                <w:sz w:val="28"/>
                <w:szCs w:val="28"/>
                <w:lang w:bidi="ar-SA"/>
              </w:rPr>
              <w:t>（行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hint="eastAsia"/>
                <w:sz w:val="28"/>
                <w:szCs w:val="28"/>
                <w:lang w:bidi="ar-SA"/>
              </w:rPr>
              <w:t>号：1041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hint="eastAsia"/>
                <w:sz w:val="28"/>
                <w:szCs w:val="28"/>
                <w:lang w:bidi="ar-SA"/>
              </w:rPr>
              <w:t>0000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 xml:space="preserve"> </w:t>
            </w:r>
            <w:r>
              <w:rPr>
                <w:rFonts w:hint="eastAsia"/>
                <w:sz w:val="28"/>
                <w:szCs w:val="28"/>
                <w:lang w:bidi="ar-SA"/>
              </w:rPr>
              <w:t>6677）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val="en-US" w:bidi="ar-SA"/>
              </w:rPr>
            </w:pPr>
          </w:p>
          <w:p>
            <w:pPr>
              <w:widowControl/>
              <w:autoSpaceDE/>
              <w:autoSpaceDN/>
              <w:spacing w:line="360" w:lineRule="exact"/>
              <w:ind w:firstLine="560" w:firstLineChars="200"/>
              <w:jc w:val="both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备注</w:t>
            </w:r>
          </w:p>
        </w:tc>
        <w:tc>
          <w:tcPr>
            <w:tcW w:w="5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rPr>
                <w:rFonts w:hint="eastAsia"/>
                <w:sz w:val="28"/>
                <w:szCs w:val="28"/>
                <w:lang w:val="en-US"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请将《报名回执表》回传至会务组，并在报名</w:t>
            </w:r>
            <w:r>
              <w:rPr>
                <w:rFonts w:hint="eastAsia"/>
                <w:sz w:val="28"/>
                <w:szCs w:val="28"/>
                <w:lang w:val="en-US" w:bidi="ar-SA"/>
              </w:rPr>
              <w:t>3日内办理培训费用，会务组确认到款后即发</w:t>
            </w:r>
            <w:r>
              <w:rPr>
                <w:rFonts w:hint="eastAsia"/>
                <w:sz w:val="28"/>
                <w:szCs w:val="28"/>
                <w:lang w:bidi="ar-SA"/>
              </w:rPr>
              <w:t>《参会凭证》，详细说明培训班具体安排事项。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bidi="ar-SA"/>
              </w:rPr>
            </w:pPr>
          </w:p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bidi="ar-SA"/>
              </w:rPr>
            </w:pPr>
            <w:r>
              <w:rPr>
                <w:rFonts w:hint="eastAsia"/>
                <w:sz w:val="28"/>
                <w:szCs w:val="28"/>
                <w:lang w:bidi="ar-SA"/>
              </w:rPr>
              <w:t>单位印章</w:t>
            </w:r>
          </w:p>
          <w:p>
            <w:pPr>
              <w:widowControl/>
              <w:autoSpaceDE/>
              <w:autoSpaceDN/>
              <w:spacing w:line="360" w:lineRule="exact"/>
              <w:jc w:val="center"/>
              <w:rPr>
                <w:rFonts w:hint="eastAsia"/>
                <w:sz w:val="28"/>
                <w:szCs w:val="28"/>
                <w:lang w:bidi="ar-SA"/>
              </w:rPr>
            </w:pPr>
            <w:r>
              <w:rPr>
                <w:rFonts w:hint="eastAsia"/>
                <w:sz w:val="28"/>
                <w:szCs w:val="28"/>
                <w:lang w:val="en-US" w:bidi="ar-SA"/>
              </w:rPr>
              <w:t>2022</w:t>
            </w:r>
            <w:r>
              <w:rPr>
                <w:rFonts w:hint="eastAsia"/>
                <w:sz w:val="28"/>
                <w:szCs w:val="28"/>
                <w:lang w:bidi="ar-SA"/>
              </w:rPr>
              <w:t>年  月  日</w:t>
            </w:r>
          </w:p>
        </w:tc>
      </w:tr>
    </w:tbl>
    <w:p>
      <w:pPr>
        <w:autoSpaceDE/>
        <w:autoSpaceDN/>
        <w:spacing w:line="360" w:lineRule="exact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注：1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/>
        </w:rPr>
        <w:t>.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本次培训内容及建筑口相关管理培训均可赴企业提供内训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/>
        </w:rPr>
        <w:t>;</w:t>
      </w:r>
    </w:p>
    <w:p>
      <w:pPr>
        <w:autoSpaceDE/>
        <w:autoSpaceDN/>
        <w:spacing w:line="360" w:lineRule="exact"/>
        <w:ind w:firstLine="562" w:firstLineChars="200"/>
        <w:rPr>
          <w:rFonts w:hint="eastAsia"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/>
        </w:rPr>
        <w:t>2.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欢迎与会代表携带相关资料和案例赴会与专家进行交流。</w:t>
      </w:r>
    </w:p>
    <w:p>
      <w:pPr>
        <w:autoSpaceDE/>
        <w:autoSpaceDN/>
        <w:spacing w:line="360" w:lineRule="exact"/>
        <w:ind w:firstLine="843" w:firstLineChars="300"/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/>
        </w:rPr>
      </w:pPr>
    </w:p>
    <w:p>
      <w:pPr>
        <w:autoSpaceDE/>
        <w:autoSpaceDN/>
        <w:spacing w:line="360" w:lineRule="exact"/>
        <w:ind w:firstLine="840" w:firstLineChars="300"/>
        <w:rPr>
          <w:rFonts w:hint="eastAsia" w:cs="宋体"/>
          <w:color w:val="000000"/>
          <w:sz w:val="28"/>
          <w:szCs w:val="28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10" w:h="16840"/>
      <w:pgMar w:top="1134" w:right="1361" w:bottom="1134" w:left="1361" w:header="0" w:footer="13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3756660</wp:posOffset>
              </wp:positionH>
              <wp:positionV relativeFrom="page">
                <wp:posOffset>9677400</wp:posOffset>
              </wp:positionV>
              <wp:extent cx="118110" cy="177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4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w w:val="88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w w:val="88"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5.8pt;margin-top:762pt;height:14pt;width:9.3pt;mso-position-horizontal-relative:page;mso-position-vertical-relative:page;z-index:-251656192;mso-width-relative:page;mso-height-relative:page;" filled="f" stroked="f" coordsize="21600,21600" o:gfxdata="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m1XQg2gAAAA0BAAAPAAAAAAAAAAEAIAAAACIAAABkcnMvZG93&#10;bnJldi54bWxQSwECFAAUAAAACACHTuJAXtYWcMUBAACI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40"/>
                      <w:rPr>
                        <w:rFonts w:ascii="宋体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w w:val="88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w w:val="88"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36D01"/>
    <w:multiLevelType w:val="multilevel"/>
    <w:tmpl w:val="05036D01"/>
    <w:lvl w:ilvl="0" w:tentative="0">
      <w:start w:val="1"/>
      <w:numFmt w:val="decimal"/>
      <w:lvlText w:val="%1."/>
      <w:lvlJc w:val="left"/>
      <w:pPr>
        <w:ind w:left="1412" w:hanging="85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A0D1460"/>
    <w:multiLevelType w:val="multilevel"/>
    <w:tmpl w:val="1A0D1460"/>
    <w:lvl w:ilvl="0" w:tentative="0">
      <w:start w:val="1"/>
      <w:numFmt w:val="decimal"/>
      <w:lvlText w:val="%1."/>
      <w:lvlJc w:val="left"/>
      <w:pPr>
        <w:ind w:left="848" w:hanging="28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5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TkyNmY5MDNmOGI5NWNlNjI3NTYyYjM0YzdlNTUifQ=="/>
  </w:docVars>
  <w:rsids>
    <w:rsidRoot w:val="00087BD4"/>
    <w:rsid w:val="00031E98"/>
    <w:rsid w:val="00087BD4"/>
    <w:rsid w:val="00125089"/>
    <w:rsid w:val="00172EA1"/>
    <w:rsid w:val="001738C7"/>
    <w:rsid w:val="001C4652"/>
    <w:rsid w:val="001D7B62"/>
    <w:rsid w:val="00255087"/>
    <w:rsid w:val="0027026B"/>
    <w:rsid w:val="002E5BDD"/>
    <w:rsid w:val="00335B8F"/>
    <w:rsid w:val="00347F34"/>
    <w:rsid w:val="00373AE0"/>
    <w:rsid w:val="003C03D5"/>
    <w:rsid w:val="0041118B"/>
    <w:rsid w:val="0046583A"/>
    <w:rsid w:val="005348F2"/>
    <w:rsid w:val="005412AA"/>
    <w:rsid w:val="00561F94"/>
    <w:rsid w:val="00565647"/>
    <w:rsid w:val="005672A3"/>
    <w:rsid w:val="005C0303"/>
    <w:rsid w:val="006A4CCB"/>
    <w:rsid w:val="0071782E"/>
    <w:rsid w:val="00750D28"/>
    <w:rsid w:val="00780D8C"/>
    <w:rsid w:val="00854E12"/>
    <w:rsid w:val="00934AED"/>
    <w:rsid w:val="009C521B"/>
    <w:rsid w:val="00A7178D"/>
    <w:rsid w:val="00AD707A"/>
    <w:rsid w:val="00B065C5"/>
    <w:rsid w:val="00C26F2C"/>
    <w:rsid w:val="00C85621"/>
    <w:rsid w:val="00C948AB"/>
    <w:rsid w:val="00D36CF9"/>
    <w:rsid w:val="00D572B5"/>
    <w:rsid w:val="00D6474C"/>
    <w:rsid w:val="00DA445E"/>
    <w:rsid w:val="00DD4974"/>
    <w:rsid w:val="00E91356"/>
    <w:rsid w:val="00ED21BD"/>
    <w:rsid w:val="00F32653"/>
    <w:rsid w:val="014D1722"/>
    <w:rsid w:val="02912F4D"/>
    <w:rsid w:val="02F23DE5"/>
    <w:rsid w:val="03CC7A61"/>
    <w:rsid w:val="03F70E4B"/>
    <w:rsid w:val="042C16A9"/>
    <w:rsid w:val="04757CAD"/>
    <w:rsid w:val="04C63970"/>
    <w:rsid w:val="05923F16"/>
    <w:rsid w:val="05B45EFD"/>
    <w:rsid w:val="07747D17"/>
    <w:rsid w:val="07B60FF0"/>
    <w:rsid w:val="07CB42C8"/>
    <w:rsid w:val="099D073D"/>
    <w:rsid w:val="0A5852AA"/>
    <w:rsid w:val="0AA20179"/>
    <w:rsid w:val="0AF401DD"/>
    <w:rsid w:val="0BFE7545"/>
    <w:rsid w:val="0C6D305D"/>
    <w:rsid w:val="0FA07D58"/>
    <w:rsid w:val="10254D41"/>
    <w:rsid w:val="10CB1F28"/>
    <w:rsid w:val="10FC337F"/>
    <w:rsid w:val="117473FC"/>
    <w:rsid w:val="118779A9"/>
    <w:rsid w:val="122E0515"/>
    <w:rsid w:val="129B5FF0"/>
    <w:rsid w:val="12D55BB7"/>
    <w:rsid w:val="12DB6CA8"/>
    <w:rsid w:val="12F00B6A"/>
    <w:rsid w:val="13C86F8D"/>
    <w:rsid w:val="1470224B"/>
    <w:rsid w:val="14C4307E"/>
    <w:rsid w:val="15E61962"/>
    <w:rsid w:val="16CC48F4"/>
    <w:rsid w:val="174443D1"/>
    <w:rsid w:val="17447CA7"/>
    <w:rsid w:val="17D22836"/>
    <w:rsid w:val="1A252904"/>
    <w:rsid w:val="1B1E4CA9"/>
    <w:rsid w:val="1BD03F93"/>
    <w:rsid w:val="1BEE5788"/>
    <w:rsid w:val="1D816024"/>
    <w:rsid w:val="1E6942BA"/>
    <w:rsid w:val="1EA17430"/>
    <w:rsid w:val="1EB20615"/>
    <w:rsid w:val="1EC50D51"/>
    <w:rsid w:val="1F832606"/>
    <w:rsid w:val="1FA84838"/>
    <w:rsid w:val="203B7DF7"/>
    <w:rsid w:val="21DE36DD"/>
    <w:rsid w:val="235344A4"/>
    <w:rsid w:val="238C60BC"/>
    <w:rsid w:val="23B90512"/>
    <w:rsid w:val="243B2E88"/>
    <w:rsid w:val="24596ABB"/>
    <w:rsid w:val="24742E13"/>
    <w:rsid w:val="249C74AA"/>
    <w:rsid w:val="249D7BE9"/>
    <w:rsid w:val="24DD0360"/>
    <w:rsid w:val="25D92E34"/>
    <w:rsid w:val="270B4DAD"/>
    <w:rsid w:val="27292014"/>
    <w:rsid w:val="27E61504"/>
    <w:rsid w:val="28032349"/>
    <w:rsid w:val="285D4888"/>
    <w:rsid w:val="28D46CE2"/>
    <w:rsid w:val="2A152163"/>
    <w:rsid w:val="2A914D4D"/>
    <w:rsid w:val="2AC24FE1"/>
    <w:rsid w:val="2ADD1E2A"/>
    <w:rsid w:val="2AF4361C"/>
    <w:rsid w:val="2B737C06"/>
    <w:rsid w:val="2C170BA8"/>
    <w:rsid w:val="2DAA4993"/>
    <w:rsid w:val="2E9729B6"/>
    <w:rsid w:val="315530FB"/>
    <w:rsid w:val="31743B05"/>
    <w:rsid w:val="318201A5"/>
    <w:rsid w:val="31B30AE8"/>
    <w:rsid w:val="32C8461D"/>
    <w:rsid w:val="32EE35B4"/>
    <w:rsid w:val="334B3724"/>
    <w:rsid w:val="35B86694"/>
    <w:rsid w:val="360C7F92"/>
    <w:rsid w:val="372F58B3"/>
    <w:rsid w:val="37682A97"/>
    <w:rsid w:val="37A41BB5"/>
    <w:rsid w:val="388C275F"/>
    <w:rsid w:val="3BCF1DE9"/>
    <w:rsid w:val="3CB47236"/>
    <w:rsid w:val="3E3B23FA"/>
    <w:rsid w:val="3E482403"/>
    <w:rsid w:val="3E6D11F6"/>
    <w:rsid w:val="3E906AF0"/>
    <w:rsid w:val="41900997"/>
    <w:rsid w:val="41FD3994"/>
    <w:rsid w:val="42C270FA"/>
    <w:rsid w:val="433E445E"/>
    <w:rsid w:val="434A7F5E"/>
    <w:rsid w:val="434F6D3B"/>
    <w:rsid w:val="43A16514"/>
    <w:rsid w:val="43C57AE0"/>
    <w:rsid w:val="447C690C"/>
    <w:rsid w:val="44CF2537"/>
    <w:rsid w:val="45DB7136"/>
    <w:rsid w:val="466747E0"/>
    <w:rsid w:val="47893BFA"/>
    <w:rsid w:val="48155CE3"/>
    <w:rsid w:val="48D476C2"/>
    <w:rsid w:val="48F44852"/>
    <w:rsid w:val="49F04D43"/>
    <w:rsid w:val="4A9E69AB"/>
    <w:rsid w:val="4BD529A2"/>
    <w:rsid w:val="4CBA5884"/>
    <w:rsid w:val="4D52601E"/>
    <w:rsid w:val="4EF11907"/>
    <w:rsid w:val="4EFA2C8E"/>
    <w:rsid w:val="4F377B14"/>
    <w:rsid w:val="4F41676B"/>
    <w:rsid w:val="4F77380E"/>
    <w:rsid w:val="4F8E5C62"/>
    <w:rsid w:val="50574BE6"/>
    <w:rsid w:val="50E836F5"/>
    <w:rsid w:val="51922A0C"/>
    <w:rsid w:val="53EE1E1A"/>
    <w:rsid w:val="54BA320C"/>
    <w:rsid w:val="5538396F"/>
    <w:rsid w:val="55477D22"/>
    <w:rsid w:val="58500CD7"/>
    <w:rsid w:val="588548F7"/>
    <w:rsid w:val="5A6D1A93"/>
    <w:rsid w:val="5BE606A5"/>
    <w:rsid w:val="5D112212"/>
    <w:rsid w:val="5E844392"/>
    <w:rsid w:val="5F047EE6"/>
    <w:rsid w:val="5F743A08"/>
    <w:rsid w:val="60B56232"/>
    <w:rsid w:val="60D8693C"/>
    <w:rsid w:val="61482026"/>
    <w:rsid w:val="61B52794"/>
    <w:rsid w:val="61B76EDA"/>
    <w:rsid w:val="6240367D"/>
    <w:rsid w:val="62C85CAC"/>
    <w:rsid w:val="62DA6F66"/>
    <w:rsid w:val="64A63BD1"/>
    <w:rsid w:val="651D6850"/>
    <w:rsid w:val="65E4327B"/>
    <w:rsid w:val="66D12436"/>
    <w:rsid w:val="66EB37AA"/>
    <w:rsid w:val="66EE5A92"/>
    <w:rsid w:val="67D5119F"/>
    <w:rsid w:val="68EA68F6"/>
    <w:rsid w:val="69B44531"/>
    <w:rsid w:val="6A1B37F0"/>
    <w:rsid w:val="6A2E11DB"/>
    <w:rsid w:val="6A755B4F"/>
    <w:rsid w:val="6B4C47C0"/>
    <w:rsid w:val="6B832B39"/>
    <w:rsid w:val="6C15688B"/>
    <w:rsid w:val="6C22648F"/>
    <w:rsid w:val="6C295F2F"/>
    <w:rsid w:val="6E5F59A2"/>
    <w:rsid w:val="6E6A3E47"/>
    <w:rsid w:val="7091744D"/>
    <w:rsid w:val="70DD0494"/>
    <w:rsid w:val="725C2A03"/>
    <w:rsid w:val="72613D4A"/>
    <w:rsid w:val="7392390E"/>
    <w:rsid w:val="746732B1"/>
    <w:rsid w:val="756E4438"/>
    <w:rsid w:val="771703C1"/>
    <w:rsid w:val="78141678"/>
    <w:rsid w:val="78502DF5"/>
    <w:rsid w:val="79435ABD"/>
    <w:rsid w:val="7948203A"/>
    <w:rsid w:val="79787BCE"/>
    <w:rsid w:val="7AC621C3"/>
    <w:rsid w:val="7B4A2CBA"/>
    <w:rsid w:val="7B651EAF"/>
    <w:rsid w:val="7BF16B16"/>
    <w:rsid w:val="7C7B6ED6"/>
    <w:rsid w:val="7CB71F73"/>
    <w:rsid w:val="7D045860"/>
    <w:rsid w:val="7E2D1B86"/>
    <w:rsid w:val="7E4719B2"/>
    <w:rsid w:val="7FD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hAnsi="Times New Roman" w:cs="Times New Roman"/>
      <w:kern w:val="2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 w:eastAsia="宋体"/>
      <w:kern w:val="2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页眉 Char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Body text|1"/>
    <w:basedOn w:val="1"/>
    <w:qFormat/>
    <w:uiPriority w:val="0"/>
    <w:pPr>
      <w:spacing w:line="286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6">
    <w:name w:val="Char Char Char Char Char Char Char"/>
    <w:basedOn w:val="1"/>
    <w:qFormat/>
    <w:uiPriority w:val="0"/>
    <w:pPr>
      <w:widowControl/>
      <w:spacing w:after="160" w:line="240" w:lineRule="exact"/>
    </w:p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3733</Words>
  <Characters>4030</Characters>
  <Lines>33</Lines>
  <Paragraphs>9</Paragraphs>
  <TotalTime>1</TotalTime>
  <ScaleCrop>false</ScaleCrop>
  <LinksUpToDate>false</LinksUpToDate>
  <CharactersWithSpaces>4167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2022-06-20T08:48:00Z</dcterms:created>
  <dc:creator>Administrator</dc:creator>
  <cp:lastModifiedBy>冰冰⊙▽⊙＊</cp:lastModifiedBy>
  <cp:lastPrinted>2021-01-29T04:54:00Z</cp:lastPrinted>
  <dcterms:modified xsi:type="dcterms:W3CDTF">2022-06-27T06:00:52Z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BDBAA1F278134EE693070E2B95A6F380</vt:lpwstr>
  </property>
</Properties>
</file>