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default" w:ascii="Times New Roman" w:hAnsi="Times New Roman" w:eastAsia="仿宋_GB2312"/>
          <w:spacing w:val="8"/>
          <w:sz w:val="30"/>
          <w:szCs w:val="30"/>
        </w:rPr>
      </w:pPr>
      <w:r>
        <w:rPr>
          <w:rFonts w:hint="default" w:ascii="Times New Roman" w:hAnsi="Times New Roman" w:eastAsia="仿宋_GB2312"/>
          <w:spacing w:val="8"/>
          <w:sz w:val="30"/>
          <w:szCs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-1043940</wp:posOffset>
            </wp:positionH>
            <wp:positionV relativeFrom="paragraph">
              <wp:posOffset>-914400</wp:posOffset>
            </wp:positionV>
            <wp:extent cx="7595870" cy="10753090"/>
            <wp:effectExtent l="0" t="0" r="24130" b="0"/>
            <wp:wrapThrough wrapText="bothSides">
              <wp:wrapPolygon>
                <wp:start x="0" y="0"/>
                <wp:lineTo x="0" y="21531"/>
                <wp:lineTo x="21524" y="21531"/>
                <wp:lineTo x="21524" y="0"/>
                <wp:lineTo x="0" y="0"/>
              </wp:wrapPolygon>
            </wp:wrapThrough>
            <wp:docPr id="1" name="图片 1" descr="附件4.国企改革三年行动 攻坚国企改革重点难点热点专题班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4.国企改革三年行动 攻坚国企改革重点难点热点专题班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95870" cy="10753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/>
          <w:b/>
          <w:bCs/>
          <w:color w:val="FF0000"/>
          <w:sz w:val="28"/>
          <w:szCs w:val="28"/>
        </w:rPr>
      </w:pPr>
      <w:r>
        <w:rPr>
          <w:rFonts w:hint="default"/>
          <w:b/>
          <w:bCs/>
          <w:color w:val="FF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-1040765</wp:posOffset>
            </wp:positionH>
            <wp:positionV relativeFrom="paragraph">
              <wp:posOffset>-955675</wp:posOffset>
            </wp:positionV>
            <wp:extent cx="7646035" cy="10777855"/>
            <wp:effectExtent l="0" t="0" r="24765" b="17145"/>
            <wp:wrapNone/>
            <wp:docPr id="2" name="图片 2" descr="附件4.国企改革三年行动 攻坚国企改革重点难点热点专题班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附件4.国企改革三年行动 攻坚国企改革重点难点热点专题班_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46035" cy="1077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ind w:firstLine="562"/>
        <w:rPr>
          <w:rFonts w:hint="default"/>
          <w:b/>
          <w:bCs/>
          <w:color w:val="FF0000"/>
          <w:sz w:val="28"/>
          <w:szCs w:val="28"/>
        </w:rPr>
      </w:pPr>
    </w:p>
    <w:p>
      <w:pPr>
        <w:pStyle w:val="2"/>
        <w:ind w:firstLine="562"/>
        <w:rPr>
          <w:rFonts w:hint="default"/>
          <w:b/>
          <w:bCs/>
          <w:color w:val="FF0000"/>
          <w:sz w:val="28"/>
          <w:szCs w:val="28"/>
        </w:rPr>
      </w:pPr>
    </w:p>
    <w:p>
      <w:pPr>
        <w:pStyle w:val="2"/>
        <w:ind w:firstLine="562"/>
        <w:rPr>
          <w:rFonts w:hint="default"/>
          <w:b/>
          <w:bCs/>
          <w:color w:val="FF0000"/>
          <w:sz w:val="28"/>
          <w:szCs w:val="28"/>
        </w:rPr>
      </w:pPr>
    </w:p>
    <w:p>
      <w:pPr>
        <w:pStyle w:val="2"/>
        <w:ind w:firstLine="562"/>
        <w:rPr>
          <w:rFonts w:hint="default"/>
          <w:b/>
          <w:bCs/>
          <w:color w:val="FF0000"/>
          <w:sz w:val="28"/>
          <w:szCs w:val="28"/>
        </w:rPr>
      </w:pPr>
    </w:p>
    <w:p>
      <w:pPr>
        <w:pStyle w:val="2"/>
        <w:ind w:firstLine="562"/>
        <w:rPr>
          <w:rFonts w:hint="default"/>
          <w:b/>
          <w:bCs/>
          <w:color w:val="FF0000"/>
          <w:sz w:val="28"/>
          <w:szCs w:val="28"/>
        </w:rPr>
      </w:pPr>
    </w:p>
    <w:p>
      <w:pPr>
        <w:pStyle w:val="2"/>
        <w:ind w:firstLine="562"/>
        <w:rPr>
          <w:rFonts w:hint="default"/>
          <w:b/>
          <w:bCs/>
          <w:color w:val="FF0000"/>
          <w:sz w:val="28"/>
          <w:szCs w:val="28"/>
        </w:rPr>
      </w:pPr>
    </w:p>
    <w:p>
      <w:pPr>
        <w:pStyle w:val="2"/>
        <w:ind w:firstLine="562"/>
        <w:rPr>
          <w:rFonts w:hint="default"/>
          <w:b/>
          <w:bCs/>
          <w:color w:val="FF0000"/>
          <w:sz w:val="28"/>
          <w:szCs w:val="28"/>
        </w:rPr>
      </w:pPr>
    </w:p>
    <w:p>
      <w:pPr>
        <w:pStyle w:val="2"/>
        <w:ind w:firstLine="562"/>
        <w:rPr>
          <w:rFonts w:hint="default"/>
          <w:b/>
          <w:bCs/>
          <w:color w:val="FF0000"/>
          <w:sz w:val="28"/>
          <w:szCs w:val="28"/>
        </w:rPr>
      </w:pPr>
    </w:p>
    <w:p>
      <w:pPr>
        <w:pStyle w:val="2"/>
        <w:ind w:firstLine="562"/>
        <w:rPr>
          <w:rFonts w:hint="default"/>
          <w:b/>
          <w:bCs/>
          <w:color w:val="FF0000"/>
          <w:sz w:val="28"/>
          <w:szCs w:val="28"/>
        </w:rPr>
      </w:pPr>
    </w:p>
    <w:p>
      <w:pPr>
        <w:pStyle w:val="2"/>
        <w:ind w:firstLine="562"/>
        <w:rPr>
          <w:rFonts w:hint="default"/>
          <w:b/>
          <w:bCs/>
          <w:color w:val="FF0000"/>
          <w:sz w:val="28"/>
          <w:szCs w:val="28"/>
        </w:rPr>
      </w:pPr>
    </w:p>
    <w:p>
      <w:pPr>
        <w:pStyle w:val="2"/>
        <w:ind w:firstLine="562"/>
        <w:rPr>
          <w:rFonts w:hint="default"/>
          <w:b/>
          <w:bCs/>
          <w:color w:val="FF0000"/>
          <w:sz w:val="28"/>
          <w:szCs w:val="28"/>
        </w:rPr>
      </w:pPr>
    </w:p>
    <w:p>
      <w:pPr>
        <w:autoSpaceDE/>
        <w:autoSpaceDN/>
        <w:snapToGrid w:val="0"/>
        <w:spacing w:line="600" w:lineRule="exact"/>
        <w:rPr>
          <w:rFonts w:hint="default" w:ascii="黑体" w:hAnsi="黑体" w:eastAsia="黑体" w:cs="黑体"/>
          <w:kern w:val="2"/>
          <w:sz w:val="30"/>
          <w:szCs w:val="30"/>
        </w:rPr>
      </w:pPr>
    </w:p>
    <w:p>
      <w:pPr>
        <w:autoSpaceDE/>
        <w:autoSpaceDN/>
        <w:snapToGrid w:val="0"/>
        <w:spacing w:line="600" w:lineRule="exact"/>
        <w:rPr>
          <w:rFonts w:hint="default" w:ascii="黑体" w:hAnsi="黑体" w:eastAsia="黑体" w:cs="黑体"/>
          <w:kern w:val="2"/>
          <w:sz w:val="30"/>
          <w:szCs w:val="30"/>
        </w:rPr>
      </w:pPr>
    </w:p>
    <w:p>
      <w:pPr>
        <w:autoSpaceDE/>
        <w:autoSpaceDN/>
        <w:snapToGrid w:val="0"/>
        <w:spacing w:line="600" w:lineRule="exact"/>
        <w:rPr>
          <w:rFonts w:hint="default" w:ascii="黑体" w:hAnsi="黑体" w:eastAsia="黑体" w:cs="黑体"/>
          <w:kern w:val="2"/>
          <w:sz w:val="30"/>
          <w:szCs w:val="30"/>
        </w:rPr>
      </w:pPr>
    </w:p>
    <w:p>
      <w:pPr>
        <w:autoSpaceDE/>
        <w:autoSpaceDN/>
        <w:snapToGrid w:val="0"/>
        <w:spacing w:line="600" w:lineRule="exact"/>
        <w:rPr>
          <w:rFonts w:cs="宋体"/>
          <w:b/>
          <w:bCs/>
          <w:kern w:val="2"/>
          <w:sz w:val="30"/>
          <w:szCs w:val="30"/>
        </w:rPr>
      </w:pPr>
    </w:p>
    <w:p>
      <w:pPr>
        <w:autoSpaceDE/>
        <w:autoSpaceDN/>
        <w:snapToGrid w:val="0"/>
        <w:spacing w:line="600" w:lineRule="exact"/>
        <w:rPr>
          <w:rFonts w:cs="宋体"/>
          <w:b/>
          <w:bCs/>
          <w:kern w:val="2"/>
          <w:sz w:val="30"/>
          <w:szCs w:val="30"/>
        </w:rPr>
      </w:pPr>
    </w:p>
    <w:p>
      <w:pPr>
        <w:autoSpaceDE/>
        <w:autoSpaceDN/>
        <w:snapToGrid w:val="0"/>
        <w:spacing w:line="600" w:lineRule="exact"/>
        <w:rPr>
          <w:rFonts w:cs="宋体"/>
          <w:b/>
          <w:bCs/>
          <w:kern w:val="2"/>
          <w:sz w:val="30"/>
          <w:szCs w:val="30"/>
        </w:rPr>
      </w:pPr>
    </w:p>
    <w:p>
      <w:pPr>
        <w:autoSpaceDE/>
        <w:autoSpaceDN/>
        <w:snapToGrid w:val="0"/>
        <w:spacing w:line="600" w:lineRule="exact"/>
        <w:rPr>
          <w:rFonts w:cs="宋体"/>
          <w:b/>
          <w:bCs/>
          <w:kern w:val="2"/>
          <w:sz w:val="30"/>
          <w:szCs w:val="30"/>
        </w:rPr>
      </w:pPr>
    </w:p>
    <w:p>
      <w:pPr>
        <w:autoSpaceDE/>
        <w:autoSpaceDN/>
        <w:snapToGrid w:val="0"/>
        <w:spacing w:line="600" w:lineRule="exact"/>
        <w:rPr>
          <w:rFonts w:cs="宋体"/>
          <w:b/>
          <w:bCs/>
          <w:kern w:val="2"/>
          <w:sz w:val="30"/>
          <w:szCs w:val="30"/>
        </w:rPr>
      </w:pPr>
    </w:p>
    <w:p>
      <w:pPr>
        <w:autoSpaceDE/>
        <w:autoSpaceDN/>
        <w:snapToGrid w:val="0"/>
        <w:spacing w:line="600" w:lineRule="exact"/>
        <w:rPr>
          <w:rFonts w:cs="宋体"/>
          <w:b/>
          <w:bCs/>
          <w:kern w:val="2"/>
          <w:sz w:val="30"/>
          <w:szCs w:val="30"/>
        </w:rPr>
      </w:pPr>
    </w:p>
    <w:p>
      <w:pPr>
        <w:autoSpaceDE/>
        <w:autoSpaceDN/>
        <w:snapToGrid w:val="0"/>
        <w:spacing w:line="600" w:lineRule="exact"/>
        <w:rPr>
          <w:rFonts w:cs="宋体"/>
          <w:b/>
          <w:bCs/>
          <w:kern w:val="2"/>
          <w:sz w:val="30"/>
          <w:szCs w:val="30"/>
        </w:rPr>
      </w:pPr>
    </w:p>
    <w:p>
      <w:pPr>
        <w:autoSpaceDE/>
        <w:autoSpaceDN/>
        <w:snapToGrid w:val="0"/>
        <w:spacing w:line="600" w:lineRule="exact"/>
        <w:rPr>
          <w:rFonts w:hint="default" w:cs="宋体"/>
          <w:b/>
          <w:bCs/>
        </w:rPr>
      </w:pPr>
      <w:r>
        <w:rPr>
          <w:rFonts w:cs="宋体"/>
          <w:b/>
          <w:bCs/>
          <w:kern w:val="2"/>
          <w:sz w:val="30"/>
          <w:szCs w:val="30"/>
        </w:rPr>
        <w:t>附件1</w:t>
      </w:r>
    </w:p>
    <w:p>
      <w:pPr>
        <w:autoSpaceDE/>
        <w:autoSpaceDN/>
        <w:snapToGrid w:val="0"/>
        <w:spacing w:line="600" w:lineRule="exact"/>
        <w:jc w:val="center"/>
        <w:rPr>
          <w:rFonts w:hint="default" w:cs="宋体"/>
          <w:b/>
          <w:kern w:val="2"/>
          <w:sz w:val="40"/>
          <w:szCs w:val="40"/>
        </w:rPr>
      </w:pPr>
      <w:r>
        <w:rPr>
          <w:rFonts w:cs="宋体"/>
          <w:b/>
          <w:kern w:val="2"/>
          <w:sz w:val="44"/>
          <w:szCs w:val="44"/>
        </w:rPr>
        <w:t>招生简章</w:t>
      </w:r>
    </w:p>
    <w:p>
      <w:pPr>
        <w:snapToGrid w:val="0"/>
        <w:spacing w:line="600" w:lineRule="exact"/>
        <w:rPr>
          <w:rFonts w:hint="default" w:ascii="仿宋" w:hAnsi="仿宋" w:eastAsia="仿宋" w:cs="仿宋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5"/>
        <w:textAlignment w:val="auto"/>
        <w:rPr>
          <w:rFonts w:hint="default" w:cs="宋体"/>
          <w:sz w:val="30"/>
          <w:szCs w:val="30"/>
        </w:rPr>
      </w:pPr>
      <w:r>
        <w:rPr>
          <w:rFonts w:cs="宋体"/>
          <w:sz w:val="30"/>
          <w:szCs w:val="30"/>
        </w:rPr>
        <w:t>一、组织机构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0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/>
          <w:spacing w:val="8"/>
          <w:sz w:val="30"/>
          <w:szCs w:val="30"/>
        </w:rPr>
      </w:pPr>
      <w:r>
        <w:rPr>
          <w:rFonts w:ascii="Times New Roman" w:hAnsi="Times New Roman" w:eastAsia="仿宋_GB2312"/>
          <w:spacing w:val="8"/>
          <w:sz w:val="30"/>
          <w:szCs w:val="30"/>
        </w:rPr>
        <w:t>主办单位：职业经理研究中心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0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/>
          <w:spacing w:val="8"/>
          <w:sz w:val="30"/>
          <w:szCs w:val="30"/>
        </w:rPr>
      </w:pPr>
      <w:r>
        <w:rPr>
          <w:rFonts w:ascii="Times New Roman" w:hAnsi="Times New Roman" w:eastAsia="仿宋_GB2312"/>
          <w:spacing w:val="8"/>
          <w:sz w:val="30"/>
          <w:szCs w:val="30"/>
        </w:rPr>
        <w:t>承办单位：北京中建科信管理咨询集团有限公司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5"/>
        <w:textAlignment w:val="auto"/>
        <w:rPr>
          <w:rFonts w:hint="default" w:cs="宋体"/>
          <w:sz w:val="30"/>
          <w:szCs w:val="30"/>
        </w:rPr>
      </w:pPr>
      <w:r>
        <w:rPr>
          <w:rFonts w:cs="宋体"/>
          <w:sz w:val="30"/>
          <w:szCs w:val="30"/>
        </w:rPr>
        <w:t>二、培训提纲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0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/>
          <w:spacing w:val="8"/>
          <w:sz w:val="30"/>
          <w:szCs w:val="30"/>
        </w:rPr>
      </w:pPr>
      <w:r>
        <w:rPr>
          <w:rFonts w:hint="default" w:ascii="Times New Roman" w:hAnsi="Times New Roman" w:eastAsia="仿宋_GB2312"/>
          <w:spacing w:val="8"/>
          <w:sz w:val="30"/>
          <w:szCs w:val="30"/>
        </w:rPr>
        <w:t>1.</w:t>
      </w:r>
      <w:r>
        <w:rPr>
          <w:rFonts w:ascii="Times New Roman" w:hAnsi="Times New Roman" w:eastAsia="仿宋_GB2312"/>
          <w:spacing w:val="8"/>
          <w:sz w:val="30"/>
          <w:szCs w:val="30"/>
        </w:rPr>
        <w:t xml:space="preserve"> 混合所有制改革政策解读与操作实务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0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/>
          <w:spacing w:val="8"/>
          <w:sz w:val="30"/>
          <w:szCs w:val="30"/>
        </w:rPr>
      </w:pPr>
      <w:r>
        <w:rPr>
          <w:rFonts w:ascii="Times New Roman" w:hAnsi="Times New Roman" w:eastAsia="仿宋_GB2312"/>
          <w:spacing w:val="8"/>
          <w:sz w:val="30"/>
          <w:szCs w:val="30"/>
        </w:rPr>
        <w:t>2</w:t>
      </w:r>
      <w:r>
        <w:rPr>
          <w:rFonts w:hint="default" w:ascii="Times New Roman" w:hAnsi="Times New Roman" w:eastAsia="仿宋_GB2312"/>
          <w:spacing w:val="8"/>
          <w:sz w:val="30"/>
          <w:szCs w:val="30"/>
        </w:rPr>
        <w:t>.</w:t>
      </w:r>
      <w:r>
        <w:rPr>
          <w:rFonts w:ascii="Times New Roman" w:hAnsi="Times New Roman" w:eastAsia="仿宋_GB2312"/>
          <w:spacing w:val="8"/>
          <w:sz w:val="30"/>
          <w:szCs w:val="30"/>
        </w:rPr>
        <w:t xml:space="preserve"> 国有企业人力资源管理的转型升级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0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/>
          <w:spacing w:val="8"/>
          <w:sz w:val="30"/>
          <w:szCs w:val="30"/>
        </w:rPr>
      </w:pPr>
      <w:r>
        <w:rPr>
          <w:rFonts w:ascii="Times New Roman" w:hAnsi="Times New Roman" w:eastAsia="仿宋_GB2312"/>
          <w:spacing w:val="8"/>
          <w:sz w:val="30"/>
          <w:szCs w:val="30"/>
        </w:rPr>
        <w:t>3</w:t>
      </w:r>
      <w:r>
        <w:rPr>
          <w:rFonts w:hint="default" w:ascii="Times New Roman" w:hAnsi="Times New Roman" w:eastAsia="仿宋_GB2312"/>
          <w:spacing w:val="8"/>
          <w:sz w:val="30"/>
          <w:szCs w:val="30"/>
        </w:rPr>
        <w:t>.</w:t>
      </w:r>
      <w:r>
        <w:rPr>
          <w:rFonts w:ascii="Times New Roman" w:hAnsi="Times New Roman" w:eastAsia="仿宋_GB2312"/>
          <w:spacing w:val="8"/>
          <w:sz w:val="30"/>
          <w:szCs w:val="30"/>
        </w:rPr>
        <w:t xml:space="preserve"> 国有企业薪酬与绩效管理实务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0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/>
          <w:spacing w:val="8"/>
          <w:sz w:val="30"/>
          <w:szCs w:val="30"/>
        </w:rPr>
      </w:pPr>
      <w:r>
        <w:rPr>
          <w:rFonts w:ascii="Times New Roman" w:hAnsi="Times New Roman" w:eastAsia="仿宋_GB2312"/>
          <w:spacing w:val="8"/>
          <w:sz w:val="30"/>
          <w:szCs w:val="30"/>
        </w:rPr>
        <w:t>4</w:t>
      </w:r>
      <w:r>
        <w:rPr>
          <w:rFonts w:hint="default" w:ascii="Times New Roman" w:hAnsi="Times New Roman" w:eastAsia="仿宋_GB2312"/>
          <w:spacing w:val="8"/>
          <w:sz w:val="30"/>
          <w:szCs w:val="30"/>
        </w:rPr>
        <w:t>.</w:t>
      </w:r>
      <w:r>
        <w:rPr>
          <w:rFonts w:ascii="Times New Roman" w:hAnsi="Times New Roman" w:eastAsia="仿宋_GB2312"/>
          <w:spacing w:val="8"/>
          <w:sz w:val="30"/>
          <w:szCs w:val="30"/>
        </w:rPr>
        <w:t xml:space="preserve"> 国有企业经理层成员任期制与契约化管理、职业经理人制度制定与实务操作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0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/>
          <w:spacing w:val="8"/>
          <w:sz w:val="30"/>
          <w:szCs w:val="30"/>
        </w:rPr>
      </w:pPr>
      <w:r>
        <w:rPr>
          <w:rFonts w:ascii="Times New Roman" w:hAnsi="Times New Roman" w:eastAsia="仿宋_GB2312"/>
          <w:spacing w:val="8"/>
          <w:sz w:val="30"/>
          <w:szCs w:val="30"/>
        </w:rPr>
        <w:t>5</w:t>
      </w:r>
      <w:r>
        <w:rPr>
          <w:rFonts w:hint="default" w:ascii="Times New Roman" w:hAnsi="Times New Roman" w:eastAsia="仿宋_GB2312"/>
          <w:spacing w:val="8"/>
          <w:sz w:val="30"/>
          <w:szCs w:val="30"/>
        </w:rPr>
        <w:t>.</w:t>
      </w:r>
      <w:r>
        <w:rPr>
          <w:rFonts w:ascii="Times New Roman" w:hAnsi="Times New Roman" w:eastAsia="仿宋_GB2312"/>
          <w:spacing w:val="8"/>
          <w:sz w:val="30"/>
          <w:szCs w:val="30"/>
        </w:rPr>
        <w:t xml:space="preserve"> 加强党的领导与国有企业法人治理体系的完善与升级</w:t>
      </w:r>
      <w:r>
        <w:rPr>
          <w:rFonts w:hint="default" w:ascii="Times New Roman" w:hAnsi="Times New Roman" w:eastAsia="仿宋_GB2312"/>
          <w:spacing w:val="8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0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/>
          <w:spacing w:val="8"/>
          <w:sz w:val="30"/>
          <w:szCs w:val="30"/>
        </w:rPr>
      </w:pPr>
      <w:r>
        <w:rPr>
          <w:rFonts w:ascii="Times New Roman" w:hAnsi="Times New Roman" w:eastAsia="仿宋_GB2312"/>
          <w:spacing w:val="8"/>
          <w:sz w:val="30"/>
          <w:szCs w:val="30"/>
        </w:rPr>
        <w:t>6</w:t>
      </w:r>
      <w:r>
        <w:rPr>
          <w:rFonts w:hint="default" w:ascii="Times New Roman" w:hAnsi="Times New Roman" w:eastAsia="仿宋_GB2312"/>
          <w:spacing w:val="8"/>
          <w:sz w:val="30"/>
          <w:szCs w:val="30"/>
        </w:rPr>
        <w:t>.</w:t>
      </w:r>
      <w:r>
        <w:rPr>
          <w:rFonts w:ascii="Times New Roman" w:hAnsi="Times New Roman" w:eastAsia="仿宋_GB2312"/>
          <w:spacing w:val="8"/>
          <w:sz w:val="30"/>
          <w:szCs w:val="30"/>
        </w:rPr>
        <w:t xml:space="preserve"> 国有企业合规经营、内部控制与风险管理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5"/>
        <w:textAlignment w:val="auto"/>
        <w:rPr>
          <w:rFonts w:hint="default" w:cs="宋体"/>
          <w:sz w:val="30"/>
          <w:szCs w:val="30"/>
        </w:rPr>
      </w:pPr>
      <w:r>
        <w:rPr>
          <w:rFonts w:cs="宋体"/>
          <w:sz w:val="30"/>
          <w:szCs w:val="30"/>
        </w:rPr>
        <w:t>三、培训对象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0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/>
          <w:spacing w:val="8"/>
          <w:sz w:val="30"/>
          <w:szCs w:val="30"/>
        </w:rPr>
      </w:pPr>
      <w:r>
        <w:rPr>
          <w:rFonts w:ascii="Times New Roman" w:hAnsi="Times New Roman" w:eastAsia="仿宋_GB2312"/>
          <w:spacing w:val="8"/>
          <w:sz w:val="30"/>
          <w:szCs w:val="30"/>
        </w:rPr>
        <w:t>各级政府国有资产监督管理部门相关负责人，央企、各级国企的高层管理人员及人力资源、战略、规划、财务及市场等部门负责人和骨干人员。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5"/>
        <w:textAlignment w:val="auto"/>
        <w:rPr>
          <w:rFonts w:hint="default" w:cs="宋体"/>
          <w:sz w:val="30"/>
          <w:szCs w:val="30"/>
        </w:rPr>
      </w:pPr>
      <w:r>
        <w:rPr>
          <w:rFonts w:cs="宋体"/>
          <w:sz w:val="30"/>
          <w:szCs w:val="30"/>
        </w:rPr>
        <w:t>四、授课专家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0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/>
          <w:spacing w:val="8"/>
          <w:sz w:val="30"/>
          <w:szCs w:val="30"/>
        </w:rPr>
      </w:pPr>
      <w:r>
        <w:rPr>
          <w:rFonts w:ascii="Times New Roman" w:hAnsi="Times New Roman" w:eastAsia="仿宋_GB2312"/>
          <w:spacing w:val="8"/>
          <w:sz w:val="30"/>
          <w:szCs w:val="30"/>
        </w:rPr>
        <w:t>拟邀请国务院国资委所属有关单位、中国人事科学研究院、中国财政科学研究院等单位专家，以及现代企业管理领域实战专家授课</w:t>
      </w:r>
      <w:r>
        <w:rPr>
          <w:rFonts w:hint="default" w:ascii="Times New Roman" w:hAnsi="Times New Roman" w:eastAsia="仿宋_GB2312"/>
          <w:spacing w:val="8"/>
          <w:sz w:val="30"/>
          <w:szCs w:val="30"/>
        </w:rPr>
        <w:t xml:space="preserve">, </w:t>
      </w:r>
      <w:r>
        <w:rPr>
          <w:rFonts w:ascii="Times New Roman" w:hAnsi="Times New Roman" w:eastAsia="仿宋_GB2312"/>
          <w:spacing w:val="8"/>
          <w:sz w:val="30"/>
          <w:szCs w:val="30"/>
        </w:rPr>
        <w:t>并组织交流与研讨。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5"/>
        <w:textAlignment w:val="auto"/>
        <w:rPr>
          <w:rFonts w:hint="default" w:cs="宋体"/>
          <w:sz w:val="30"/>
          <w:szCs w:val="30"/>
        </w:rPr>
      </w:pPr>
      <w:r>
        <w:rPr>
          <w:rFonts w:cs="宋体"/>
          <w:sz w:val="30"/>
          <w:szCs w:val="30"/>
        </w:rPr>
        <w:t>五、时间地点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5"/>
        <w:textAlignment w:val="auto"/>
        <w:rPr>
          <w:rFonts w:hint="default" w:ascii="Times New Roman" w:hAnsi="Times New Roman" w:eastAsia="仿宋_GB2312"/>
          <w:spacing w:val="8"/>
          <w:sz w:val="30"/>
          <w:szCs w:val="30"/>
        </w:rPr>
      </w:pPr>
      <w:r>
        <w:rPr>
          <w:rFonts w:hint="default" w:ascii="Times New Roman" w:hAnsi="Times New Roman" w:eastAsia="仿宋_GB2312"/>
          <w:spacing w:val="8"/>
          <w:sz w:val="30"/>
          <w:szCs w:val="30"/>
        </w:rPr>
        <w:t>2022年07月08日—07月11日  成都市（08日全天报到）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5"/>
        <w:textAlignment w:val="auto"/>
        <w:rPr>
          <w:rFonts w:hint="default" w:ascii="Times New Roman" w:hAnsi="Times New Roman" w:eastAsia="仿宋_GB2312"/>
          <w:spacing w:val="8"/>
          <w:sz w:val="30"/>
          <w:szCs w:val="30"/>
        </w:rPr>
      </w:pPr>
      <w:r>
        <w:rPr>
          <w:rFonts w:hint="default" w:ascii="Times New Roman" w:hAnsi="Times New Roman" w:eastAsia="仿宋_GB2312"/>
          <w:spacing w:val="8"/>
          <w:sz w:val="30"/>
          <w:szCs w:val="30"/>
        </w:rPr>
        <w:t>2022年07月22日—07月25日  青岛市（22日全天报到）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5"/>
        <w:textAlignment w:val="auto"/>
        <w:rPr>
          <w:rFonts w:hint="default" w:ascii="Times New Roman" w:hAnsi="Times New Roman" w:eastAsia="仿宋_GB2312"/>
          <w:spacing w:val="8"/>
          <w:sz w:val="30"/>
          <w:szCs w:val="30"/>
        </w:rPr>
      </w:pPr>
      <w:r>
        <w:rPr>
          <w:rFonts w:hint="default" w:ascii="Times New Roman" w:hAnsi="Times New Roman" w:eastAsia="仿宋_GB2312"/>
          <w:spacing w:val="8"/>
          <w:sz w:val="30"/>
          <w:szCs w:val="30"/>
        </w:rPr>
        <w:t>2022年08月12日—08月15日  贵阳市（12日全天报到）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5"/>
        <w:textAlignment w:val="auto"/>
        <w:rPr>
          <w:rFonts w:hint="default" w:ascii="Times New Roman" w:hAnsi="Times New Roman" w:eastAsia="仿宋_GB2312"/>
          <w:spacing w:val="8"/>
          <w:sz w:val="30"/>
          <w:szCs w:val="30"/>
        </w:rPr>
      </w:pPr>
      <w:r>
        <w:rPr>
          <w:rFonts w:hint="default" w:ascii="Times New Roman" w:hAnsi="Times New Roman" w:eastAsia="仿宋_GB2312"/>
          <w:spacing w:val="8"/>
          <w:sz w:val="30"/>
          <w:szCs w:val="30"/>
        </w:rPr>
        <w:t>2022年08月26日—08月29日  郑州市（26日全天报到）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5"/>
        <w:textAlignment w:val="auto"/>
        <w:rPr>
          <w:rFonts w:hint="default" w:cs="宋体"/>
          <w:sz w:val="30"/>
          <w:szCs w:val="30"/>
        </w:rPr>
      </w:pPr>
      <w:r>
        <w:rPr>
          <w:rFonts w:hint="default" w:ascii="Times New Roman" w:hAnsi="Times New Roman" w:eastAsia="仿宋_GB2312"/>
          <w:spacing w:val="8"/>
          <w:sz w:val="30"/>
          <w:szCs w:val="30"/>
        </w:rPr>
        <w:t xml:space="preserve">2022年09月16日—09月19日  </w:t>
      </w:r>
      <w:bookmarkStart w:id="0" w:name="_GoBack"/>
      <w:r>
        <w:rPr>
          <w:rFonts w:hint="default" w:ascii="Times New Roman" w:hAnsi="Times New Roman" w:eastAsia="仿宋_GB2312"/>
          <w:spacing w:val="8"/>
          <w:sz w:val="30"/>
          <w:szCs w:val="30"/>
        </w:rPr>
        <w:t>西安</w:t>
      </w:r>
      <w:bookmarkEnd w:id="0"/>
      <w:r>
        <w:rPr>
          <w:rFonts w:hint="default" w:ascii="Times New Roman" w:hAnsi="Times New Roman" w:eastAsia="仿宋_GB2312"/>
          <w:spacing w:val="8"/>
          <w:sz w:val="30"/>
          <w:szCs w:val="30"/>
        </w:rPr>
        <w:t>市（16日全天报到）</w:t>
      </w:r>
      <w:r>
        <w:rPr>
          <w:rFonts w:cs="宋体"/>
          <w:sz w:val="30"/>
          <w:szCs w:val="30"/>
        </w:rPr>
        <w:t>六、证书申报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pacing w:line="500" w:lineRule="exact"/>
        <w:ind w:firstLine="632" w:firstLineChars="200"/>
        <w:textAlignment w:val="auto"/>
        <w:rPr>
          <w:rFonts w:hint="default" w:ascii="Times New Roman" w:hAnsi="Times New Roman" w:eastAsia="仿宋_GB2312"/>
          <w:spacing w:val="8"/>
          <w:sz w:val="30"/>
          <w:szCs w:val="30"/>
        </w:rPr>
      </w:pPr>
      <w:r>
        <w:rPr>
          <w:rFonts w:ascii="Times New Roman" w:hAnsi="Times New Roman" w:eastAsia="仿宋_GB2312"/>
          <w:spacing w:val="8"/>
          <w:sz w:val="30"/>
          <w:szCs w:val="30"/>
        </w:rPr>
        <w:t>学员参加全部课程，经学习考试合格，由职业经理研究中心颁发《企业改革与管理创新培训班（专题班）——2022决战决胜国企改革三年行动 攻坚国企改革重点难点热点高级研修班结业证书》。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default" w:cs="宋体"/>
          <w:sz w:val="30"/>
          <w:szCs w:val="30"/>
        </w:rPr>
      </w:pPr>
      <w:r>
        <w:rPr>
          <w:rFonts w:cs="宋体"/>
          <w:sz w:val="30"/>
          <w:szCs w:val="30"/>
        </w:rPr>
        <w:t>七、培训费用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0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/>
          <w:spacing w:val="8"/>
          <w:sz w:val="30"/>
          <w:szCs w:val="30"/>
        </w:rPr>
      </w:pPr>
      <w:r>
        <w:rPr>
          <w:rFonts w:hint="default" w:ascii="Times New Roman" w:hAnsi="Times New Roman" w:eastAsia="仿宋_GB2312"/>
          <w:spacing w:val="8"/>
          <w:sz w:val="30"/>
          <w:szCs w:val="30"/>
        </w:rPr>
        <w:t>A.</w:t>
      </w:r>
      <w:r>
        <w:rPr>
          <w:rFonts w:ascii="Times New Roman" w:hAnsi="Times New Roman" w:eastAsia="仿宋_GB2312"/>
          <w:spacing w:val="8"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spacing w:val="8"/>
          <w:sz w:val="30"/>
          <w:szCs w:val="30"/>
        </w:rPr>
        <w:t>3600</w:t>
      </w:r>
      <w:r>
        <w:rPr>
          <w:rFonts w:ascii="Times New Roman" w:hAnsi="Times New Roman" w:eastAsia="仿宋_GB2312"/>
          <w:spacing w:val="8"/>
          <w:sz w:val="30"/>
          <w:szCs w:val="30"/>
        </w:rPr>
        <w:t>元</w:t>
      </w:r>
      <w:r>
        <w:rPr>
          <w:rFonts w:hint="default" w:ascii="Times New Roman" w:hAnsi="Times New Roman" w:eastAsia="仿宋_GB2312"/>
          <w:spacing w:val="8"/>
          <w:sz w:val="30"/>
          <w:szCs w:val="30"/>
        </w:rPr>
        <w:t>/</w:t>
      </w:r>
      <w:r>
        <w:rPr>
          <w:rFonts w:ascii="Times New Roman" w:hAnsi="Times New Roman" w:eastAsia="仿宋_GB2312"/>
          <w:spacing w:val="8"/>
          <w:sz w:val="30"/>
          <w:szCs w:val="30"/>
        </w:rPr>
        <w:t>人（含培训、资料、电子课件、场地及培训期间午餐），住宿统一安排，费用自理。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0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/>
          <w:spacing w:val="8"/>
          <w:sz w:val="30"/>
          <w:szCs w:val="30"/>
        </w:rPr>
      </w:pPr>
      <w:r>
        <w:rPr>
          <w:rFonts w:hint="default" w:ascii="Times New Roman" w:hAnsi="Times New Roman" w:eastAsia="仿宋_GB2312"/>
          <w:spacing w:val="8"/>
          <w:sz w:val="30"/>
          <w:szCs w:val="30"/>
        </w:rPr>
        <w:t>B.</w:t>
      </w:r>
      <w:r>
        <w:rPr>
          <w:rFonts w:ascii="Times New Roman" w:hAnsi="Times New Roman" w:eastAsia="仿宋_GB2312"/>
          <w:spacing w:val="8"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spacing w:val="8"/>
          <w:sz w:val="30"/>
          <w:szCs w:val="30"/>
        </w:rPr>
        <w:t>5600</w:t>
      </w:r>
      <w:r>
        <w:rPr>
          <w:rFonts w:ascii="Times New Roman" w:hAnsi="Times New Roman" w:eastAsia="仿宋_GB2312"/>
          <w:spacing w:val="8"/>
          <w:sz w:val="30"/>
          <w:szCs w:val="30"/>
        </w:rPr>
        <w:t>元</w:t>
      </w:r>
      <w:r>
        <w:rPr>
          <w:rFonts w:hint="default" w:ascii="Times New Roman" w:hAnsi="Times New Roman" w:eastAsia="仿宋_GB2312"/>
          <w:spacing w:val="8"/>
          <w:sz w:val="30"/>
          <w:szCs w:val="30"/>
        </w:rPr>
        <w:t>/</w:t>
      </w:r>
      <w:r>
        <w:rPr>
          <w:rFonts w:ascii="Times New Roman" w:hAnsi="Times New Roman" w:eastAsia="仿宋_GB2312"/>
          <w:spacing w:val="8"/>
          <w:sz w:val="30"/>
          <w:szCs w:val="30"/>
        </w:rPr>
        <w:t>人（含培训、资料、电子课件、场地、证书申报及培训期间午餐），住宿统一安排，费用自理。申报证书需提供二寸白底免冠彩色照片（电子版）、身份证（复印件）、学历证书（复印件）各一份。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0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/>
          <w:b w:val="0"/>
          <w:bCs/>
          <w:spacing w:val="8"/>
          <w:sz w:val="30"/>
          <w:szCs w:val="30"/>
        </w:rPr>
      </w:pPr>
      <w:r>
        <w:rPr>
          <w:rFonts w:ascii="Times New Roman" w:hAnsi="Times New Roman" w:eastAsia="仿宋_GB2312"/>
          <w:b w:val="0"/>
          <w:bCs/>
          <w:spacing w:val="8"/>
          <w:sz w:val="30"/>
          <w:szCs w:val="30"/>
        </w:rPr>
        <w:t>课程权益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0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/>
          <w:spacing w:val="8"/>
          <w:sz w:val="30"/>
          <w:szCs w:val="30"/>
        </w:rPr>
      </w:pPr>
      <w:r>
        <w:rPr>
          <w:rFonts w:ascii="Times New Roman" w:hAnsi="Times New Roman" w:eastAsia="仿宋_GB2312"/>
          <w:spacing w:val="8"/>
          <w:sz w:val="30"/>
          <w:szCs w:val="30"/>
        </w:rPr>
        <w:t>本培训班常年举办，参加一次全年免费复训，复训只交资料费</w:t>
      </w:r>
      <w:r>
        <w:rPr>
          <w:rFonts w:hint="default" w:ascii="Times New Roman" w:hAnsi="Times New Roman" w:eastAsia="仿宋_GB2312"/>
          <w:spacing w:val="8"/>
          <w:sz w:val="30"/>
          <w:szCs w:val="30"/>
        </w:rPr>
        <w:t>300</w:t>
      </w:r>
      <w:r>
        <w:rPr>
          <w:rFonts w:ascii="Times New Roman" w:hAnsi="Times New Roman" w:eastAsia="仿宋_GB2312"/>
          <w:spacing w:val="8"/>
          <w:sz w:val="30"/>
          <w:szCs w:val="30"/>
        </w:rPr>
        <w:t>元即可，并赠送同主题网络课程一期；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00" w:lineRule="exact"/>
        <w:ind w:left="0" w:firstLine="560" w:firstLineChars="200"/>
        <w:textAlignment w:val="auto"/>
        <w:rPr>
          <w:rFonts w:hint="default" w:hAnsi="仿宋" w:cs="仿宋"/>
          <w:bCs/>
          <w:sz w:val="28"/>
          <w:szCs w:val="28"/>
        </w:rPr>
      </w:pPr>
    </w:p>
    <w:p>
      <w:pPr>
        <w:autoSpaceDE/>
        <w:autoSpaceDN/>
        <w:snapToGrid w:val="0"/>
        <w:spacing w:line="600" w:lineRule="exact"/>
        <w:ind w:firstLine="600"/>
        <w:rPr>
          <w:rFonts w:hint="default" w:ascii="黑体" w:hAnsi="黑体" w:eastAsia="黑体" w:cs="黑体"/>
          <w:kern w:val="2"/>
          <w:sz w:val="30"/>
          <w:szCs w:val="30"/>
        </w:rPr>
        <w:sectPr>
          <w:pgSz w:w="11906" w:h="16838"/>
          <w:pgMar w:top="1440" w:right="1588" w:bottom="1440" w:left="1588" w:header="851" w:footer="992" w:gutter="0"/>
          <w:cols w:space="720" w:num="1"/>
          <w:docGrid w:type="lines" w:linePitch="326" w:charSpace="0"/>
        </w:sectPr>
      </w:pPr>
    </w:p>
    <w:p>
      <w:pPr>
        <w:autoSpaceDE/>
        <w:autoSpaceDN/>
        <w:snapToGrid w:val="0"/>
        <w:spacing w:line="600" w:lineRule="exact"/>
        <w:rPr>
          <w:rFonts w:hint="default" w:cs="宋体"/>
          <w:b/>
          <w:bCs/>
          <w:kern w:val="2"/>
          <w:sz w:val="30"/>
          <w:szCs w:val="30"/>
        </w:rPr>
      </w:pPr>
      <w:r>
        <w:rPr>
          <w:rFonts w:cs="宋体"/>
          <w:b/>
          <w:bCs/>
          <w:kern w:val="2"/>
          <w:sz w:val="30"/>
          <w:szCs w:val="30"/>
        </w:rPr>
        <w:t>附件2</w:t>
      </w:r>
    </w:p>
    <w:p>
      <w:pPr>
        <w:autoSpaceDE/>
        <w:autoSpaceDN/>
        <w:snapToGrid w:val="0"/>
        <w:spacing w:line="600" w:lineRule="exact"/>
        <w:jc w:val="center"/>
        <w:rPr>
          <w:rFonts w:hint="default" w:cs="宋体"/>
          <w:b/>
          <w:kern w:val="2"/>
          <w:sz w:val="44"/>
          <w:szCs w:val="44"/>
        </w:rPr>
      </w:pPr>
      <w:r>
        <w:rPr>
          <w:rFonts w:cs="宋体"/>
          <w:b/>
          <w:kern w:val="2"/>
          <w:sz w:val="44"/>
          <w:szCs w:val="44"/>
        </w:rPr>
        <w:t>培训内容</w:t>
      </w:r>
    </w:p>
    <w:p>
      <w:pPr>
        <w:pStyle w:val="2"/>
        <w:ind w:firstLine="480"/>
        <w:rPr>
          <w:rFonts w:hint="default" w:ascii="Times New Roman"/>
        </w:rPr>
      </w:pPr>
    </w:p>
    <w:p>
      <w:pPr>
        <w:autoSpaceDE/>
        <w:autoSpaceDN/>
        <w:snapToGrid w:val="0"/>
        <w:spacing w:line="600" w:lineRule="exact"/>
        <w:ind w:firstLine="645"/>
        <w:rPr>
          <w:rFonts w:hint="default" w:cs="宋体"/>
          <w:b/>
          <w:bCs/>
          <w:sz w:val="30"/>
          <w:szCs w:val="30"/>
        </w:rPr>
      </w:pPr>
      <w:r>
        <w:rPr>
          <w:rFonts w:cs="宋体"/>
          <w:b/>
          <w:bCs/>
          <w:sz w:val="30"/>
          <w:szCs w:val="30"/>
        </w:rPr>
        <w:t>一、混合所有制改革政策解读与操作实务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1.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混合所有制改革的主要模式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ascii="Times New Roman" w:hAnsi="Times New Roman" w:eastAsia="仿宋_GB2312"/>
          <w:bCs/>
          <w:kern w:val="2"/>
          <w:sz w:val="30"/>
          <w:szCs w:val="30"/>
        </w:rPr>
        <w:t>2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混合所有制改革的的原则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ascii="Times New Roman" w:hAnsi="Times New Roman" w:eastAsia="仿宋_GB2312"/>
          <w:bCs/>
          <w:kern w:val="2"/>
          <w:sz w:val="30"/>
          <w:szCs w:val="30"/>
        </w:rPr>
        <w:t>3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混合所有制改革的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>一般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步骤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ascii="Times New Roman" w:hAnsi="Times New Roman" w:eastAsia="仿宋_GB2312"/>
          <w:bCs/>
          <w:kern w:val="2"/>
          <w:sz w:val="30"/>
          <w:szCs w:val="30"/>
        </w:rPr>
        <w:t>4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推行混合所有制改革的重点及难点问题解析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ascii="Times New Roman" w:hAnsi="Times New Roman" w:eastAsia="仿宋_GB2312"/>
          <w:bCs/>
          <w:kern w:val="2"/>
          <w:sz w:val="30"/>
          <w:szCs w:val="30"/>
        </w:rPr>
        <w:t>5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混合所有制改革成功案例解析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ascii="Times New Roman" w:hAnsi="Times New Roman" w:eastAsia="仿宋_GB2312"/>
          <w:bCs/>
          <w:kern w:val="2"/>
          <w:sz w:val="30"/>
          <w:szCs w:val="30"/>
        </w:rPr>
        <w:t>6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混合所有制改革实施过程中的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>国资监管与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风险防范</w:t>
      </w:r>
    </w:p>
    <w:p>
      <w:pPr>
        <w:autoSpaceDE/>
        <w:autoSpaceDN/>
        <w:snapToGrid w:val="0"/>
        <w:spacing w:line="600" w:lineRule="exact"/>
        <w:ind w:firstLine="645"/>
        <w:rPr>
          <w:rFonts w:hint="default" w:cs="宋体"/>
          <w:b/>
          <w:bCs/>
          <w:sz w:val="30"/>
          <w:szCs w:val="30"/>
        </w:rPr>
      </w:pPr>
      <w:r>
        <w:rPr>
          <w:rFonts w:cs="宋体"/>
          <w:b/>
          <w:bCs/>
          <w:sz w:val="30"/>
          <w:szCs w:val="30"/>
        </w:rPr>
        <w:t>二、国有企业人力资源管理的转型升级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1.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现代人力资源管理的发展趋势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ascii="Times New Roman" w:hAnsi="Times New Roman" w:eastAsia="仿宋_GB2312"/>
          <w:bCs/>
          <w:kern w:val="2"/>
          <w:sz w:val="30"/>
          <w:szCs w:val="30"/>
        </w:rPr>
        <w:t>2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传统的人力资源管理模式特点及问题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ascii="Times New Roman" w:hAnsi="Times New Roman" w:eastAsia="仿宋_GB2312"/>
          <w:bCs/>
          <w:kern w:val="2"/>
          <w:sz w:val="30"/>
          <w:szCs w:val="30"/>
        </w:rPr>
        <w:t>3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人力资源管理的四大机制解析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ascii="Times New Roman" w:hAnsi="Times New Roman" w:eastAsia="仿宋_GB2312"/>
          <w:bCs/>
          <w:kern w:val="2"/>
          <w:sz w:val="30"/>
          <w:szCs w:val="30"/>
        </w:rPr>
        <w:t>4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组织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>结构与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岗位体系设计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ascii="Times New Roman" w:hAnsi="Times New Roman" w:eastAsia="仿宋_GB2312"/>
          <w:bCs/>
          <w:kern w:val="2"/>
          <w:sz w:val="30"/>
          <w:szCs w:val="30"/>
        </w:rPr>
        <w:t>5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岗位价值评估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>办法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ascii="Times New Roman" w:hAnsi="Times New Roman" w:eastAsia="仿宋_GB2312"/>
          <w:bCs/>
          <w:kern w:val="2"/>
          <w:sz w:val="30"/>
          <w:szCs w:val="30"/>
        </w:rPr>
        <w:t>6. 人才盘点、培养、储备及内部流动管理</w:t>
      </w:r>
    </w:p>
    <w:p>
      <w:pPr>
        <w:autoSpaceDE/>
        <w:autoSpaceDN/>
        <w:snapToGrid w:val="0"/>
        <w:spacing w:line="600" w:lineRule="exact"/>
        <w:ind w:firstLine="645"/>
        <w:rPr>
          <w:rFonts w:hint="default" w:cs="宋体"/>
          <w:b/>
          <w:bCs/>
          <w:sz w:val="30"/>
          <w:szCs w:val="30"/>
        </w:rPr>
      </w:pPr>
      <w:r>
        <w:rPr>
          <w:rFonts w:cs="宋体"/>
          <w:b/>
          <w:bCs/>
          <w:sz w:val="30"/>
          <w:szCs w:val="30"/>
        </w:rPr>
        <w:t>三、国有企业薪酬与绩效管理实务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1.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国有企业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三项制度改革与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>建立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市场化经营机制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2.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工资总额管理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>办法解读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3.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国有企业薪酬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>管理体系设计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4.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国有企业绩效管理体系设计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5.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考核指标的科学选择与权重设计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6.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绩效考核流程管理</w:t>
      </w:r>
    </w:p>
    <w:p>
      <w:pPr>
        <w:widowControl/>
        <w:autoSpaceDE/>
        <w:autoSpaceDN/>
        <w:snapToGrid w:val="0"/>
        <w:spacing w:line="600" w:lineRule="exact"/>
        <w:ind w:firstLine="602" w:firstLineChars="200"/>
        <w:rPr>
          <w:rFonts w:hint="default" w:cs="宋体"/>
          <w:b/>
          <w:bCs/>
          <w:sz w:val="30"/>
          <w:szCs w:val="30"/>
        </w:rPr>
      </w:pPr>
      <w:r>
        <w:rPr>
          <w:rFonts w:cs="宋体"/>
          <w:b/>
          <w:bCs/>
          <w:sz w:val="30"/>
          <w:szCs w:val="30"/>
        </w:rPr>
        <w:t>四、国有企业经理层成员任期制与契约化管理、职业经理人制度制定与实务操作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1.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国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>有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企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>业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市场化经营机制改革与人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>力资源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管理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2.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经理层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>成员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任期制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>与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契约化管理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>解析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ascii="Times New Roman" w:hAnsi="Times New Roman" w:eastAsia="仿宋_GB2312"/>
          <w:bCs/>
          <w:kern w:val="2"/>
          <w:sz w:val="30"/>
          <w:szCs w:val="30"/>
        </w:rPr>
        <w:t>3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经理层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>成员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任期制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>与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契约化管理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>操作实务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ascii="Times New Roman" w:hAnsi="Times New Roman" w:eastAsia="仿宋_GB2312"/>
          <w:bCs/>
          <w:kern w:val="2"/>
          <w:sz w:val="30"/>
          <w:szCs w:val="30"/>
        </w:rPr>
        <w:t>4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职业经理人制度的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>设计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要点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ascii="Times New Roman" w:hAnsi="Times New Roman" w:eastAsia="仿宋_GB2312"/>
          <w:bCs/>
          <w:kern w:val="2"/>
          <w:sz w:val="30"/>
          <w:szCs w:val="30"/>
        </w:rPr>
        <w:t>5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职业经理人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>聘任、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管理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>与退出操作实务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ascii="Times New Roman" w:hAnsi="Times New Roman" w:eastAsia="仿宋_GB2312"/>
          <w:bCs/>
          <w:kern w:val="2"/>
          <w:sz w:val="30"/>
          <w:szCs w:val="30"/>
        </w:rPr>
        <w:t>6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中长期激励的主要模式介绍</w:t>
      </w:r>
    </w:p>
    <w:p>
      <w:pPr>
        <w:autoSpaceDE/>
        <w:autoSpaceDN/>
        <w:snapToGrid w:val="0"/>
        <w:spacing w:line="600" w:lineRule="exact"/>
        <w:ind w:firstLine="645"/>
        <w:rPr>
          <w:rFonts w:hint="default" w:ascii="Times New Roman" w:hAnsi="Times New Roman" w:eastAsia="黑体"/>
          <w:sz w:val="30"/>
          <w:szCs w:val="30"/>
        </w:rPr>
      </w:pPr>
      <w:r>
        <w:rPr>
          <w:rFonts w:cs="宋体"/>
          <w:b/>
          <w:bCs/>
          <w:sz w:val="30"/>
          <w:szCs w:val="30"/>
        </w:rPr>
        <w:t>五、</w:t>
      </w:r>
      <w:r>
        <w:rPr>
          <w:rFonts w:cs="宋体"/>
          <w:b/>
          <w:bCs/>
          <w:spacing w:val="8"/>
          <w:sz w:val="30"/>
          <w:szCs w:val="30"/>
        </w:rPr>
        <w:t>加强党的领导与国有企业法人治理体系的完善与升级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1.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中国特色的国有企业法人治理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>体系设计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ascii="Times New Roman" w:hAnsi="Times New Roman" w:eastAsia="仿宋_GB2312"/>
          <w:bCs/>
          <w:kern w:val="2"/>
          <w:sz w:val="30"/>
          <w:szCs w:val="30"/>
        </w:rPr>
        <w:t>2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党组织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>在国有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企业治理中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>“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把方向、管大局、保落实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>”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作用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ascii="Times New Roman" w:hAnsi="Times New Roman" w:eastAsia="仿宋_GB2312"/>
          <w:bCs/>
          <w:kern w:val="2"/>
          <w:sz w:val="30"/>
          <w:szCs w:val="30"/>
        </w:rPr>
        <w:t>3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董事会的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>建立与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有效运行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ascii="Times New Roman" w:hAnsi="Times New Roman" w:eastAsia="仿宋_GB2312"/>
          <w:bCs/>
          <w:kern w:val="2"/>
          <w:sz w:val="30"/>
          <w:szCs w:val="30"/>
        </w:rPr>
        <w:t>4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外部董事的选聘及管理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ascii="Times New Roman" w:hAnsi="Times New Roman" w:eastAsia="仿宋_GB2312"/>
          <w:bCs/>
          <w:kern w:val="2"/>
          <w:sz w:val="30"/>
          <w:szCs w:val="30"/>
        </w:rPr>
        <w:t>5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国资监管与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>分级授权</w:t>
      </w:r>
    </w:p>
    <w:p>
      <w:pPr>
        <w:autoSpaceDE/>
        <w:autoSpaceDN/>
        <w:snapToGrid w:val="0"/>
        <w:spacing w:line="600" w:lineRule="exact"/>
        <w:ind w:firstLine="645"/>
        <w:rPr>
          <w:rFonts w:hint="default" w:cs="宋体"/>
          <w:b/>
          <w:bCs/>
          <w:sz w:val="30"/>
          <w:szCs w:val="30"/>
        </w:rPr>
      </w:pPr>
      <w:r>
        <w:rPr>
          <w:rFonts w:cs="宋体"/>
          <w:b/>
          <w:bCs/>
          <w:sz w:val="30"/>
          <w:szCs w:val="30"/>
        </w:rPr>
        <w:t>六、国有企业合规经营、内部控制与风险管理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1.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国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>有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企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>业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合规经营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>相关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政策法规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>解析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2.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国有企业投资、经营风险识别与评估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ascii="Times New Roman" w:hAnsi="Times New Roman" w:eastAsia="仿宋_GB2312"/>
          <w:bCs/>
          <w:kern w:val="2"/>
          <w:sz w:val="30"/>
          <w:szCs w:val="30"/>
        </w:rPr>
        <w:t>3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重要流程、环节与领域的风险管理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ascii="Times New Roman" w:hAnsi="Times New Roman" w:eastAsia="仿宋_GB2312"/>
          <w:bCs/>
          <w:kern w:val="2"/>
          <w:sz w:val="30"/>
          <w:szCs w:val="30"/>
        </w:rPr>
        <w:t>4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企业内控体系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 xml:space="preserve">建设 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ascii="Times New Roman" w:hAnsi="Times New Roman" w:eastAsia="仿宋_GB2312"/>
          <w:bCs/>
          <w:kern w:val="2"/>
          <w:sz w:val="30"/>
          <w:szCs w:val="30"/>
        </w:rPr>
        <w:t>5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法律视角下国有企业风险管理与风控体系建设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</w:p>
    <w:p>
      <w:pPr>
        <w:autoSpaceDE/>
        <w:autoSpaceDN/>
        <w:adjustRightInd/>
        <w:spacing w:line="280" w:lineRule="exact"/>
        <w:jc w:val="both"/>
        <w:rPr>
          <w:rFonts w:hint="default" w:ascii="Times New Roman" w:hAnsi="黑体" w:eastAsia="黑体"/>
          <w:kern w:val="2"/>
          <w:sz w:val="30"/>
          <w:szCs w:val="30"/>
        </w:rPr>
        <w:sectPr>
          <w:pgSz w:w="11906" w:h="16838"/>
          <w:pgMar w:top="1440" w:right="1588" w:bottom="1440" w:left="1588" w:header="851" w:footer="992" w:gutter="0"/>
          <w:cols w:space="720" w:num="1"/>
          <w:docGrid w:type="lines" w:linePitch="326" w:charSpace="0"/>
        </w:sectPr>
      </w:pPr>
    </w:p>
    <w:p>
      <w:pPr>
        <w:autoSpaceDE/>
        <w:autoSpaceDN/>
        <w:snapToGrid w:val="0"/>
        <w:spacing w:line="600" w:lineRule="exact"/>
        <w:jc w:val="both"/>
        <w:rPr>
          <w:rFonts w:hint="default" w:cs="宋体"/>
          <w:b/>
          <w:bCs/>
          <w:kern w:val="2"/>
          <w:sz w:val="30"/>
          <w:szCs w:val="30"/>
        </w:rPr>
      </w:pPr>
      <w:r>
        <w:rPr>
          <w:rFonts w:cs="宋体"/>
          <w:b/>
          <w:bCs/>
          <w:kern w:val="2"/>
          <w:sz w:val="30"/>
          <w:szCs w:val="30"/>
        </w:rPr>
        <w:t>附件3</w:t>
      </w:r>
    </w:p>
    <w:p>
      <w:pPr>
        <w:autoSpaceDE/>
        <w:autoSpaceDN/>
        <w:snapToGrid w:val="0"/>
        <w:spacing w:line="560" w:lineRule="exact"/>
        <w:ind w:firstLine="601"/>
        <w:jc w:val="center"/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企业改革与管理创新培训班（专题班）——2022决战决胜国企改革三年行动 攻坚国企改革重点难点热点高级研修班报名回执表</w:t>
      </w:r>
    </w:p>
    <w:tbl>
      <w:tblPr>
        <w:tblStyle w:val="7"/>
        <w:tblpPr w:leftFromText="180" w:rightFromText="180" w:vertAnchor="text" w:horzAnchor="page" w:tblpX="1225" w:tblpY="287"/>
        <w:tblW w:w="9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854"/>
        <w:gridCol w:w="1293"/>
        <w:gridCol w:w="1952"/>
        <w:gridCol w:w="1896"/>
        <w:gridCol w:w="2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4099" w:type="dxa"/>
            <w:gridSpan w:val="3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 编</w:t>
            </w: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8159" w:type="dxa"/>
            <w:gridSpan w:val="5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 系 人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    务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    机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传    真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参训人员</w:t>
            </w: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    话</w:t>
            </w: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  机</w:t>
            </w: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 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参训时间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参训地点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住宿标准</w:t>
            </w:r>
          </w:p>
        </w:tc>
        <w:tc>
          <w:tcPr>
            <w:tcW w:w="8159" w:type="dxa"/>
            <w:gridSpan w:val="5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ind w:firstLine="960" w:firstLineChars="400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单住□               合住□             自理□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证书申报</w:t>
            </w:r>
          </w:p>
        </w:tc>
        <w:tc>
          <w:tcPr>
            <w:tcW w:w="8159" w:type="dxa"/>
            <w:gridSpan w:val="5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企业改革与管理创新培训班（专题班）——2022决战决胜国企改革三年行动 攻坚国企改革重点难点热点高级研修班结业</w:t>
            </w:r>
            <w:r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证书</w:t>
            </w: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付款方式</w:t>
            </w:r>
          </w:p>
        </w:tc>
        <w:tc>
          <w:tcPr>
            <w:tcW w:w="4099" w:type="dxa"/>
            <w:gridSpan w:val="3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ind w:firstLine="960" w:firstLineChars="400"/>
              <w:jc w:val="both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转 账</w:t>
            </w: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现场</w:t>
            </w: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金 额</w:t>
            </w:r>
          </w:p>
        </w:tc>
        <w:tc>
          <w:tcPr>
            <w:tcW w:w="2164" w:type="dxa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收款信息</w:t>
            </w:r>
          </w:p>
        </w:tc>
        <w:tc>
          <w:tcPr>
            <w:tcW w:w="8159" w:type="dxa"/>
            <w:gridSpan w:val="5"/>
          </w:tcPr>
          <w:p>
            <w:pPr>
              <w:widowControl/>
              <w:autoSpaceDE/>
              <w:autoSpaceDN/>
              <w:jc w:val="both"/>
              <w:rPr>
                <w:rStyle w:val="9"/>
                <w:rFonts w:hint="default" w:ascii="仿宋" w:hAnsi="仿宋" w:eastAsia="仿宋" w:cs="仿宋"/>
                <w:b w:val="0"/>
                <w:bCs w:val="0"/>
                <w:color w:val="000000"/>
                <w:szCs w:val="24"/>
                <w:lang w:val="zh-CN"/>
              </w:rPr>
            </w:pPr>
            <w:r>
              <w:rPr>
                <w:rStyle w:val="9"/>
                <w:rFonts w:ascii="仿宋" w:hAnsi="仿宋" w:eastAsia="仿宋" w:cs="仿宋"/>
                <w:b w:val="0"/>
                <w:bCs w:val="0"/>
                <w:color w:val="000000"/>
                <w:szCs w:val="24"/>
              </w:rPr>
              <w:t>开户</w:t>
            </w:r>
            <w:r>
              <w:rPr>
                <w:rStyle w:val="9"/>
                <w:rFonts w:ascii="仿宋" w:hAnsi="仿宋" w:eastAsia="仿宋" w:cs="仿宋"/>
                <w:b w:val="0"/>
                <w:bCs w:val="0"/>
                <w:color w:val="000000"/>
                <w:szCs w:val="24"/>
                <w:lang w:val="zh-CN"/>
              </w:rPr>
              <w:t xml:space="preserve">名称： 北京中建科信管理咨询集团有限公司 </w:t>
            </w:r>
          </w:p>
          <w:p>
            <w:pPr>
              <w:widowControl/>
              <w:autoSpaceDE/>
              <w:autoSpaceDN/>
              <w:jc w:val="both"/>
              <w:rPr>
                <w:rStyle w:val="9"/>
                <w:rFonts w:hint="default" w:ascii="仿宋" w:hAnsi="仿宋" w:eastAsia="仿宋" w:cs="仿宋"/>
                <w:b w:val="0"/>
                <w:bCs w:val="0"/>
                <w:color w:val="000000"/>
                <w:szCs w:val="24"/>
                <w:lang w:val="zh-CN"/>
              </w:rPr>
            </w:pPr>
            <w:r>
              <w:rPr>
                <w:rStyle w:val="9"/>
                <w:rFonts w:ascii="仿宋" w:hAnsi="仿宋" w:eastAsia="仿宋" w:cs="仿宋"/>
                <w:b w:val="0"/>
                <w:bCs w:val="0"/>
                <w:color w:val="000000"/>
                <w:szCs w:val="24"/>
                <w:lang w:val="zh-CN"/>
              </w:rPr>
              <w:t xml:space="preserve">开 户 行： 中国工商银行股份有限公司北京半壁店支行 </w:t>
            </w:r>
          </w:p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ascii="仿宋" w:hAnsi="仿宋" w:eastAsia="仿宋" w:cs="仿宋"/>
                <w:b w:val="0"/>
                <w:bCs w:val="0"/>
                <w:color w:val="000000"/>
                <w:szCs w:val="24"/>
                <w:lang w:val="zh-CN"/>
              </w:rPr>
              <w:t>账    号： 0200247009200068235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    注</w:t>
            </w:r>
          </w:p>
        </w:tc>
        <w:tc>
          <w:tcPr>
            <w:tcW w:w="4099" w:type="dxa"/>
            <w:gridSpan w:val="3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ind w:firstLine="480" w:firstLineChars="200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以上课程内容均可赴企业内部培训，依据企业需求，量身定制课程。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ind w:firstLine="1200" w:firstLineChars="500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单位印章</w:t>
            </w:r>
          </w:p>
          <w:p>
            <w:pPr>
              <w:tabs>
                <w:tab w:val="left" w:pos="567"/>
                <w:tab w:val="left" w:pos="709"/>
              </w:tabs>
              <w:spacing w:line="300" w:lineRule="exact"/>
              <w:ind w:firstLine="960" w:firstLineChars="400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2022年  月  日</w:t>
            </w:r>
          </w:p>
        </w:tc>
      </w:tr>
    </w:tbl>
    <w:p>
      <w:pPr>
        <w:pStyle w:val="4"/>
        <w:spacing w:line="460" w:lineRule="exact"/>
        <w:ind w:left="0" w:firstLine="562" w:firstLineChars="200"/>
        <w:rPr>
          <w:rFonts w:hint="default" w:ascii="Times New Roman" w:hAnsi="Times New Roman" w:eastAsia="仿宋_GB2312"/>
          <w:b/>
          <w:bCs/>
          <w:color w:val="FF0000"/>
          <w:kern w:val="2"/>
          <w:sz w:val="28"/>
          <w:szCs w:val="28"/>
        </w:rPr>
      </w:pPr>
    </w:p>
    <w:sectPr>
      <w:pgSz w:w="11906" w:h="16838"/>
      <w:pgMar w:top="1440" w:right="1440" w:bottom="1440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xMTkyNmY5MDNmOGI5NWNlNjI3NTYyYjM0YzdlNTUifQ=="/>
  </w:docVars>
  <w:rsids>
    <w:rsidRoot w:val="00D12F3B"/>
    <w:rsid w:val="00405B66"/>
    <w:rsid w:val="006C748F"/>
    <w:rsid w:val="0078143C"/>
    <w:rsid w:val="008A7BE1"/>
    <w:rsid w:val="00AB3574"/>
    <w:rsid w:val="00BD01A0"/>
    <w:rsid w:val="00C823C4"/>
    <w:rsid w:val="00CF5500"/>
    <w:rsid w:val="00D12F3B"/>
    <w:rsid w:val="00E0770D"/>
    <w:rsid w:val="01981D96"/>
    <w:rsid w:val="020411DA"/>
    <w:rsid w:val="027D71DE"/>
    <w:rsid w:val="028D7421"/>
    <w:rsid w:val="02F254D6"/>
    <w:rsid w:val="039B791C"/>
    <w:rsid w:val="044328A5"/>
    <w:rsid w:val="04BC43B7"/>
    <w:rsid w:val="04F35535"/>
    <w:rsid w:val="05137986"/>
    <w:rsid w:val="05ED6429"/>
    <w:rsid w:val="061340E1"/>
    <w:rsid w:val="06905732"/>
    <w:rsid w:val="07140111"/>
    <w:rsid w:val="072A2F74"/>
    <w:rsid w:val="075C5614"/>
    <w:rsid w:val="07966D78"/>
    <w:rsid w:val="0797664C"/>
    <w:rsid w:val="07CB4548"/>
    <w:rsid w:val="08235321"/>
    <w:rsid w:val="09B96D4E"/>
    <w:rsid w:val="0A116B8A"/>
    <w:rsid w:val="0A1246B0"/>
    <w:rsid w:val="0AC57974"/>
    <w:rsid w:val="0ACF3CFA"/>
    <w:rsid w:val="0AD03DF3"/>
    <w:rsid w:val="0B1A381C"/>
    <w:rsid w:val="0BF3522A"/>
    <w:rsid w:val="0CB47CA0"/>
    <w:rsid w:val="0DA47D15"/>
    <w:rsid w:val="0DB066B9"/>
    <w:rsid w:val="0EC30E30"/>
    <w:rsid w:val="0F3A448D"/>
    <w:rsid w:val="100D394F"/>
    <w:rsid w:val="10525806"/>
    <w:rsid w:val="10C81135"/>
    <w:rsid w:val="110E5BD1"/>
    <w:rsid w:val="113B44EC"/>
    <w:rsid w:val="11F34DC7"/>
    <w:rsid w:val="1279351E"/>
    <w:rsid w:val="127A7296"/>
    <w:rsid w:val="1292638E"/>
    <w:rsid w:val="13174AE5"/>
    <w:rsid w:val="13427DB4"/>
    <w:rsid w:val="13845F7C"/>
    <w:rsid w:val="14216A16"/>
    <w:rsid w:val="142474B9"/>
    <w:rsid w:val="145F4995"/>
    <w:rsid w:val="149C7998"/>
    <w:rsid w:val="14D42C8D"/>
    <w:rsid w:val="155B515D"/>
    <w:rsid w:val="15632263"/>
    <w:rsid w:val="15A85EC8"/>
    <w:rsid w:val="1638549E"/>
    <w:rsid w:val="16EF3DAF"/>
    <w:rsid w:val="186500A0"/>
    <w:rsid w:val="19B337B9"/>
    <w:rsid w:val="19BC1F42"/>
    <w:rsid w:val="1A766595"/>
    <w:rsid w:val="1A9A671B"/>
    <w:rsid w:val="1B486183"/>
    <w:rsid w:val="1BA333BA"/>
    <w:rsid w:val="1C6B715A"/>
    <w:rsid w:val="1CE04199"/>
    <w:rsid w:val="1D097B94"/>
    <w:rsid w:val="1D392227"/>
    <w:rsid w:val="1DC1221D"/>
    <w:rsid w:val="1E036392"/>
    <w:rsid w:val="1E28404A"/>
    <w:rsid w:val="1E2A6014"/>
    <w:rsid w:val="1E9F255E"/>
    <w:rsid w:val="1EB57B66"/>
    <w:rsid w:val="1EBA7398"/>
    <w:rsid w:val="1F0B3750"/>
    <w:rsid w:val="1F1A7E37"/>
    <w:rsid w:val="1F1B770B"/>
    <w:rsid w:val="1F1D3483"/>
    <w:rsid w:val="1F680BA2"/>
    <w:rsid w:val="1FF16DE9"/>
    <w:rsid w:val="205E14CF"/>
    <w:rsid w:val="21C937E8"/>
    <w:rsid w:val="21D267A7"/>
    <w:rsid w:val="222039B6"/>
    <w:rsid w:val="22DE117B"/>
    <w:rsid w:val="23A979DB"/>
    <w:rsid w:val="23AD74CB"/>
    <w:rsid w:val="241A2687"/>
    <w:rsid w:val="2449338A"/>
    <w:rsid w:val="247935BB"/>
    <w:rsid w:val="24DD793C"/>
    <w:rsid w:val="24DF13E2"/>
    <w:rsid w:val="24F20F0E"/>
    <w:rsid w:val="252E1F46"/>
    <w:rsid w:val="25506360"/>
    <w:rsid w:val="25A77F4A"/>
    <w:rsid w:val="25DF5936"/>
    <w:rsid w:val="26B17FE3"/>
    <w:rsid w:val="274602B1"/>
    <w:rsid w:val="2749750B"/>
    <w:rsid w:val="27544383"/>
    <w:rsid w:val="279751F2"/>
    <w:rsid w:val="28101DD7"/>
    <w:rsid w:val="28123DA1"/>
    <w:rsid w:val="288527C5"/>
    <w:rsid w:val="288E0F4E"/>
    <w:rsid w:val="29F71642"/>
    <w:rsid w:val="2B1E480B"/>
    <w:rsid w:val="2B39457E"/>
    <w:rsid w:val="2C723060"/>
    <w:rsid w:val="2CCB09C2"/>
    <w:rsid w:val="2D0846B7"/>
    <w:rsid w:val="2D297497"/>
    <w:rsid w:val="2D314CC9"/>
    <w:rsid w:val="2D47282D"/>
    <w:rsid w:val="2DB63420"/>
    <w:rsid w:val="2DE70A2D"/>
    <w:rsid w:val="2E113CF1"/>
    <w:rsid w:val="2E4E3659"/>
    <w:rsid w:val="2E7B1F74"/>
    <w:rsid w:val="2F4B5DEA"/>
    <w:rsid w:val="2F590507"/>
    <w:rsid w:val="2FBD0A96"/>
    <w:rsid w:val="2FCC0CD9"/>
    <w:rsid w:val="30313232"/>
    <w:rsid w:val="30901D07"/>
    <w:rsid w:val="310E5B55"/>
    <w:rsid w:val="313E1763"/>
    <w:rsid w:val="329110F7"/>
    <w:rsid w:val="32944679"/>
    <w:rsid w:val="331A61FF"/>
    <w:rsid w:val="336631F3"/>
    <w:rsid w:val="33C57F19"/>
    <w:rsid w:val="34EF0FC6"/>
    <w:rsid w:val="352B46F4"/>
    <w:rsid w:val="365B6913"/>
    <w:rsid w:val="36946164"/>
    <w:rsid w:val="369938DF"/>
    <w:rsid w:val="36A24542"/>
    <w:rsid w:val="36CE3589"/>
    <w:rsid w:val="37313B18"/>
    <w:rsid w:val="37D526F5"/>
    <w:rsid w:val="37DC4E98"/>
    <w:rsid w:val="381D735D"/>
    <w:rsid w:val="382D42DF"/>
    <w:rsid w:val="386817BB"/>
    <w:rsid w:val="38C42BE3"/>
    <w:rsid w:val="39477622"/>
    <w:rsid w:val="399C796E"/>
    <w:rsid w:val="39BF6A4F"/>
    <w:rsid w:val="39C26CA9"/>
    <w:rsid w:val="39CB006D"/>
    <w:rsid w:val="39EB6200"/>
    <w:rsid w:val="3AB24F6F"/>
    <w:rsid w:val="3B111C96"/>
    <w:rsid w:val="3BDA652C"/>
    <w:rsid w:val="3BEB24E7"/>
    <w:rsid w:val="3BEE1FD7"/>
    <w:rsid w:val="3C6D114E"/>
    <w:rsid w:val="3D3A5E9E"/>
    <w:rsid w:val="3D54230E"/>
    <w:rsid w:val="3F116ADA"/>
    <w:rsid w:val="3F177A97"/>
    <w:rsid w:val="3FD140EA"/>
    <w:rsid w:val="405D597D"/>
    <w:rsid w:val="40C73A02"/>
    <w:rsid w:val="40EF2A79"/>
    <w:rsid w:val="413E130B"/>
    <w:rsid w:val="41AA5C3C"/>
    <w:rsid w:val="42815953"/>
    <w:rsid w:val="432B58BF"/>
    <w:rsid w:val="434626F9"/>
    <w:rsid w:val="434846C3"/>
    <w:rsid w:val="43AF4742"/>
    <w:rsid w:val="43E048FB"/>
    <w:rsid w:val="43E443EC"/>
    <w:rsid w:val="448C6831"/>
    <w:rsid w:val="45462E84"/>
    <w:rsid w:val="466B481F"/>
    <w:rsid w:val="46821C9A"/>
    <w:rsid w:val="46944542"/>
    <w:rsid w:val="46A00372"/>
    <w:rsid w:val="470D5A07"/>
    <w:rsid w:val="47DB5B06"/>
    <w:rsid w:val="481903DC"/>
    <w:rsid w:val="490270C2"/>
    <w:rsid w:val="4A4D25BF"/>
    <w:rsid w:val="4AD52CE0"/>
    <w:rsid w:val="4B007631"/>
    <w:rsid w:val="4B2477C4"/>
    <w:rsid w:val="4B5856BF"/>
    <w:rsid w:val="4BA40904"/>
    <w:rsid w:val="4BB24237"/>
    <w:rsid w:val="4BD25472"/>
    <w:rsid w:val="4BD56D10"/>
    <w:rsid w:val="4BE34F89"/>
    <w:rsid w:val="4C196BFC"/>
    <w:rsid w:val="4CAC7A71"/>
    <w:rsid w:val="4CFF2296"/>
    <w:rsid w:val="4D4E6D7A"/>
    <w:rsid w:val="4DDF3E76"/>
    <w:rsid w:val="4E067654"/>
    <w:rsid w:val="4E5C7274"/>
    <w:rsid w:val="4F1A33B7"/>
    <w:rsid w:val="4F334479"/>
    <w:rsid w:val="4F764366"/>
    <w:rsid w:val="4FC450D1"/>
    <w:rsid w:val="5023004A"/>
    <w:rsid w:val="508D1967"/>
    <w:rsid w:val="50A62A29"/>
    <w:rsid w:val="519641D8"/>
    <w:rsid w:val="51E90E1F"/>
    <w:rsid w:val="523E73BD"/>
    <w:rsid w:val="525A3ACB"/>
    <w:rsid w:val="526764A1"/>
    <w:rsid w:val="526D7CA2"/>
    <w:rsid w:val="528079D5"/>
    <w:rsid w:val="52DB4C0C"/>
    <w:rsid w:val="53065A01"/>
    <w:rsid w:val="53A05E55"/>
    <w:rsid w:val="53D63625"/>
    <w:rsid w:val="547F3CBD"/>
    <w:rsid w:val="552C5BF2"/>
    <w:rsid w:val="556D1D67"/>
    <w:rsid w:val="55AF05D2"/>
    <w:rsid w:val="57B819BF"/>
    <w:rsid w:val="58767185"/>
    <w:rsid w:val="587F428B"/>
    <w:rsid w:val="58A75590"/>
    <w:rsid w:val="58BA52C3"/>
    <w:rsid w:val="592D3CE7"/>
    <w:rsid w:val="59D77365"/>
    <w:rsid w:val="5A054C64"/>
    <w:rsid w:val="5A0802B0"/>
    <w:rsid w:val="5A663955"/>
    <w:rsid w:val="5A867B53"/>
    <w:rsid w:val="5B4B2B4A"/>
    <w:rsid w:val="5BC8419B"/>
    <w:rsid w:val="5BE2525D"/>
    <w:rsid w:val="5BE865EB"/>
    <w:rsid w:val="5C403D31"/>
    <w:rsid w:val="5DE60909"/>
    <w:rsid w:val="5E1831B8"/>
    <w:rsid w:val="5E2A6A47"/>
    <w:rsid w:val="5EB43901"/>
    <w:rsid w:val="5EF86B45"/>
    <w:rsid w:val="5F245B8C"/>
    <w:rsid w:val="5F716F1F"/>
    <w:rsid w:val="5FF967F2"/>
    <w:rsid w:val="5FFE372B"/>
    <w:rsid w:val="60082DB8"/>
    <w:rsid w:val="603E2C7E"/>
    <w:rsid w:val="605B738C"/>
    <w:rsid w:val="6110461A"/>
    <w:rsid w:val="615D7134"/>
    <w:rsid w:val="61B50D1E"/>
    <w:rsid w:val="61F96E5C"/>
    <w:rsid w:val="62377985"/>
    <w:rsid w:val="632E6FDA"/>
    <w:rsid w:val="63D618FE"/>
    <w:rsid w:val="63F83144"/>
    <w:rsid w:val="644F5459"/>
    <w:rsid w:val="64CF0348"/>
    <w:rsid w:val="65554CF2"/>
    <w:rsid w:val="65B80DDC"/>
    <w:rsid w:val="65BC08CD"/>
    <w:rsid w:val="66742F55"/>
    <w:rsid w:val="669B6734"/>
    <w:rsid w:val="66E83943"/>
    <w:rsid w:val="67452B44"/>
    <w:rsid w:val="67F51E74"/>
    <w:rsid w:val="68721717"/>
    <w:rsid w:val="68A8338A"/>
    <w:rsid w:val="68E65C61"/>
    <w:rsid w:val="6A845B96"/>
    <w:rsid w:val="6B596BBE"/>
    <w:rsid w:val="6BA53BB1"/>
    <w:rsid w:val="6BC54253"/>
    <w:rsid w:val="6C2E3BA6"/>
    <w:rsid w:val="6CD20DEF"/>
    <w:rsid w:val="6D1C4347"/>
    <w:rsid w:val="6D4A4A10"/>
    <w:rsid w:val="6D8223FC"/>
    <w:rsid w:val="6D8617C0"/>
    <w:rsid w:val="6EBE40C1"/>
    <w:rsid w:val="6F095F78"/>
    <w:rsid w:val="6FAF3250"/>
    <w:rsid w:val="6FD26F3F"/>
    <w:rsid w:val="702459EC"/>
    <w:rsid w:val="70514307"/>
    <w:rsid w:val="70F03B20"/>
    <w:rsid w:val="71BE59CD"/>
    <w:rsid w:val="72C01F0A"/>
    <w:rsid w:val="72C45265"/>
    <w:rsid w:val="73AB1F81"/>
    <w:rsid w:val="740D392B"/>
    <w:rsid w:val="741B7106"/>
    <w:rsid w:val="74542618"/>
    <w:rsid w:val="74844CAB"/>
    <w:rsid w:val="755D54FC"/>
    <w:rsid w:val="75866801"/>
    <w:rsid w:val="76393874"/>
    <w:rsid w:val="768F28BE"/>
    <w:rsid w:val="76F53C3E"/>
    <w:rsid w:val="78AC657F"/>
    <w:rsid w:val="78E411B3"/>
    <w:rsid w:val="78E75809"/>
    <w:rsid w:val="79030169"/>
    <w:rsid w:val="7A903C7E"/>
    <w:rsid w:val="7B237B5B"/>
    <w:rsid w:val="7B252618"/>
    <w:rsid w:val="7B5F57BB"/>
    <w:rsid w:val="7C29469A"/>
    <w:rsid w:val="7DB3215D"/>
    <w:rsid w:val="7EB73ECF"/>
    <w:rsid w:val="7EC62364"/>
    <w:rsid w:val="7EE30455"/>
    <w:rsid w:val="7F7122D0"/>
    <w:rsid w:val="7FA34CF3"/>
    <w:rsid w:val="7FA7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tabs>
        <w:tab w:val="left" w:pos="-1440"/>
      </w:tabs>
      <w:spacing w:after="0" w:line="360" w:lineRule="auto"/>
      <w:ind w:left="176" w:leftChars="0" w:firstLine="420" w:firstLineChars="200"/>
    </w:pPr>
    <w:rPr>
      <w:rFonts w:ascii="仿宋" w:hAnsi="Times New Roman" w:eastAsia="仿宋"/>
      <w:kern w:val="2"/>
      <w:szCs w:val="24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qFormat/>
    <w:uiPriority w:val="1"/>
    <w:pPr>
      <w:ind w:left="1068"/>
    </w:pPr>
    <w:rPr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styleId="9">
    <w:name w:val="Strong"/>
    <w:basedOn w:val="8"/>
    <w:qFormat/>
    <w:uiPriority w:val="99"/>
    <w:rPr>
      <w:rFonts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chinaunicom</Company>
  <Pages>7</Pages>
  <Words>1647</Words>
  <Characters>1772</Characters>
  <Lines>22</Lines>
  <Paragraphs>6</Paragraphs>
  <TotalTime>129</TotalTime>
  <ScaleCrop>false</ScaleCrop>
  <LinksUpToDate>false</LinksUpToDate>
  <CharactersWithSpaces>1911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2022-04-15T09:21:00Z</dcterms:created>
  <dc:creator>Administrator</dc:creator>
  <cp:lastModifiedBy>冰冰⊙▽⊙＊</cp:lastModifiedBy>
  <dcterms:modified xsi:type="dcterms:W3CDTF">2022-06-27T04:51:58Z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249F119276D94B0C8BD4C42ADC6CD85C</vt:lpwstr>
  </property>
</Properties>
</file>