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60" w:firstLineChars="50"/>
        <w:jc w:val="center"/>
        <w:rPr>
          <w:rFonts w:ascii="微软雅黑" w:hAnsi="微软雅黑" w:eastAsia="微软雅黑"/>
          <w:b/>
          <w:bCs/>
          <w:color w:val="FF000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战略寻源&amp;供应商评估选择评估与管理</w:t>
      </w:r>
      <w:r>
        <w:rPr>
          <w:rFonts w:hint="eastAsia" w:ascii="微软雅黑" w:hAnsi="微软雅黑" w:eastAsia="微软雅黑"/>
          <w:b/>
          <w:bCs/>
          <w:color w:val="FF0000"/>
          <w:sz w:val="22"/>
          <w:szCs w:val="22"/>
        </w:rPr>
        <w:t>（</w:t>
      </w:r>
      <w:r>
        <w:rPr>
          <w:rFonts w:ascii="微软雅黑" w:hAnsi="微软雅黑" w:eastAsia="微软雅黑"/>
          <w:b/>
          <w:bCs/>
          <w:color w:val="FF0000"/>
          <w:sz w:val="22"/>
          <w:szCs w:val="22"/>
        </w:rPr>
        <w:t>2</w:t>
      </w:r>
      <w:r>
        <w:rPr>
          <w:rFonts w:hint="eastAsia" w:ascii="微软雅黑" w:hAnsi="微软雅黑" w:eastAsia="微软雅黑"/>
          <w:b/>
          <w:bCs/>
          <w:color w:val="FF0000"/>
          <w:sz w:val="22"/>
          <w:szCs w:val="22"/>
        </w:rPr>
        <w:t>天）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</w:p>
    <w:p>
      <w:pPr>
        <w:adjustRightInd w:val="0"/>
        <w:snapToGrid w:val="0"/>
        <w:ind w:left="1260" w:hanging="1260" w:hangingChars="600"/>
        <w:rPr>
          <w:rFonts w:ascii="微软雅黑" w:hAnsi="微软雅黑" w:eastAsia="微软雅黑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</w:rPr>
        <w:t>采购经理、主管、采购工程师、以及想提高供应商开发能力和供应商管理相关人员。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rPr>
          <w:rFonts w:ascii="微软雅黑" w:hAnsi="微软雅黑" w:eastAsia="微软雅黑"/>
          <w:b/>
          <w:szCs w:val="21"/>
        </w:rPr>
        <w:t>4200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课程背景：</w:t>
      </w: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b/>
          <w:color w:val="00B0F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宋体" w:hAnsi="宋体" w:cs="宋体"/>
          <w:kern w:val="0"/>
          <w:sz w:val="20"/>
          <w:szCs w:val="20"/>
        </w:rPr>
        <w:t xml:space="preserve">  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探讨性地学习和了解在当前激烈供应链竞争的状况下，采购和物料管理在范围、流程、职责、地位和未来趋势等诸方面的特点和发生变化，掌握初选开始到供应商日常管理的考评流程、组织方式、评估工具和手段，并探析如何进一步供应库优化和供应商管理和发展的有效途径。掌握造成供应品质及交期的本质原因，学会应用系统方法和根本原因分析法避免交付品质问题、交货延误和交货期过长的“病症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  <w:sectPr>
          <w:type w:val="continuous"/>
          <w:pgSz w:w="11906" w:h="16838"/>
          <w:pgMar w:top="1134" w:right="1286" w:bottom="709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第一部分：供应商战略寻源开发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什么是供应商寻源战略？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供应商寻源策略的构成要素有哪些？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什么是品类管理？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如何界定采购品类范围？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如何进行支出分析？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如何进行采购品类需求分析？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采购品类划分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间接采购品类划分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采购品类支出与趋势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品类的定位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品类管理的策略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小组谈论与练习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7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如何进行供应市场分析？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8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如何进行采购件的价格分析与成本分析？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供应商定价模式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供应商价格分解与成本分析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成本分析模型</w:t>
      </w:r>
    </w:p>
    <w:p>
      <w:pPr>
        <w:numPr>
          <w:ilvl w:val="0"/>
          <w:numId w:val="1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小组谈论与练习</w:t>
      </w:r>
    </w:p>
    <w:p>
      <w:pPr>
        <w:numPr>
          <w:ilvl w:val="0"/>
          <w:numId w:val="2"/>
        </w:num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八大采购杠杆及采购策略的选择</w:t>
      </w:r>
    </w:p>
    <w:p>
      <w:pPr>
        <w:numPr>
          <w:ilvl w:val="0"/>
          <w:numId w:val="3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采购杠杆的应用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10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采购策略的风险评估与应对分析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11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制定采购寻源策略的实施计划供应商开发寻源流程</w:t>
      </w:r>
    </w:p>
    <w:p>
      <w:pPr>
        <w:adjustRightInd w:val="0"/>
        <w:snapToGrid w:val="0"/>
        <w:rPr>
          <w:rFonts w:hint="eastAsia" w:ascii="微软雅黑" w:hAnsi="微软雅黑" w:eastAsia="微软雅黑"/>
          <w:b/>
          <w:bCs/>
          <w:szCs w:val="21"/>
          <w:lang w:eastAsia="zh-CN"/>
        </w:rPr>
      </w:pPr>
      <w:r>
        <w:rPr>
          <w:rFonts w:hint="eastAsia" w:ascii="微软雅黑" w:hAnsi="微软雅黑" w:eastAsia="微软雅黑"/>
          <w:b/>
          <w:bCs/>
          <w:szCs w:val="21"/>
          <w:lang w:eastAsia="zh-CN"/>
        </w:rPr>
        <w:t>案例分享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第二部分：供应商评估与选择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典型的供应商评估项目与标准有哪些？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如何从三张表了解供应商的营运能力与可持续性发展力？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价格／成本分析常用的方法和工具有哪些？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如何选择合适的成本／价格分析方法与付款条款？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 xml:space="preserve">现场访问看什么？ 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供应商执行能力的评估与分析有哪些方面？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7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怎样进行供应商质量体系审核？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8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供应商评估的常用模型有哪些？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9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怎样识别和评估供应商的潜在风险？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10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供应商评估与选择的实施要点有哪些？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第三部分：供应商绩效管理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供应商管理的主要纬度有哪些？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怎样进行供应商日常QCD管理？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怎样进行供应商绩效评审与反馈？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怎样维护与供应商的合作关系？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怎样进行供应商分级管理？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如何管理独家供应商？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第四部分：供应商关系与发展</w:t>
      </w:r>
    </w:p>
    <w:p>
      <w:pPr>
        <w:numPr>
          <w:ilvl w:val="0"/>
          <w:numId w:val="4"/>
        </w:numPr>
        <w:adjustRightInd w:val="0"/>
        <w:snapToGrid w:val="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供应商偏好矩阵与应用</w:t>
      </w:r>
    </w:p>
    <w:p>
      <w:pPr>
        <w:numPr>
          <w:ilvl w:val="0"/>
          <w:numId w:val="5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品类定位矩阵</w:t>
      </w:r>
    </w:p>
    <w:p>
      <w:pPr>
        <w:numPr>
          <w:ilvl w:val="0"/>
          <w:numId w:val="5"/>
        </w:numPr>
        <w:adjustRightInd w:val="0"/>
        <w:snapToGrid w:val="0"/>
        <w:ind w:left="420" w:leftChars="0" w:hanging="420" w:firstLineChars="0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eastAsia="zh-CN"/>
        </w:rPr>
        <w:t>供应商偏好模型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供应商分类及关系管理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供应商发展计划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供应商发展的途径与方法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供应商品质绩效的管理重点（PPM、DPMO、FTY、RTY等）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szCs w:val="21"/>
        </w:rPr>
        <w:t>教会供应商使用五大核心质量管理手法及7个基本的品质管理工具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709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ascii="微软雅黑" w:hAnsi="微软雅黑" w:eastAsia="微软雅黑" w:cs="宋体"/>
          <w:color w:val="000000"/>
          <w:kern w:val="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93345</wp:posOffset>
            </wp:positionV>
            <wp:extent cx="1645285" cy="1771015"/>
            <wp:effectExtent l="323850" t="323850" r="317500" b="32448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71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Sam Wang</w:t>
      </w:r>
    </w:p>
    <w:p>
      <w:pPr>
        <w:pStyle w:val="23"/>
        <w:widowControl/>
        <w:numPr>
          <w:ilvl w:val="0"/>
          <w:numId w:val="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中国物流采购联合会（CFLP）采购专家</w:t>
      </w:r>
    </w:p>
    <w:p>
      <w:pPr>
        <w:pStyle w:val="23"/>
        <w:widowControl/>
        <w:numPr>
          <w:ilvl w:val="0"/>
          <w:numId w:val="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美国供应管理学会职业认证培训CPM/CPSM授权讲师</w:t>
      </w:r>
    </w:p>
    <w:p>
      <w:pPr>
        <w:pStyle w:val="23"/>
        <w:widowControl/>
        <w:numPr>
          <w:ilvl w:val="0"/>
          <w:numId w:val="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南京大学国际MBA</w:t>
      </w:r>
    </w:p>
    <w:p>
      <w:pPr>
        <w:pStyle w:val="23"/>
        <w:widowControl/>
        <w:numPr>
          <w:ilvl w:val="0"/>
          <w:numId w:val="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注册经济师</w:t>
      </w:r>
    </w:p>
    <w:p>
      <w:pPr>
        <w:pStyle w:val="23"/>
        <w:widowControl/>
        <w:numPr>
          <w:ilvl w:val="0"/>
          <w:numId w:val="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注册质量工程师</w:t>
      </w:r>
    </w:p>
    <w:p>
      <w:pPr>
        <w:pStyle w:val="23"/>
        <w:widowControl/>
        <w:numPr>
          <w:ilvl w:val="0"/>
          <w:numId w:val="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注册采购经理人(C.P.M.)</w:t>
      </w:r>
    </w:p>
    <w:p>
      <w:pPr>
        <w:pStyle w:val="23"/>
        <w:widowControl/>
        <w:numPr>
          <w:ilvl w:val="0"/>
          <w:numId w:val="6"/>
        </w:numPr>
        <w:tabs>
          <w:tab w:val="left" w:pos="668"/>
        </w:tabs>
        <w:adjustRightInd w:val="0"/>
        <w:snapToGrid w:val="0"/>
        <w:ind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注册需求预测规划师(CDMP)</w:t>
      </w:r>
    </w:p>
    <w:p>
      <w:pPr>
        <w:pStyle w:val="23"/>
        <w:widowControl/>
        <w:numPr>
          <w:ilvl w:val="0"/>
          <w:numId w:val="6"/>
        </w:numPr>
        <w:tabs>
          <w:tab w:val="left" w:pos="426"/>
        </w:tabs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拥有二十年在知名中资、台资和美资企业的从业经历。在包括原化工部直属南京化工厂、美国ADC电讯（南京工厂及上海办事处）、多佛集团（南京工厂）、捷普科技（全球供应链）等企业中，担任过物流主管、生产经理、运营经理及全球供应与采购经理等职务。专于采购与供应管理，及生产计划与运营管理。</w:t>
      </w:r>
    </w:p>
    <w:p>
      <w:pPr>
        <w:pStyle w:val="23"/>
        <w:widowControl/>
        <w:numPr>
          <w:ilvl w:val="0"/>
          <w:numId w:val="6"/>
        </w:numPr>
        <w:tabs>
          <w:tab w:val="left" w:pos="426"/>
        </w:tabs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为中国铁路物资天津分公司、上海宝钢、芜湖奇瑞、盐城东风悦达起亚、上海延锋江森、南京金三力、金陵拜耳、法国洁福、蓝星安迪苏（中法合资）、瑞典阿特拉斯科普柯、瑞士喜利得、荷兰阿斯麦、美国赛默飞世尔、大唐电讯、长春一汽、山东鸿鑫、深圳浩方、法国佛吉亚、法国阿尔卡特朗讯、苏泊尔、深圳仕瑞达、大猫电商、壳牌统一等外资、合资、国资及私营企业进行过内训与咨询服务。</w:t>
      </w:r>
    </w:p>
    <w:p>
      <w:pPr>
        <w:pStyle w:val="23"/>
        <w:widowControl/>
        <w:numPr>
          <w:ilvl w:val="0"/>
          <w:numId w:val="6"/>
        </w:numPr>
        <w:tabs>
          <w:tab w:val="left" w:pos="426"/>
        </w:tabs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在《中国采购发展报告》及《全球采购》专业杂志上发表过“E 采购与电子商务的发展”、“是加强供应链风险管理的时候了”、“关于构建与选择信息化采购系统的一点建议”、“供应基库合理化”、“2013年采购人力资源与绩效调查报告” 、“化工行业采购中的HSE” 、“电子元器件采购面临的挑战与应对”等专业文章。</w:t>
      </w:r>
    </w:p>
    <w:p>
      <w:pPr>
        <w:pStyle w:val="23"/>
        <w:widowControl/>
        <w:numPr>
          <w:ilvl w:val="0"/>
          <w:numId w:val="6"/>
        </w:numPr>
        <w:tabs>
          <w:tab w:val="left" w:pos="426"/>
        </w:tabs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北京“2013年中国跨境电商供应链峰会” 之“掘金跨境电商供应链”主题论坛的嘉宾主持（中国物流与采购联合会物联网技术与应用专业委员会主办）</w:t>
      </w:r>
    </w:p>
    <w:p>
      <w:pPr>
        <w:pStyle w:val="23"/>
        <w:widowControl/>
        <w:numPr>
          <w:ilvl w:val="0"/>
          <w:numId w:val="6"/>
        </w:numPr>
        <w:tabs>
          <w:tab w:val="left" w:pos="426"/>
        </w:tabs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深圳“2014年中国供应链计划与库存管控论坛”嘉宾主持（深圳工业总会供应链委员会主办）</w:t>
      </w:r>
    </w:p>
    <w:p>
      <w:pPr>
        <w:pStyle w:val="23"/>
        <w:widowControl/>
        <w:numPr>
          <w:ilvl w:val="0"/>
          <w:numId w:val="6"/>
        </w:numPr>
        <w:tabs>
          <w:tab w:val="left" w:pos="426"/>
        </w:tabs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上海“2014企业价值协同规划管理论坛”嘉宾主持。（上海大学需求链研究院主办）</w:t>
      </w:r>
    </w:p>
    <w:p>
      <w:pPr>
        <w:pStyle w:val="23"/>
        <w:widowControl/>
        <w:numPr>
          <w:ilvl w:val="0"/>
          <w:numId w:val="6"/>
        </w:numPr>
        <w:tabs>
          <w:tab w:val="left" w:pos="426"/>
        </w:tabs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广州“第四届珠三角物流发展合作论坛”嘉宾主持（中国物流与采购联合会物联网技术与应用专业委员会主办）</w:t>
      </w:r>
    </w:p>
    <w:p>
      <w:pPr>
        <w:pStyle w:val="23"/>
        <w:widowControl/>
        <w:numPr>
          <w:ilvl w:val="0"/>
          <w:numId w:val="6"/>
        </w:numPr>
        <w:tabs>
          <w:tab w:val="left" w:pos="426"/>
        </w:tabs>
        <w:adjustRightInd w:val="0"/>
        <w:snapToGrid w:val="0"/>
        <w:ind w:left="0" w:firstLine="0" w:firstLineChars="0"/>
        <w:jc w:val="left"/>
        <w:rPr>
          <w:rFonts w:ascii="微软雅黑" w:hAnsi="微软雅黑" w:eastAsia="微软雅黑" w:cs="宋体"/>
          <w:color w:val="000000"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上海“2014中国电子供应链高峰论坛”演讲嘉宾（中国物流与采购联合会采购与供应链管理专业委员会主办）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widowControl/>
        <w:tabs>
          <w:tab w:val="left" w:pos="668"/>
        </w:tabs>
        <w:adjustRightInd w:val="0"/>
        <w:snapToGrid w:val="0"/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adjustRightInd w:val="0"/>
        <w:snapToGrid w:val="0"/>
        <w:ind w:left="108"/>
        <w:jc w:val="center"/>
        <w:rPr>
          <w:rFonts w:eastAsia="微软雅黑"/>
          <w:color w:val="FF0000"/>
          <w:sz w:val="44"/>
        </w:rPr>
      </w:pPr>
    </w:p>
    <w:tbl>
      <w:tblPr>
        <w:tblStyle w:val="11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709"/>
        <w:gridCol w:w="1354"/>
        <w:gridCol w:w="2073"/>
        <w:gridCol w:w="1446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136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795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3457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07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73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41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73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41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073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241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53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241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与供应链培训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81B766"/>
    <w:multiLevelType w:val="singleLevel"/>
    <w:tmpl w:val="CE81B76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FAE8DD67"/>
    <w:multiLevelType w:val="singleLevel"/>
    <w:tmpl w:val="FAE8DD67"/>
    <w:lvl w:ilvl="0" w:tentative="0">
      <w:start w:val="9"/>
      <w:numFmt w:val="decimal"/>
      <w:suff w:val="nothing"/>
      <w:lvlText w:val="%1、"/>
      <w:lvlJc w:val="left"/>
    </w:lvl>
  </w:abstractNum>
  <w:abstractNum w:abstractNumId="2">
    <w:nsid w:val="06E0684E"/>
    <w:multiLevelType w:val="multilevel"/>
    <w:tmpl w:val="06E0684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EE39712"/>
    <w:multiLevelType w:val="singleLevel"/>
    <w:tmpl w:val="2EE3971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A86B5C5"/>
    <w:multiLevelType w:val="singleLevel"/>
    <w:tmpl w:val="5A86B5C5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41CB10B"/>
    <w:multiLevelType w:val="singleLevel"/>
    <w:tmpl w:val="741CB10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34E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2D9A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19E4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3D17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3FE4"/>
    <w:rsid w:val="005B6DA2"/>
    <w:rsid w:val="005B74B8"/>
    <w:rsid w:val="005C093C"/>
    <w:rsid w:val="005C0CAD"/>
    <w:rsid w:val="005D0511"/>
    <w:rsid w:val="005D0CA1"/>
    <w:rsid w:val="005D390C"/>
    <w:rsid w:val="005D5877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409B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E1EAE"/>
    <w:rsid w:val="008F0FA0"/>
    <w:rsid w:val="008F7A77"/>
    <w:rsid w:val="0090253E"/>
    <w:rsid w:val="00902F28"/>
    <w:rsid w:val="00911CD7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11B5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31A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13815"/>
    <w:rsid w:val="00C14843"/>
    <w:rsid w:val="00C148BA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7C5E"/>
    <w:rsid w:val="00C724AC"/>
    <w:rsid w:val="00C77964"/>
    <w:rsid w:val="00C8238E"/>
    <w:rsid w:val="00C86C83"/>
    <w:rsid w:val="00C918CE"/>
    <w:rsid w:val="00C93E7B"/>
    <w:rsid w:val="00C9666F"/>
    <w:rsid w:val="00C9698B"/>
    <w:rsid w:val="00CA1FA2"/>
    <w:rsid w:val="00CA2D7B"/>
    <w:rsid w:val="00CA50D3"/>
    <w:rsid w:val="00CA56BD"/>
    <w:rsid w:val="00CA693F"/>
    <w:rsid w:val="00CA6A71"/>
    <w:rsid w:val="00CB0A30"/>
    <w:rsid w:val="00CB444C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D30CB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0711F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3D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2576010D"/>
    <w:rsid w:val="2D936D47"/>
    <w:rsid w:val="32300F9D"/>
    <w:rsid w:val="37C563D5"/>
    <w:rsid w:val="49BA30F1"/>
    <w:rsid w:val="4EBE7ECD"/>
    <w:rsid w:val="55EF1E95"/>
    <w:rsid w:val="5E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B8D423-234C-43C8-B4CC-D2028D751C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331</Words>
  <Characters>1892</Characters>
  <Lines>15</Lines>
  <Paragraphs>4</Paragraphs>
  <TotalTime>15</TotalTime>
  <ScaleCrop>false</ScaleCrop>
  <LinksUpToDate>false</LinksUpToDate>
  <CharactersWithSpaces>2219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pc</cp:lastModifiedBy>
  <cp:lastPrinted>2007-07-25T08:25:00Z</cp:lastPrinted>
  <dcterms:modified xsi:type="dcterms:W3CDTF">2018-12-17T05:15:01Z</dcterms:modified>
  <dc:title>帕迪课程</dc:title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