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C</w:t>
      </w:r>
      <w:r>
        <w:rPr>
          <w:rFonts w:ascii="微软雅黑" w:hAnsi="微软雅黑" w:eastAsia="微软雅黑"/>
          <w:b/>
          <w:bCs/>
          <w:color w:val="FF0000"/>
          <w:sz w:val="32"/>
          <w:szCs w:val="32"/>
        </w:rPr>
        <w:t>PSM</w:t>
      </w:r>
      <w:r>
        <w:rPr>
          <w:rFonts w:hint="eastAsia" w:ascii="微软雅黑" w:hAnsi="微软雅黑" w:eastAsia="微软雅黑"/>
          <w:b/>
          <w:bCs/>
          <w:color w:val="FF0000"/>
          <w:sz w:val="32"/>
          <w:szCs w:val="32"/>
        </w:rPr>
        <w:t>模块三:供应管理领导力</w:t>
      </w:r>
    </w:p>
    <w:p>
      <w:pPr>
        <w:spacing w:line="360" w:lineRule="auto"/>
        <w:ind w:firstLine="110" w:firstLineChars="50"/>
        <w:jc w:val="center"/>
        <w:rPr>
          <w:rFonts w:ascii="微软雅黑" w:hAnsi="微软雅黑" w:eastAsia="微软雅黑"/>
          <w:b/>
          <w:bCs/>
          <w:color w:val="FF0000"/>
          <w:sz w:val="22"/>
          <w:szCs w:val="22"/>
        </w:rPr>
      </w:pPr>
      <w:r>
        <w:rPr>
          <w:rFonts w:hint="eastAsia" w:ascii="微软雅黑" w:hAnsi="微软雅黑" w:eastAsia="微软雅黑"/>
          <w:bCs/>
          <w:color w:val="FF0000"/>
          <w:sz w:val="22"/>
          <w:szCs w:val="22"/>
        </w:rPr>
        <w:t>（本课程属于《CPSM供应管理专业人士认证》第三模块的培训内容）</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ind w:left="1260" w:hanging="1260" w:hangingChars="600"/>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希望提升和扩展如下供应链管理技能的各个层面专业人士。</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rFonts w:ascii="微软雅黑" w:hAnsi="微软雅黑" w:eastAsia="微软雅黑"/>
          <w:b/>
        </w:rPr>
        <w:t xml:space="preserve"> </w:t>
      </w:r>
      <w:r>
        <w:rPr>
          <w:rFonts w:ascii="微软雅黑" w:hAnsi="微软雅黑" w:eastAsia="微软雅黑"/>
          <w:b/>
          <w:szCs w:val="21"/>
        </w:rPr>
        <w:t>5400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课程背景：</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本课程注重世界级供应管理领导力的最佳实践，并包含了供应链管理中高绩效的供应管理的知识体系。</w:t>
      </w:r>
    </w:p>
    <w:p>
      <w:pPr>
        <w:adjustRightInd w:val="0"/>
        <w:snapToGrid w:val="0"/>
        <w:rPr>
          <w:rFonts w:ascii="微软雅黑" w:hAnsi="微软雅黑" w:eastAsia="微软雅黑"/>
        </w:rPr>
      </w:pPr>
      <w:r>
        <w:rPr>
          <w:rFonts w:hint="eastAsia" w:ascii="微软雅黑" w:hAnsi="微软雅黑" w:eastAsia="微软雅黑"/>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pPr>
        <w:adjustRightInd w:val="0"/>
        <w:snapToGrid w:val="0"/>
        <w:rPr>
          <w:rFonts w:ascii="微软雅黑" w:hAnsi="微软雅黑" w:eastAsia="微软雅黑"/>
        </w:rPr>
      </w:pPr>
      <w:r>
        <w:rPr>
          <w:rFonts w:hint="eastAsia" w:ascii="微软雅黑" w:hAnsi="微软雅黑" w:eastAsia="微软雅黑"/>
        </w:rPr>
        <w:t>◆ 高价值的会员服务： CFLP会员交流平台，学员将随时了解和掌握采购与供应管理领域的发展动态，获得全球最高水平的行业咨询信息服务。</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rPr>
        <w:t>◆ 中文授课、中英文对照考试：帮助学员最大程度理解CPSM课程的精髓和考试要点，最大程度地避免学员由于对题目含义错误理解而导致的失分，真正帮助学员顺利通过CPSM的考试和认证，使更多的中国采购管理从业人员获得ISM 颁发的全球通行的CPSM证书。</w:t>
      </w:r>
    </w:p>
    <w:p>
      <w:pPr>
        <w:widowControl/>
        <w:adjustRightInd w:val="0"/>
        <w:snapToGrid w:val="0"/>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课程大纲：</w:t>
      </w:r>
    </w:p>
    <w:p>
      <w:pPr>
        <w:adjustRightInd w:val="0"/>
        <w:snapToGrid w:val="0"/>
        <w:rPr>
          <w:rFonts w:ascii="微软雅黑" w:hAnsi="微软雅黑" w:eastAsia="微软雅黑"/>
          <w:b/>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szCs w:val="21"/>
        </w:rPr>
      </w:pPr>
      <w:r>
        <w:rPr>
          <w:rFonts w:hint="eastAsia" w:ascii="微软雅黑" w:hAnsi="微软雅黑" w:eastAsia="微软雅黑"/>
          <w:b/>
          <w:szCs w:val="21"/>
        </w:rPr>
        <w:t>一、供应管理领导力</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代表供应管理部门，参与组织范围或具体项目的目标设定、预算、人员编制和政策的决策。</w:t>
      </w:r>
    </w:p>
    <w:p>
      <w:pPr>
        <w:pStyle w:val="23"/>
        <w:numPr>
          <w:ilvl w:val="0"/>
          <w:numId w:val="2"/>
        </w:numPr>
        <w:adjustRightInd w:val="0"/>
        <w:snapToGrid w:val="0"/>
        <w:ind w:firstLineChars="0"/>
        <w:rPr>
          <w:rFonts w:ascii="微软雅黑" w:hAnsi="微软雅黑" w:eastAsia="微软雅黑"/>
          <w:szCs w:val="21"/>
        </w:rPr>
      </w:pPr>
      <w:r>
        <w:rPr>
          <w:rFonts w:ascii="微软雅黑" w:hAnsi="微软雅黑" w:eastAsia="微软雅黑"/>
          <w:szCs w:val="21"/>
        </w:rPr>
        <w:t>供应管理组织的宗旨</w:t>
      </w:r>
      <w:r>
        <w:rPr>
          <w:rFonts w:hint="eastAsia" w:ascii="微软雅黑" w:hAnsi="微软雅黑" w:eastAsia="微软雅黑"/>
          <w:szCs w:val="21"/>
        </w:rPr>
        <w:t>、</w:t>
      </w:r>
      <w:r>
        <w:rPr>
          <w:rFonts w:ascii="微软雅黑" w:hAnsi="微软雅黑" w:eastAsia="微软雅黑"/>
          <w:szCs w:val="21"/>
        </w:rPr>
        <w:t>流程和能力</w:t>
      </w:r>
    </w:p>
    <w:p>
      <w:pPr>
        <w:pStyle w:val="23"/>
        <w:numPr>
          <w:ilvl w:val="0"/>
          <w:numId w:val="2"/>
        </w:numPr>
        <w:adjustRightInd w:val="0"/>
        <w:snapToGrid w:val="0"/>
        <w:ind w:firstLineChars="0"/>
        <w:rPr>
          <w:rFonts w:ascii="微软雅黑" w:hAnsi="微软雅黑" w:eastAsia="微软雅黑"/>
          <w:szCs w:val="21"/>
        </w:rPr>
      </w:pPr>
      <w:r>
        <w:rPr>
          <w:rFonts w:ascii="微软雅黑" w:hAnsi="微软雅黑" w:eastAsia="微软雅黑"/>
          <w:szCs w:val="21"/>
        </w:rPr>
        <w:t>确定客户的需求</w:t>
      </w:r>
    </w:p>
    <w:p>
      <w:pPr>
        <w:pStyle w:val="23"/>
        <w:numPr>
          <w:ilvl w:val="0"/>
          <w:numId w:val="2"/>
        </w:numPr>
        <w:adjustRightInd w:val="0"/>
        <w:snapToGrid w:val="0"/>
        <w:ind w:firstLineChars="0"/>
        <w:rPr>
          <w:rFonts w:ascii="微软雅黑" w:hAnsi="微软雅黑" w:eastAsia="微软雅黑"/>
          <w:szCs w:val="21"/>
        </w:rPr>
      </w:pPr>
      <w:r>
        <w:rPr>
          <w:rFonts w:ascii="微软雅黑" w:hAnsi="微软雅黑" w:eastAsia="微软雅黑"/>
          <w:szCs w:val="21"/>
        </w:rPr>
        <w:t>企业流程和组织动态</w:t>
      </w:r>
    </w:p>
    <w:p>
      <w:pPr>
        <w:pStyle w:val="23"/>
        <w:numPr>
          <w:ilvl w:val="0"/>
          <w:numId w:val="2"/>
        </w:numPr>
        <w:adjustRightInd w:val="0"/>
        <w:snapToGrid w:val="0"/>
        <w:ind w:firstLineChars="0"/>
        <w:rPr>
          <w:rFonts w:ascii="微软雅黑" w:hAnsi="微软雅黑" w:eastAsia="微软雅黑"/>
          <w:szCs w:val="21"/>
        </w:rPr>
      </w:pPr>
      <w:r>
        <w:rPr>
          <w:rFonts w:ascii="微软雅黑" w:hAnsi="微软雅黑" w:eastAsia="微软雅黑"/>
          <w:szCs w:val="21"/>
        </w:rPr>
        <w:t>影响</w:t>
      </w:r>
    </w:p>
    <w:p>
      <w:pPr>
        <w:pStyle w:val="23"/>
        <w:numPr>
          <w:ilvl w:val="0"/>
          <w:numId w:val="2"/>
        </w:numPr>
        <w:adjustRightInd w:val="0"/>
        <w:snapToGrid w:val="0"/>
        <w:ind w:firstLineChars="0"/>
        <w:rPr>
          <w:rFonts w:ascii="微软雅黑" w:hAnsi="微软雅黑" w:eastAsia="微软雅黑"/>
          <w:szCs w:val="21"/>
        </w:rPr>
      </w:pPr>
      <w:r>
        <w:rPr>
          <w:rFonts w:ascii="微软雅黑" w:hAnsi="微软雅黑" w:eastAsia="微软雅黑"/>
          <w:szCs w:val="21"/>
        </w:rPr>
        <w:t>内部谈判和协同作用</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制定并实施业务计划以满足客户服务、企业利润和股本回报目标。</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公司目标</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业务计划的要素</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有关目标一致性的概念</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产品价格结构</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对利润的贡献</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业务计划流程</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优势</w:t>
      </w:r>
      <w:r>
        <w:rPr>
          <w:rFonts w:hint="eastAsia" w:ascii="微软雅黑" w:hAnsi="微软雅黑" w:eastAsia="微软雅黑"/>
          <w:szCs w:val="21"/>
        </w:rPr>
        <w:t>、</w:t>
      </w:r>
      <w:r>
        <w:rPr>
          <w:rFonts w:ascii="微软雅黑" w:hAnsi="微软雅黑" w:eastAsia="微软雅黑"/>
          <w:szCs w:val="21"/>
        </w:rPr>
        <w:t>劣势</w:t>
      </w:r>
      <w:r>
        <w:rPr>
          <w:rFonts w:hint="eastAsia" w:ascii="微软雅黑" w:hAnsi="微软雅黑" w:eastAsia="微软雅黑"/>
          <w:szCs w:val="21"/>
        </w:rPr>
        <w:t>、</w:t>
      </w:r>
      <w:r>
        <w:rPr>
          <w:rFonts w:ascii="微软雅黑" w:hAnsi="微软雅黑" w:eastAsia="微软雅黑"/>
          <w:szCs w:val="21"/>
        </w:rPr>
        <w:t>机会</w:t>
      </w:r>
      <w:r>
        <w:rPr>
          <w:rFonts w:hint="eastAsia" w:ascii="微软雅黑" w:hAnsi="微软雅黑" w:eastAsia="微软雅黑"/>
          <w:szCs w:val="21"/>
        </w:rPr>
        <w:t>、</w:t>
      </w:r>
      <w:r>
        <w:rPr>
          <w:rFonts w:ascii="微软雅黑" w:hAnsi="微软雅黑" w:eastAsia="微软雅黑"/>
          <w:szCs w:val="21"/>
        </w:rPr>
        <w:t>威胁分析</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财务衡量标准及其他指标</w:t>
      </w:r>
    </w:p>
    <w:p>
      <w:pPr>
        <w:pStyle w:val="23"/>
        <w:numPr>
          <w:ilvl w:val="0"/>
          <w:numId w:val="3"/>
        </w:numPr>
        <w:adjustRightInd w:val="0"/>
        <w:snapToGrid w:val="0"/>
        <w:ind w:firstLineChars="0"/>
        <w:rPr>
          <w:rFonts w:ascii="微软雅黑" w:hAnsi="微软雅黑" w:eastAsia="微软雅黑"/>
          <w:szCs w:val="21"/>
        </w:rPr>
      </w:pPr>
      <w:r>
        <w:rPr>
          <w:rFonts w:ascii="微软雅黑" w:hAnsi="微软雅黑" w:eastAsia="微软雅黑"/>
          <w:szCs w:val="21"/>
        </w:rPr>
        <w:t>需求导向原则</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根据市场情况、业务需求和现有资源，制定、执行和监控供应管理战略计划和运作计划。</w:t>
      </w:r>
    </w:p>
    <w:p>
      <w:pPr>
        <w:pStyle w:val="23"/>
        <w:numPr>
          <w:ilvl w:val="0"/>
          <w:numId w:val="4"/>
        </w:numPr>
        <w:adjustRightInd w:val="0"/>
        <w:snapToGrid w:val="0"/>
        <w:ind w:firstLineChars="0"/>
        <w:rPr>
          <w:rFonts w:ascii="微软雅黑" w:hAnsi="微软雅黑" w:eastAsia="微软雅黑"/>
          <w:szCs w:val="21"/>
        </w:rPr>
      </w:pPr>
      <w:r>
        <w:rPr>
          <w:rFonts w:ascii="微软雅黑" w:hAnsi="微软雅黑" w:eastAsia="微软雅黑"/>
          <w:szCs w:val="21"/>
        </w:rPr>
        <w:t>战略供应管理计划</w:t>
      </w:r>
    </w:p>
    <w:p>
      <w:pPr>
        <w:pStyle w:val="23"/>
        <w:numPr>
          <w:ilvl w:val="0"/>
          <w:numId w:val="4"/>
        </w:numPr>
        <w:adjustRightInd w:val="0"/>
        <w:snapToGrid w:val="0"/>
        <w:ind w:firstLineChars="0"/>
        <w:rPr>
          <w:rFonts w:ascii="微软雅黑" w:hAnsi="微软雅黑" w:eastAsia="微软雅黑"/>
          <w:szCs w:val="21"/>
        </w:rPr>
      </w:pPr>
      <w:r>
        <w:rPr>
          <w:rFonts w:ascii="微软雅黑" w:hAnsi="微软雅黑" w:eastAsia="微软雅黑"/>
          <w:szCs w:val="21"/>
        </w:rPr>
        <w:t>运营计划</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计划/开发/提供运营政策、纲要和程序。为达到最佳的结构的需要做必要修改。</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管理控制：事前控制、事中控制、事后控制</w:t>
      </w:r>
    </w:p>
    <w:p>
      <w:pPr>
        <w:pStyle w:val="23"/>
        <w:numPr>
          <w:ilvl w:val="0"/>
          <w:numId w:val="5"/>
        </w:numPr>
        <w:adjustRightInd w:val="0"/>
        <w:snapToGrid w:val="0"/>
        <w:ind w:firstLineChars="0"/>
        <w:rPr>
          <w:rFonts w:ascii="微软雅黑" w:hAnsi="微软雅黑" w:eastAsia="微软雅黑"/>
          <w:szCs w:val="21"/>
        </w:rPr>
      </w:pPr>
      <w:r>
        <w:rPr>
          <w:rFonts w:ascii="微软雅黑" w:hAnsi="微软雅黑" w:eastAsia="微软雅黑"/>
          <w:szCs w:val="21"/>
        </w:rPr>
        <w:t>管理控制的最佳实践</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必要时制定、实施组织供应管理政策的改变。</w:t>
      </w:r>
    </w:p>
    <w:p>
      <w:pPr>
        <w:pStyle w:val="23"/>
        <w:numPr>
          <w:ilvl w:val="0"/>
          <w:numId w:val="6"/>
        </w:numPr>
        <w:adjustRightInd w:val="0"/>
        <w:snapToGrid w:val="0"/>
        <w:ind w:firstLineChars="0"/>
        <w:rPr>
          <w:rFonts w:ascii="微软雅黑" w:hAnsi="微软雅黑" w:eastAsia="微软雅黑"/>
          <w:szCs w:val="21"/>
        </w:rPr>
      </w:pPr>
      <w:r>
        <w:rPr>
          <w:rFonts w:ascii="微软雅黑" w:hAnsi="微软雅黑" w:eastAsia="微软雅黑"/>
          <w:szCs w:val="21"/>
        </w:rPr>
        <w:t>组织正常和规程</w:t>
      </w:r>
    </w:p>
    <w:p>
      <w:pPr>
        <w:pStyle w:val="23"/>
        <w:numPr>
          <w:ilvl w:val="0"/>
          <w:numId w:val="6"/>
        </w:numPr>
        <w:adjustRightInd w:val="0"/>
        <w:snapToGrid w:val="0"/>
        <w:ind w:firstLineChars="0"/>
        <w:rPr>
          <w:rFonts w:ascii="微软雅黑" w:hAnsi="微软雅黑" w:eastAsia="微软雅黑"/>
          <w:szCs w:val="21"/>
        </w:rPr>
      </w:pPr>
      <w:r>
        <w:rPr>
          <w:rFonts w:ascii="微软雅黑" w:hAnsi="微软雅黑" w:eastAsia="微软雅黑"/>
          <w:szCs w:val="21"/>
        </w:rPr>
        <w:t>供应管理的责任范围</w:t>
      </w:r>
    </w:p>
    <w:p>
      <w:pPr>
        <w:pStyle w:val="23"/>
        <w:numPr>
          <w:ilvl w:val="0"/>
          <w:numId w:val="6"/>
        </w:numPr>
        <w:adjustRightInd w:val="0"/>
        <w:snapToGrid w:val="0"/>
        <w:ind w:firstLineChars="0"/>
        <w:rPr>
          <w:rFonts w:ascii="微软雅黑" w:hAnsi="微软雅黑" w:eastAsia="微软雅黑"/>
          <w:szCs w:val="21"/>
        </w:rPr>
      </w:pPr>
      <w:r>
        <w:rPr>
          <w:rFonts w:ascii="微软雅黑" w:hAnsi="微软雅黑" w:eastAsia="微软雅黑"/>
          <w:szCs w:val="21"/>
        </w:rPr>
        <w:t>供应管理在组织战略中的作用</w:t>
      </w:r>
    </w:p>
    <w:p>
      <w:pPr>
        <w:pStyle w:val="23"/>
        <w:numPr>
          <w:ilvl w:val="0"/>
          <w:numId w:val="6"/>
        </w:numPr>
        <w:adjustRightInd w:val="0"/>
        <w:snapToGrid w:val="0"/>
        <w:ind w:firstLineChars="0"/>
        <w:rPr>
          <w:rFonts w:ascii="微软雅黑" w:hAnsi="微软雅黑" w:eastAsia="微软雅黑"/>
          <w:szCs w:val="21"/>
        </w:rPr>
      </w:pPr>
      <w:r>
        <w:rPr>
          <w:rFonts w:ascii="微软雅黑" w:hAnsi="微软雅黑" w:eastAsia="微软雅黑"/>
          <w:szCs w:val="21"/>
        </w:rPr>
        <w:t>变更管理</w:t>
      </w:r>
    </w:p>
    <w:p>
      <w:pPr>
        <w:pStyle w:val="23"/>
        <w:numPr>
          <w:ilvl w:val="0"/>
          <w:numId w:val="6"/>
        </w:numPr>
        <w:adjustRightInd w:val="0"/>
        <w:snapToGrid w:val="0"/>
        <w:ind w:firstLineChars="0"/>
        <w:rPr>
          <w:rFonts w:ascii="微软雅黑" w:hAnsi="微软雅黑" w:eastAsia="微软雅黑"/>
          <w:szCs w:val="21"/>
        </w:rPr>
      </w:pPr>
      <w:r>
        <w:rPr>
          <w:rFonts w:ascii="微软雅黑" w:hAnsi="微软雅黑" w:eastAsia="微软雅黑"/>
          <w:szCs w:val="21"/>
        </w:rPr>
        <w:t>法律上的考量</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参与公司的收购、兼并、资产剥离，确保供应的连续性，并捕捉协同过程中带来机会。</w:t>
      </w:r>
    </w:p>
    <w:p>
      <w:pPr>
        <w:pStyle w:val="23"/>
        <w:numPr>
          <w:ilvl w:val="0"/>
          <w:numId w:val="7"/>
        </w:numPr>
        <w:adjustRightInd w:val="0"/>
        <w:snapToGrid w:val="0"/>
        <w:ind w:firstLineChars="0"/>
        <w:rPr>
          <w:rFonts w:ascii="微软雅黑" w:hAnsi="微软雅黑" w:eastAsia="微软雅黑"/>
          <w:szCs w:val="21"/>
        </w:rPr>
      </w:pPr>
      <w:r>
        <w:rPr>
          <w:rFonts w:ascii="微软雅黑" w:hAnsi="微软雅黑" w:eastAsia="微软雅黑"/>
          <w:szCs w:val="21"/>
        </w:rPr>
        <w:t>合并</w:t>
      </w:r>
      <w:r>
        <w:rPr>
          <w:rFonts w:hint="eastAsia" w:ascii="微软雅黑" w:hAnsi="微软雅黑" w:eastAsia="微软雅黑"/>
          <w:szCs w:val="21"/>
        </w:rPr>
        <w:t>、</w:t>
      </w:r>
      <w:r>
        <w:rPr>
          <w:rFonts w:ascii="微软雅黑" w:hAnsi="微软雅黑" w:eastAsia="微软雅黑"/>
          <w:szCs w:val="21"/>
        </w:rPr>
        <w:t>收购</w:t>
      </w:r>
      <w:r>
        <w:rPr>
          <w:rFonts w:hint="eastAsia" w:ascii="微软雅黑" w:hAnsi="微软雅黑" w:eastAsia="微软雅黑"/>
          <w:szCs w:val="21"/>
        </w:rPr>
        <w:t>、</w:t>
      </w:r>
      <w:r>
        <w:rPr>
          <w:rFonts w:ascii="微软雅黑" w:hAnsi="微软雅黑" w:eastAsia="微软雅黑"/>
          <w:szCs w:val="21"/>
        </w:rPr>
        <w:t>剥离</w:t>
      </w:r>
    </w:p>
    <w:p>
      <w:pPr>
        <w:pStyle w:val="23"/>
        <w:numPr>
          <w:ilvl w:val="0"/>
          <w:numId w:val="7"/>
        </w:numPr>
        <w:adjustRightInd w:val="0"/>
        <w:snapToGrid w:val="0"/>
        <w:ind w:firstLineChars="0"/>
        <w:rPr>
          <w:rFonts w:ascii="微软雅黑" w:hAnsi="微软雅黑" w:eastAsia="微软雅黑"/>
          <w:szCs w:val="21"/>
        </w:rPr>
      </w:pPr>
      <w:r>
        <w:rPr>
          <w:rFonts w:ascii="微软雅黑" w:hAnsi="微软雅黑" w:eastAsia="微软雅黑"/>
          <w:szCs w:val="21"/>
        </w:rPr>
        <w:t>评估资产和企业价值的方法</w:t>
      </w:r>
    </w:p>
    <w:p>
      <w:pPr>
        <w:pStyle w:val="23"/>
        <w:numPr>
          <w:ilvl w:val="0"/>
          <w:numId w:val="7"/>
        </w:numPr>
        <w:adjustRightInd w:val="0"/>
        <w:snapToGrid w:val="0"/>
        <w:ind w:firstLineChars="0"/>
        <w:rPr>
          <w:rFonts w:ascii="微软雅黑" w:hAnsi="微软雅黑" w:eastAsia="微软雅黑"/>
          <w:szCs w:val="21"/>
        </w:rPr>
      </w:pPr>
      <w:r>
        <w:rPr>
          <w:rFonts w:ascii="微软雅黑" w:hAnsi="微软雅黑" w:eastAsia="微软雅黑"/>
          <w:szCs w:val="21"/>
        </w:rPr>
        <w:t>对供应库的影响</w:t>
      </w:r>
    </w:p>
    <w:p>
      <w:pPr>
        <w:pStyle w:val="23"/>
        <w:numPr>
          <w:ilvl w:val="0"/>
          <w:numId w:val="7"/>
        </w:numPr>
        <w:adjustRightInd w:val="0"/>
        <w:snapToGrid w:val="0"/>
        <w:ind w:firstLineChars="0"/>
        <w:rPr>
          <w:rFonts w:ascii="微软雅黑" w:hAnsi="微软雅黑" w:eastAsia="微软雅黑"/>
          <w:szCs w:val="21"/>
        </w:rPr>
      </w:pPr>
      <w:r>
        <w:rPr>
          <w:rFonts w:ascii="微软雅黑" w:hAnsi="微软雅黑" w:eastAsia="微软雅黑"/>
          <w:szCs w:val="21"/>
        </w:rPr>
        <w:t>对技术的影响</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代表供应组织去会晤企业、政府机构、专业协会和其他组织。</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会议不确定因素</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有关供应管理的外部作用和认知的问题</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专业水准</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向管理人员反馈</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保密性</w:t>
      </w:r>
    </w:p>
    <w:p>
      <w:pPr>
        <w:pStyle w:val="23"/>
        <w:numPr>
          <w:ilvl w:val="0"/>
          <w:numId w:val="8"/>
        </w:numPr>
        <w:adjustRightInd w:val="0"/>
        <w:snapToGrid w:val="0"/>
        <w:ind w:firstLineChars="0"/>
        <w:rPr>
          <w:rFonts w:ascii="微软雅黑" w:hAnsi="微软雅黑" w:eastAsia="微软雅黑"/>
          <w:szCs w:val="21"/>
        </w:rPr>
      </w:pPr>
      <w:r>
        <w:rPr>
          <w:rFonts w:ascii="微软雅黑" w:hAnsi="微软雅黑" w:eastAsia="微软雅黑"/>
          <w:szCs w:val="21"/>
        </w:rPr>
        <w:t>法律上的限制</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领导或参与跨职能和/或多功能组（如项目管理、流程改善、国际团队）。</w:t>
      </w:r>
    </w:p>
    <w:p>
      <w:pPr>
        <w:pStyle w:val="23"/>
        <w:numPr>
          <w:ilvl w:val="0"/>
          <w:numId w:val="9"/>
        </w:numPr>
        <w:adjustRightInd w:val="0"/>
        <w:snapToGrid w:val="0"/>
        <w:ind w:firstLineChars="0"/>
        <w:rPr>
          <w:rFonts w:ascii="微软雅黑" w:hAnsi="微软雅黑" w:eastAsia="微软雅黑"/>
          <w:szCs w:val="21"/>
        </w:rPr>
      </w:pPr>
      <w:r>
        <w:rPr>
          <w:rFonts w:hint="eastAsia" w:ascii="微软雅黑" w:hAnsi="微软雅黑" w:eastAsia="微软雅黑"/>
          <w:szCs w:val="21"/>
        </w:rPr>
        <w:t>团队</w:t>
      </w:r>
      <w:r>
        <w:rPr>
          <w:rFonts w:ascii="微软雅黑" w:hAnsi="微软雅黑" w:eastAsia="微软雅黑"/>
          <w:szCs w:val="21"/>
        </w:rPr>
        <w:t>中的供应管理职责</w:t>
      </w:r>
    </w:p>
    <w:p>
      <w:pPr>
        <w:pStyle w:val="23"/>
        <w:numPr>
          <w:ilvl w:val="0"/>
          <w:numId w:val="9"/>
        </w:numPr>
        <w:adjustRightInd w:val="0"/>
        <w:snapToGrid w:val="0"/>
        <w:ind w:firstLineChars="0"/>
        <w:rPr>
          <w:rFonts w:ascii="微软雅黑" w:hAnsi="微软雅黑" w:eastAsia="微软雅黑"/>
          <w:szCs w:val="21"/>
        </w:rPr>
      </w:pPr>
      <w:r>
        <w:rPr>
          <w:rFonts w:ascii="微软雅黑" w:hAnsi="微软雅黑" w:eastAsia="微软雅黑"/>
          <w:szCs w:val="21"/>
        </w:rPr>
        <w:t>团队的优势</w:t>
      </w:r>
      <w:r>
        <w:rPr>
          <w:rFonts w:hint="eastAsia" w:ascii="微软雅黑" w:hAnsi="微软雅黑" w:eastAsia="微软雅黑"/>
          <w:szCs w:val="21"/>
        </w:rPr>
        <w:t>、</w:t>
      </w:r>
      <w:r>
        <w:rPr>
          <w:rFonts w:ascii="微软雅黑" w:hAnsi="微软雅黑" w:eastAsia="微软雅黑"/>
          <w:szCs w:val="21"/>
        </w:rPr>
        <w:t>劣势</w:t>
      </w:r>
    </w:p>
    <w:p>
      <w:pPr>
        <w:pStyle w:val="23"/>
        <w:numPr>
          <w:ilvl w:val="0"/>
          <w:numId w:val="9"/>
        </w:numPr>
        <w:adjustRightInd w:val="0"/>
        <w:snapToGrid w:val="0"/>
        <w:ind w:firstLineChars="0"/>
        <w:rPr>
          <w:rFonts w:ascii="微软雅黑" w:hAnsi="微软雅黑" w:eastAsia="微软雅黑"/>
          <w:szCs w:val="21"/>
        </w:rPr>
      </w:pPr>
      <w:r>
        <w:rPr>
          <w:rFonts w:ascii="微软雅黑" w:hAnsi="微软雅黑" w:eastAsia="微软雅黑"/>
          <w:szCs w:val="21"/>
        </w:rPr>
        <w:t>团队建设阶段</w:t>
      </w:r>
    </w:p>
    <w:p>
      <w:pPr>
        <w:pStyle w:val="23"/>
        <w:numPr>
          <w:ilvl w:val="0"/>
          <w:numId w:val="9"/>
        </w:numPr>
        <w:adjustRightInd w:val="0"/>
        <w:snapToGrid w:val="0"/>
        <w:ind w:firstLineChars="0"/>
        <w:rPr>
          <w:rFonts w:ascii="微软雅黑" w:hAnsi="微软雅黑" w:eastAsia="微软雅黑"/>
          <w:szCs w:val="21"/>
        </w:rPr>
      </w:pPr>
      <w:r>
        <w:rPr>
          <w:rFonts w:ascii="微软雅黑" w:hAnsi="微软雅黑" w:eastAsia="微软雅黑"/>
          <w:szCs w:val="21"/>
        </w:rPr>
        <w:t>冲突的消解</w:t>
      </w:r>
    </w:p>
    <w:p>
      <w:pPr>
        <w:pStyle w:val="23"/>
        <w:numPr>
          <w:ilvl w:val="0"/>
          <w:numId w:val="9"/>
        </w:numPr>
        <w:adjustRightInd w:val="0"/>
        <w:snapToGrid w:val="0"/>
        <w:ind w:firstLineChars="0"/>
        <w:rPr>
          <w:rFonts w:ascii="微软雅黑" w:hAnsi="微软雅黑" w:eastAsia="微软雅黑"/>
          <w:szCs w:val="21"/>
        </w:rPr>
      </w:pPr>
      <w:r>
        <w:rPr>
          <w:rFonts w:ascii="微软雅黑" w:hAnsi="微软雅黑" w:eastAsia="微软雅黑"/>
          <w:szCs w:val="21"/>
        </w:rPr>
        <w:t>人格特征图解</w:t>
      </w:r>
    </w:p>
    <w:p>
      <w:pPr>
        <w:pStyle w:val="23"/>
        <w:numPr>
          <w:ilvl w:val="0"/>
          <w:numId w:val="9"/>
        </w:numPr>
        <w:adjustRightInd w:val="0"/>
        <w:snapToGrid w:val="0"/>
        <w:ind w:firstLineChars="0"/>
        <w:rPr>
          <w:rFonts w:ascii="微软雅黑" w:hAnsi="微软雅黑" w:eastAsia="微软雅黑"/>
          <w:szCs w:val="21"/>
        </w:rPr>
      </w:pPr>
      <w:r>
        <w:rPr>
          <w:rFonts w:ascii="微软雅黑" w:hAnsi="微软雅黑" w:eastAsia="微软雅黑"/>
          <w:szCs w:val="21"/>
        </w:rPr>
        <w:t>有效性测评</w:t>
      </w:r>
    </w:p>
    <w:p>
      <w:pPr>
        <w:adjustRightInd w:val="0"/>
        <w:snapToGrid w:val="0"/>
        <w:rPr>
          <w:rFonts w:ascii="微软雅黑" w:hAnsi="微软雅黑" w:eastAsia="微软雅黑"/>
          <w:b/>
          <w:szCs w:val="21"/>
        </w:rPr>
      </w:pPr>
      <w:r>
        <w:rPr>
          <w:rFonts w:hint="eastAsia" w:ascii="微软雅黑" w:hAnsi="微软雅黑" w:eastAsia="微软雅黑"/>
          <w:b/>
          <w:szCs w:val="21"/>
        </w:rPr>
        <w:t>二、采购组织领导力</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传播信息，推广与供应管理政策和程序相关的培训。</w:t>
      </w:r>
    </w:p>
    <w:p>
      <w:pPr>
        <w:pStyle w:val="23"/>
        <w:numPr>
          <w:ilvl w:val="0"/>
          <w:numId w:val="11"/>
        </w:numPr>
        <w:adjustRightInd w:val="0"/>
        <w:snapToGrid w:val="0"/>
        <w:ind w:firstLineChars="0"/>
        <w:rPr>
          <w:rFonts w:ascii="微软雅黑" w:hAnsi="微软雅黑" w:eastAsia="微软雅黑"/>
          <w:szCs w:val="21"/>
        </w:rPr>
      </w:pPr>
      <w:r>
        <w:rPr>
          <w:rFonts w:ascii="微软雅黑" w:hAnsi="微软雅黑" w:eastAsia="微软雅黑"/>
          <w:szCs w:val="21"/>
        </w:rPr>
        <w:t>知识评估和情景分析</w:t>
      </w:r>
    </w:p>
    <w:p>
      <w:pPr>
        <w:pStyle w:val="23"/>
        <w:numPr>
          <w:ilvl w:val="0"/>
          <w:numId w:val="11"/>
        </w:numPr>
        <w:adjustRightInd w:val="0"/>
        <w:snapToGrid w:val="0"/>
        <w:ind w:firstLineChars="0"/>
        <w:rPr>
          <w:rFonts w:ascii="微软雅黑" w:hAnsi="微软雅黑" w:eastAsia="微软雅黑"/>
          <w:szCs w:val="21"/>
        </w:rPr>
      </w:pPr>
      <w:r>
        <w:rPr>
          <w:rFonts w:ascii="微软雅黑" w:hAnsi="微软雅黑" w:eastAsia="微软雅黑"/>
          <w:szCs w:val="21"/>
        </w:rPr>
        <w:t>合规指标</w:t>
      </w:r>
    </w:p>
    <w:p>
      <w:pPr>
        <w:pStyle w:val="23"/>
        <w:numPr>
          <w:ilvl w:val="0"/>
          <w:numId w:val="11"/>
        </w:numPr>
        <w:adjustRightInd w:val="0"/>
        <w:snapToGrid w:val="0"/>
        <w:ind w:firstLineChars="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学习型组织</w:t>
      </w:r>
      <w:r>
        <w:rPr>
          <w:rFonts w:hint="eastAsia" w:ascii="微软雅黑" w:hAnsi="微软雅黑" w:eastAsia="微软雅黑"/>
          <w:szCs w:val="21"/>
        </w:rPr>
        <w:t>”</w:t>
      </w:r>
      <w:r>
        <w:rPr>
          <w:rFonts w:ascii="微软雅黑" w:hAnsi="微软雅黑" w:eastAsia="微软雅黑"/>
          <w:szCs w:val="21"/>
        </w:rPr>
        <w:t>的概念</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向管理层、内部用户推销战略寻源的价值、寻源战略和措施。</w:t>
      </w:r>
    </w:p>
    <w:p>
      <w:pPr>
        <w:pStyle w:val="23"/>
        <w:numPr>
          <w:ilvl w:val="0"/>
          <w:numId w:val="12"/>
        </w:numPr>
        <w:adjustRightInd w:val="0"/>
        <w:snapToGrid w:val="0"/>
        <w:ind w:firstLineChars="0"/>
        <w:rPr>
          <w:rFonts w:ascii="微软雅黑" w:hAnsi="微软雅黑" w:eastAsia="微软雅黑"/>
          <w:szCs w:val="21"/>
        </w:rPr>
      </w:pPr>
      <w:r>
        <w:rPr>
          <w:rFonts w:ascii="微软雅黑" w:hAnsi="微软雅黑" w:eastAsia="微软雅黑"/>
          <w:szCs w:val="21"/>
        </w:rPr>
        <w:t>沟通水平</w:t>
      </w:r>
    </w:p>
    <w:p>
      <w:pPr>
        <w:pStyle w:val="23"/>
        <w:numPr>
          <w:ilvl w:val="0"/>
          <w:numId w:val="12"/>
        </w:numPr>
        <w:adjustRightInd w:val="0"/>
        <w:snapToGrid w:val="0"/>
        <w:ind w:firstLineChars="0"/>
        <w:rPr>
          <w:rFonts w:ascii="微软雅黑" w:hAnsi="微软雅黑" w:eastAsia="微软雅黑"/>
          <w:szCs w:val="21"/>
        </w:rPr>
      </w:pPr>
      <w:r>
        <w:rPr>
          <w:rFonts w:ascii="微软雅黑" w:hAnsi="微软雅黑" w:eastAsia="微软雅黑"/>
          <w:szCs w:val="21"/>
        </w:rPr>
        <w:t>沟通计划</w:t>
      </w:r>
    </w:p>
    <w:p>
      <w:pPr>
        <w:pStyle w:val="23"/>
        <w:numPr>
          <w:ilvl w:val="0"/>
          <w:numId w:val="12"/>
        </w:numPr>
        <w:adjustRightInd w:val="0"/>
        <w:snapToGrid w:val="0"/>
        <w:ind w:firstLineChars="0"/>
        <w:rPr>
          <w:rFonts w:ascii="微软雅黑" w:hAnsi="微软雅黑" w:eastAsia="微软雅黑"/>
          <w:szCs w:val="21"/>
        </w:rPr>
      </w:pPr>
      <w:r>
        <w:rPr>
          <w:rFonts w:ascii="微软雅黑" w:hAnsi="微软雅黑" w:eastAsia="微软雅黑"/>
          <w:szCs w:val="21"/>
        </w:rPr>
        <w:t>沟通方法</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评估供应管理的组织结构，如有需要，适当调整以以达到最佳的结构。</w:t>
      </w:r>
    </w:p>
    <w:p>
      <w:pPr>
        <w:pStyle w:val="23"/>
        <w:numPr>
          <w:ilvl w:val="0"/>
          <w:numId w:val="13"/>
        </w:numPr>
        <w:adjustRightInd w:val="0"/>
        <w:snapToGrid w:val="0"/>
        <w:ind w:firstLineChars="0"/>
        <w:rPr>
          <w:rFonts w:ascii="微软雅黑" w:hAnsi="微软雅黑" w:eastAsia="微软雅黑"/>
          <w:szCs w:val="21"/>
        </w:rPr>
      </w:pPr>
      <w:r>
        <w:rPr>
          <w:rFonts w:ascii="微软雅黑" w:hAnsi="微软雅黑" w:eastAsia="微软雅黑"/>
          <w:szCs w:val="21"/>
        </w:rPr>
        <w:t>组织结构的职能影响</w:t>
      </w:r>
    </w:p>
    <w:p>
      <w:pPr>
        <w:pStyle w:val="23"/>
        <w:numPr>
          <w:ilvl w:val="0"/>
          <w:numId w:val="13"/>
        </w:numPr>
        <w:adjustRightInd w:val="0"/>
        <w:snapToGrid w:val="0"/>
        <w:ind w:firstLineChars="0"/>
        <w:rPr>
          <w:rFonts w:ascii="微软雅黑" w:hAnsi="微软雅黑" w:eastAsia="微软雅黑"/>
          <w:szCs w:val="21"/>
        </w:rPr>
      </w:pPr>
      <w:r>
        <w:rPr>
          <w:rFonts w:ascii="微软雅黑" w:hAnsi="微软雅黑" w:eastAsia="微软雅黑"/>
          <w:szCs w:val="21"/>
        </w:rPr>
        <w:t>组织类型及其含义</w:t>
      </w:r>
    </w:p>
    <w:p>
      <w:pPr>
        <w:pStyle w:val="23"/>
        <w:numPr>
          <w:ilvl w:val="0"/>
          <w:numId w:val="13"/>
        </w:numPr>
        <w:adjustRightInd w:val="0"/>
        <w:snapToGrid w:val="0"/>
        <w:ind w:firstLineChars="0"/>
        <w:rPr>
          <w:rFonts w:ascii="微软雅黑" w:hAnsi="微软雅黑" w:eastAsia="微软雅黑"/>
          <w:szCs w:val="21"/>
        </w:rPr>
      </w:pPr>
      <w:r>
        <w:rPr>
          <w:rFonts w:ascii="微软雅黑" w:hAnsi="微软雅黑" w:eastAsia="微软雅黑"/>
          <w:szCs w:val="21"/>
        </w:rPr>
        <w:t>关键问题</w:t>
      </w:r>
    </w:p>
    <w:p>
      <w:pPr>
        <w:pStyle w:val="23"/>
        <w:numPr>
          <w:ilvl w:val="0"/>
          <w:numId w:val="13"/>
        </w:numPr>
        <w:adjustRightInd w:val="0"/>
        <w:snapToGrid w:val="0"/>
        <w:ind w:firstLineChars="0"/>
        <w:rPr>
          <w:rFonts w:ascii="微软雅黑" w:hAnsi="微软雅黑" w:eastAsia="微软雅黑"/>
          <w:szCs w:val="21"/>
        </w:rPr>
      </w:pPr>
      <w:r>
        <w:rPr>
          <w:rFonts w:ascii="微软雅黑" w:hAnsi="微软雅黑" w:eastAsia="微软雅黑"/>
          <w:szCs w:val="21"/>
        </w:rPr>
        <w:t>工作量分配</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雇佣、发展、挽留晋升和/或解雇供应管理人员。</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组织人力资源政策和程序</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组织技能组合要求</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职位技能组合要求</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选择和招聘</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留任</w:t>
      </w:r>
      <w:r>
        <w:rPr>
          <w:rFonts w:hint="eastAsia" w:ascii="微软雅黑" w:hAnsi="微软雅黑" w:eastAsia="微软雅黑"/>
          <w:szCs w:val="21"/>
        </w:rPr>
        <w:t>：</w:t>
      </w:r>
      <w:r>
        <w:rPr>
          <w:rFonts w:ascii="微软雅黑" w:hAnsi="微软雅黑" w:eastAsia="微软雅黑"/>
          <w:szCs w:val="21"/>
        </w:rPr>
        <w:t>价值观</w:t>
      </w:r>
      <w:r>
        <w:rPr>
          <w:rFonts w:hint="eastAsia" w:ascii="微软雅黑" w:hAnsi="微软雅黑" w:eastAsia="微软雅黑"/>
          <w:szCs w:val="21"/>
        </w:rPr>
        <w:t>、</w:t>
      </w:r>
      <w:r>
        <w:rPr>
          <w:rFonts w:ascii="微软雅黑" w:hAnsi="微软雅黑" w:eastAsia="微软雅黑"/>
          <w:szCs w:val="21"/>
        </w:rPr>
        <w:t>工作满意度</w:t>
      </w:r>
      <w:r>
        <w:rPr>
          <w:rFonts w:hint="eastAsia" w:ascii="微软雅黑" w:hAnsi="微软雅黑" w:eastAsia="微软雅黑"/>
          <w:szCs w:val="21"/>
        </w:rPr>
        <w:t>、工作敬业度、报酬、福利、晋升等</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晋升</w:t>
      </w:r>
      <w:r>
        <w:rPr>
          <w:rFonts w:hint="eastAsia" w:ascii="微软雅黑" w:hAnsi="微软雅黑" w:eastAsia="微软雅黑"/>
          <w:szCs w:val="21"/>
        </w:rPr>
        <w:t>：</w:t>
      </w:r>
      <w:r>
        <w:rPr>
          <w:rFonts w:ascii="微软雅黑" w:hAnsi="微软雅黑" w:eastAsia="微软雅黑"/>
          <w:szCs w:val="21"/>
        </w:rPr>
        <w:t>内外部招聘的优势和劣势</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终止</w:t>
      </w:r>
      <w:r>
        <w:rPr>
          <w:rFonts w:hint="eastAsia" w:ascii="微软雅黑" w:hAnsi="微软雅黑" w:eastAsia="微软雅黑"/>
          <w:szCs w:val="21"/>
        </w:rPr>
        <w:t>：</w:t>
      </w:r>
      <w:r>
        <w:rPr>
          <w:rFonts w:ascii="微软雅黑" w:hAnsi="微软雅黑" w:eastAsia="微软雅黑"/>
          <w:szCs w:val="21"/>
        </w:rPr>
        <w:t>评估</w:t>
      </w:r>
      <w:r>
        <w:rPr>
          <w:rFonts w:hint="eastAsia" w:ascii="微软雅黑" w:hAnsi="微软雅黑" w:eastAsia="微软雅黑"/>
          <w:szCs w:val="21"/>
        </w:rPr>
        <w:t>、</w:t>
      </w:r>
      <w:r>
        <w:rPr>
          <w:rFonts w:ascii="微软雅黑" w:hAnsi="微软雅黑" w:eastAsia="微软雅黑"/>
          <w:szCs w:val="21"/>
        </w:rPr>
        <w:t>离职面谈</w:t>
      </w:r>
      <w:r>
        <w:rPr>
          <w:rFonts w:hint="eastAsia" w:ascii="微软雅黑" w:hAnsi="微软雅黑" w:eastAsia="微软雅黑"/>
          <w:szCs w:val="21"/>
        </w:rPr>
        <w:t>，</w:t>
      </w:r>
      <w:r>
        <w:rPr>
          <w:rFonts w:ascii="微软雅黑" w:hAnsi="微软雅黑" w:eastAsia="微软雅黑"/>
          <w:szCs w:val="21"/>
        </w:rPr>
        <w:t>再就业介绍</w:t>
      </w:r>
      <w:r>
        <w:rPr>
          <w:rFonts w:hint="eastAsia" w:ascii="微软雅黑" w:hAnsi="微软雅黑" w:eastAsia="微软雅黑"/>
          <w:szCs w:val="21"/>
        </w:rPr>
        <w:t>、</w:t>
      </w:r>
      <w:r>
        <w:rPr>
          <w:rFonts w:ascii="微软雅黑" w:hAnsi="微软雅黑" w:eastAsia="微软雅黑"/>
          <w:szCs w:val="21"/>
        </w:rPr>
        <w:t>遣散费</w:t>
      </w:r>
    </w:p>
    <w:p>
      <w:pPr>
        <w:pStyle w:val="23"/>
        <w:numPr>
          <w:ilvl w:val="0"/>
          <w:numId w:val="14"/>
        </w:numPr>
        <w:adjustRightInd w:val="0"/>
        <w:snapToGrid w:val="0"/>
        <w:ind w:firstLineChars="0"/>
        <w:rPr>
          <w:rFonts w:ascii="微软雅黑" w:hAnsi="微软雅黑" w:eastAsia="微软雅黑"/>
          <w:szCs w:val="21"/>
        </w:rPr>
      </w:pPr>
      <w:r>
        <w:rPr>
          <w:rFonts w:ascii="微软雅黑" w:hAnsi="微软雅黑" w:eastAsia="微软雅黑"/>
          <w:szCs w:val="21"/>
        </w:rPr>
        <w:t>法律问题</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监督、领导人力资源以实现倡议。</w:t>
      </w:r>
    </w:p>
    <w:p>
      <w:pPr>
        <w:pStyle w:val="23"/>
        <w:numPr>
          <w:ilvl w:val="0"/>
          <w:numId w:val="15"/>
        </w:numPr>
        <w:adjustRightInd w:val="0"/>
        <w:snapToGrid w:val="0"/>
        <w:ind w:firstLineChars="0"/>
        <w:rPr>
          <w:rFonts w:ascii="微软雅黑" w:hAnsi="微软雅黑" w:eastAsia="微软雅黑"/>
          <w:szCs w:val="21"/>
        </w:rPr>
      </w:pPr>
      <w:r>
        <w:rPr>
          <w:rFonts w:ascii="微软雅黑" w:hAnsi="微软雅黑" w:eastAsia="微软雅黑"/>
          <w:szCs w:val="21"/>
        </w:rPr>
        <w:t>组织管理和行政问题</w:t>
      </w:r>
    </w:p>
    <w:p>
      <w:pPr>
        <w:pStyle w:val="23"/>
        <w:numPr>
          <w:ilvl w:val="0"/>
          <w:numId w:val="15"/>
        </w:numPr>
        <w:adjustRightInd w:val="0"/>
        <w:snapToGrid w:val="0"/>
        <w:ind w:firstLineChars="0"/>
        <w:rPr>
          <w:rFonts w:ascii="微软雅黑" w:hAnsi="微软雅黑" w:eastAsia="微软雅黑"/>
          <w:szCs w:val="21"/>
        </w:rPr>
      </w:pPr>
      <w:r>
        <w:rPr>
          <w:rFonts w:ascii="微软雅黑" w:hAnsi="微软雅黑" w:eastAsia="微软雅黑"/>
          <w:szCs w:val="21"/>
        </w:rPr>
        <w:t>群体不确定因素</w:t>
      </w:r>
    </w:p>
    <w:p>
      <w:pPr>
        <w:pStyle w:val="23"/>
        <w:numPr>
          <w:ilvl w:val="0"/>
          <w:numId w:val="15"/>
        </w:numPr>
        <w:adjustRightInd w:val="0"/>
        <w:snapToGrid w:val="0"/>
        <w:ind w:firstLineChars="0"/>
        <w:rPr>
          <w:rFonts w:ascii="微软雅黑" w:hAnsi="微软雅黑" w:eastAsia="微软雅黑"/>
          <w:szCs w:val="21"/>
        </w:rPr>
      </w:pPr>
      <w:r>
        <w:rPr>
          <w:rFonts w:ascii="微软雅黑" w:hAnsi="微软雅黑" w:eastAsia="微软雅黑"/>
          <w:szCs w:val="21"/>
        </w:rPr>
        <w:t>领导能力原则</w:t>
      </w:r>
    </w:p>
    <w:p>
      <w:pPr>
        <w:pStyle w:val="23"/>
        <w:numPr>
          <w:ilvl w:val="0"/>
          <w:numId w:val="15"/>
        </w:numPr>
        <w:adjustRightInd w:val="0"/>
        <w:snapToGrid w:val="0"/>
        <w:ind w:firstLineChars="0"/>
        <w:rPr>
          <w:rFonts w:ascii="微软雅黑" w:hAnsi="微软雅黑" w:eastAsia="微软雅黑"/>
          <w:szCs w:val="21"/>
        </w:rPr>
      </w:pPr>
      <w:r>
        <w:rPr>
          <w:rFonts w:ascii="微软雅黑" w:hAnsi="微软雅黑" w:eastAsia="微软雅黑"/>
          <w:szCs w:val="21"/>
        </w:rPr>
        <w:t>变更管理技巧</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培训在职的工作人员，或授权他们参加工作培训。</w:t>
      </w:r>
    </w:p>
    <w:p>
      <w:pPr>
        <w:pStyle w:val="23"/>
        <w:numPr>
          <w:ilvl w:val="0"/>
          <w:numId w:val="16"/>
        </w:numPr>
        <w:adjustRightInd w:val="0"/>
        <w:snapToGrid w:val="0"/>
        <w:ind w:firstLineChars="0"/>
        <w:rPr>
          <w:rFonts w:ascii="微软雅黑" w:hAnsi="微软雅黑" w:eastAsia="微软雅黑"/>
          <w:szCs w:val="21"/>
        </w:rPr>
      </w:pPr>
      <w:r>
        <w:rPr>
          <w:rFonts w:ascii="微软雅黑" w:hAnsi="微软雅黑" w:eastAsia="微软雅黑"/>
          <w:szCs w:val="21"/>
        </w:rPr>
        <w:t>确定培训和发展需求</w:t>
      </w:r>
    </w:p>
    <w:p>
      <w:pPr>
        <w:pStyle w:val="23"/>
        <w:numPr>
          <w:ilvl w:val="0"/>
          <w:numId w:val="16"/>
        </w:numPr>
        <w:adjustRightInd w:val="0"/>
        <w:snapToGrid w:val="0"/>
        <w:ind w:firstLineChars="0"/>
        <w:rPr>
          <w:rFonts w:ascii="微软雅黑" w:hAnsi="微软雅黑" w:eastAsia="微软雅黑"/>
          <w:szCs w:val="21"/>
        </w:rPr>
      </w:pPr>
      <w:r>
        <w:rPr>
          <w:rFonts w:ascii="微软雅黑" w:hAnsi="微软雅黑" w:eastAsia="微软雅黑"/>
          <w:szCs w:val="21"/>
        </w:rPr>
        <w:t>职位培训类型</w:t>
      </w:r>
    </w:p>
    <w:p>
      <w:pPr>
        <w:pStyle w:val="23"/>
        <w:numPr>
          <w:ilvl w:val="0"/>
          <w:numId w:val="16"/>
        </w:numPr>
        <w:adjustRightInd w:val="0"/>
        <w:snapToGrid w:val="0"/>
        <w:ind w:firstLineChars="0"/>
        <w:rPr>
          <w:rFonts w:ascii="微软雅黑" w:hAnsi="微软雅黑" w:eastAsia="微软雅黑"/>
          <w:szCs w:val="21"/>
        </w:rPr>
      </w:pPr>
      <w:r>
        <w:rPr>
          <w:rFonts w:ascii="微软雅黑" w:hAnsi="微软雅黑" w:eastAsia="微软雅黑"/>
          <w:szCs w:val="21"/>
        </w:rPr>
        <w:t>专业认证</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发展/管理/评估/统计与内部别的部门的关系。</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组织内的供应管理职责和观念</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信任和信誉的建立</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反馈技巧</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影响技巧</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领导技巧</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内部业务合作伙伴的职责和目标</w:t>
      </w:r>
    </w:p>
    <w:p>
      <w:pPr>
        <w:pStyle w:val="23"/>
        <w:numPr>
          <w:ilvl w:val="0"/>
          <w:numId w:val="17"/>
        </w:numPr>
        <w:adjustRightInd w:val="0"/>
        <w:snapToGrid w:val="0"/>
        <w:ind w:firstLineChars="0"/>
        <w:rPr>
          <w:rFonts w:ascii="微软雅黑" w:hAnsi="微软雅黑" w:eastAsia="微软雅黑"/>
          <w:szCs w:val="21"/>
        </w:rPr>
      </w:pPr>
      <w:r>
        <w:rPr>
          <w:rFonts w:ascii="微软雅黑" w:hAnsi="微软雅黑" w:eastAsia="微软雅黑"/>
          <w:szCs w:val="21"/>
        </w:rPr>
        <w:t>共同责任</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制定/使用为评估供应管理部门绩效制定的标准。</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供应管理的组织预期</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部门绩效考核的原因</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部门级别评估的步骤</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战略供应管理部门的概念</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外包供应商只能评估</w:t>
      </w:r>
    </w:p>
    <w:p>
      <w:pPr>
        <w:pStyle w:val="23"/>
        <w:numPr>
          <w:ilvl w:val="0"/>
          <w:numId w:val="18"/>
        </w:numPr>
        <w:adjustRightInd w:val="0"/>
        <w:snapToGrid w:val="0"/>
        <w:ind w:firstLineChars="0"/>
        <w:rPr>
          <w:rFonts w:ascii="微软雅黑" w:hAnsi="微软雅黑" w:eastAsia="微软雅黑"/>
          <w:szCs w:val="21"/>
        </w:rPr>
      </w:pPr>
      <w:r>
        <w:rPr>
          <w:rFonts w:ascii="微软雅黑" w:hAnsi="微软雅黑" w:eastAsia="微软雅黑"/>
          <w:szCs w:val="21"/>
        </w:rPr>
        <w:t>评估可行性和外包供应商职能的影响</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进行角色设计评估以及潜在岗位重新设计的要求。</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组织只能要求</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岗位只能要求</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职位设计要素</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人事和人才管理</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影响范围</w:t>
      </w:r>
    </w:p>
    <w:p>
      <w:pPr>
        <w:pStyle w:val="23"/>
        <w:numPr>
          <w:ilvl w:val="0"/>
          <w:numId w:val="19"/>
        </w:numPr>
        <w:adjustRightInd w:val="0"/>
        <w:snapToGrid w:val="0"/>
        <w:ind w:firstLineChars="0"/>
        <w:rPr>
          <w:rFonts w:ascii="微软雅黑" w:hAnsi="微软雅黑" w:eastAsia="微软雅黑"/>
          <w:szCs w:val="21"/>
        </w:rPr>
      </w:pPr>
      <w:r>
        <w:rPr>
          <w:rFonts w:ascii="微软雅黑" w:hAnsi="微软雅黑" w:eastAsia="微软雅黑"/>
          <w:szCs w:val="21"/>
        </w:rPr>
        <w:t>领导者</w:t>
      </w:r>
      <w:r>
        <w:rPr>
          <w:rFonts w:hint="eastAsia" w:ascii="微软雅黑" w:hAnsi="微软雅黑" w:eastAsia="微软雅黑"/>
          <w:szCs w:val="21"/>
        </w:rPr>
        <w:t>、</w:t>
      </w:r>
      <w:r>
        <w:rPr>
          <w:rFonts w:ascii="微软雅黑" w:hAnsi="微软雅黑" w:eastAsia="微软雅黑"/>
          <w:szCs w:val="21"/>
        </w:rPr>
        <w:t>经理和建导员的职责</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创建并管理一个人员继承计划，合理分配工作任务，为员工提供职业发展和成长机会。</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交叉培训</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指导和逆向领导</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职业发展</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领导机会授权</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人力资源政策</w:t>
      </w:r>
      <w:r>
        <w:rPr>
          <w:rFonts w:hint="eastAsia" w:ascii="微软雅黑" w:hAnsi="微软雅黑" w:eastAsia="微软雅黑"/>
          <w:szCs w:val="21"/>
        </w:rPr>
        <w:t>、</w:t>
      </w:r>
      <w:r>
        <w:rPr>
          <w:rFonts w:ascii="微软雅黑" w:hAnsi="微软雅黑" w:eastAsia="微软雅黑"/>
          <w:szCs w:val="21"/>
        </w:rPr>
        <w:t>规程和规划</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接班人计划</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组织结构</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教育机会</w:t>
      </w:r>
    </w:p>
    <w:p>
      <w:pPr>
        <w:pStyle w:val="23"/>
        <w:numPr>
          <w:ilvl w:val="0"/>
          <w:numId w:val="20"/>
        </w:numPr>
        <w:adjustRightInd w:val="0"/>
        <w:snapToGrid w:val="0"/>
        <w:ind w:firstLineChars="0"/>
        <w:rPr>
          <w:rFonts w:ascii="微软雅黑" w:hAnsi="微软雅黑" w:eastAsia="微软雅黑"/>
          <w:szCs w:val="21"/>
        </w:rPr>
      </w:pPr>
      <w:r>
        <w:rPr>
          <w:rFonts w:ascii="微软雅黑" w:hAnsi="微软雅黑" w:eastAsia="微软雅黑"/>
          <w:szCs w:val="21"/>
        </w:rPr>
        <w:t>职位轮换</w:t>
      </w:r>
    </w:p>
    <w:p>
      <w:pPr>
        <w:adjustRightInd w:val="0"/>
        <w:snapToGrid w:val="0"/>
        <w:rPr>
          <w:rFonts w:ascii="微软雅黑" w:hAnsi="微软雅黑" w:eastAsia="微软雅黑"/>
          <w:b/>
          <w:szCs w:val="21"/>
        </w:rPr>
      </w:pPr>
      <w:r>
        <w:rPr>
          <w:rFonts w:hint="eastAsia" w:ascii="微软雅黑" w:hAnsi="微软雅黑" w:eastAsia="微软雅黑"/>
          <w:b/>
          <w:szCs w:val="21"/>
        </w:rPr>
        <w:t>三、采购风险与合规</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根据现有的合同、有关法律、法规和组织政策，制定、实施和管理风险战略。</w:t>
      </w:r>
    </w:p>
    <w:p>
      <w:pPr>
        <w:pStyle w:val="23"/>
        <w:numPr>
          <w:ilvl w:val="0"/>
          <w:numId w:val="22"/>
        </w:numPr>
        <w:adjustRightInd w:val="0"/>
        <w:snapToGrid w:val="0"/>
        <w:ind w:firstLineChars="0"/>
        <w:rPr>
          <w:rFonts w:ascii="微软雅黑" w:hAnsi="微软雅黑" w:eastAsia="微软雅黑"/>
          <w:szCs w:val="21"/>
        </w:rPr>
      </w:pPr>
      <w:r>
        <w:rPr>
          <w:rFonts w:ascii="微软雅黑" w:hAnsi="微软雅黑" w:eastAsia="微软雅黑"/>
          <w:szCs w:val="21"/>
        </w:rPr>
        <w:t>风险管理流程</w:t>
      </w:r>
    </w:p>
    <w:p>
      <w:pPr>
        <w:pStyle w:val="23"/>
        <w:numPr>
          <w:ilvl w:val="0"/>
          <w:numId w:val="22"/>
        </w:numPr>
        <w:adjustRightInd w:val="0"/>
        <w:snapToGrid w:val="0"/>
        <w:ind w:firstLineChars="0"/>
        <w:rPr>
          <w:rFonts w:ascii="微软雅黑" w:hAnsi="微软雅黑" w:eastAsia="微软雅黑"/>
          <w:szCs w:val="21"/>
        </w:rPr>
      </w:pPr>
      <w:r>
        <w:rPr>
          <w:rFonts w:hint="eastAsia" w:ascii="微软雅黑" w:hAnsi="微软雅黑" w:eastAsia="微软雅黑"/>
          <w:szCs w:val="21"/>
        </w:rPr>
        <w:t>多效供应商和承包商</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制定和实施风险管理和/或索赔管理程序（例如侵犯版权、专利侵权、骚扰）。</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财务风险</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运营风险</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品牌</w:t>
      </w:r>
      <w:r>
        <w:rPr>
          <w:rFonts w:hint="eastAsia" w:ascii="微软雅黑" w:hAnsi="微软雅黑" w:eastAsia="微软雅黑"/>
          <w:szCs w:val="21"/>
        </w:rPr>
        <w:t>、</w:t>
      </w:r>
      <w:r>
        <w:rPr>
          <w:rFonts w:ascii="微软雅黑" w:hAnsi="微软雅黑" w:eastAsia="微软雅黑"/>
          <w:szCs w:val="21"/>
        </w:rPr>
        <w:t>声誉风险</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法律风险</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环境风险</w:t>
      </w:r>
    </w:p>
    <w:p>
      <w:pPr>
        <w:pStyle w:val="23"/>
        <w:numPr>
          <w:ilvl w:val="0"/>
          <w:numId w:val="23"/>
        </w:numPr>
        <w:adjustRightInd w:val="0"/>
        <w:snapToGrid w:val="0"/>
        <w:ind w:firstLineChars="0"/>
        <w:rPr>
          <w:rFonts w:ascii="微软雅黑" w:hAnsi="微软雅黑" w:eastAsia="微软雅黑"/>
          <w:szCs w:val="21"/>
        </w:rPr>
      </w:pPr>
      <w:r>
        <w:rPr>
          <w:rFonts w:ascii="微软雅黑" w:hAnsi="微软雅黑" w:eastAsia="微软雅黑"/>
          <w:szCs w:val="21"/>
        </w:rPr>
        <w:t>技术风险</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根据法律要求，实施供应管理流程。</w:t>
      </w:r>
    </w:p>
    <w:p>
      <w:pPr>
        <w:pStyle w:val="23"/>
        <w:numPr>
          <w:ilvl w:val="0"/>
          <w:numId w:val="24"/>
        </w:numPr>
        <w:adjustRightInd w:val="0"/>
        <w:snapToGrid w:val="0"/>
        <w:ind w:firstLineChars="0"/>
        <w:rPr>
          <w:rFonts w:ascii="微软雅黑" w:hAnsi="微软雅黑" w:eastAsia="微软雅黑"/>
          <w:szCs w:val="21"/>
        </w:rPr>
      </w:pPr>
      <w:r>
        <w:rPr>
          <w:rFonts w:ascii="微软雅黑" w:hAnsi="微软雅黑" w:eastAsia="微软雅黑"/>
          <w:szCs w:val="21"/>
        </w:rPr>
        <w:t>供应管理各个流程的法律方面</w:t>
      </w:r>
    </w:p>
    <w:p>
      <w:pPr>
        <w:pStyle w:val="23"/>
        <w:numPr>
          <w:ilvl w:val="0"/>
          <w:numId w:val="24"/>
        </w:numPr>
        <w:adjustRightInd w:val="0"/>
        <w:snapToGrid w:val="0"/>
        <w:ind w:firstLineChars="0"/>
        <w:rPr>
          <w:rFonts w:ascii="微软雅黑" w:hAnsi="微软雅黑" w:eastAsia="微软雅黑"/>
          <w:szCs w:val="21"/>
        </w:rPr>
      </w:pPr>
      <w:r>
        <w:rPr>
          <w:rFonts w:ascii="微软雅黑" w:hAnsi="微软雅黑" w:eastAsia="微软雅黑"/>
          <w:szCs w:val="21"/>
        </w:rPr>
        <w:t>法律顾问的作用</w:t>
      </w:r>
    </w:p>
    <w:p>
      <w:pPr>
        <w:pStyle w:val="23"/>
        <w:numPr>
          <w:ilvl w:val="0"/>
          <w:numId w:val="24"/>
        </w:numPr>
        <w:adjustRightInd w:val="0"/>
        <w:snapToGrid w:val="0"/>
        <w:ind w:firstLineChars="0"/>
        <w:rPr>
          <w:rFonts w:ascii="微软雅黑" w:hAnsi="微软雅黑" w:eastAsia="微软雅黑"/>
          <w:szCs w:val="21"/>
        </w:rPr>
      </w:pPr>
      <w:r>
        <w:rPr>
          <w:rFonts w:ascii="微软雅黑" w:hAnsi="微软雅黑" w:eastAsia="微软雅黑"/>
          <w:szCs w:val="21"/>
        </w:rPr>
        <w:t>权利</w:t>
      </w:r>
    </w:p>
    <w:p>
      <w:pPr>
        <w:pStyle w:val="23"/>
        <w:numPr>
          <w:ilvl w:val="0"/>
          <w:numId w:val="24"/>
        </w:numPr>
        <w:adjustRightInd w:val="0"/>
        <w:snapToGrid w:val="0"/>
        <w:ind w:firstLineChars="0"/>
        <w:rPr>
          <w:rFonts w:ascii="微软雅黑" w:hAnsi="微软雅黑" w:eastAsia="微软雅黑"/>
          <w:szCs w:val="21"/>
        </w:rPr>
      </w:pPr>
      <w:r>
        <w:rPr>
          <w:rFonts w:ascii="微软雅黑" w:hAnsi="微软雅黑" w:eastAsia="微软雅黑"/>
          <w:szCs w:val="21"/>
        </w:rPr>
        <w:t>影响供应管理的国际法律法规</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对相关信息，开发/实施/维护数据库/备案系统。</w:t>
      </w:r>
    </w:p>
    <w:p>
      <w:pPr>
        <w:pStyle w:val="23"/>
        <w:numPr>
          <w:ilvl w:val="0"/>
          <w:numId w:val="25"/>
        </w:numPr>
        <w:adjustRightInd w:val="0"/>
        <w:snapToGrid w:val="0"/>
        <w:ind w:firstLineChars="0"/>
        <w:rPr>
          <w:rFonts w:ascii="微软雅黑" w:hAnsi="微软雅黑" w:eastAsia="微软雅黑"/>
          <w:szCs w:val="21"/>
        </w:rPr>
      </w:pPr>
      <w:r>
        <w:rPr>
          <w:rFonts w:ascii="微软雅黑" w:hAnsi="微软雅黑" w:eastAsia="微软雅黑"/>
          <w:szCs w:val="21"/>
        </w:rPr>
        <w:t>档案管理的监管和法律要求</w:t>
      </w:r>
    </w:p>
    <w:p>
      <w:pPr>
        <w:pStyle w:val="23"/>
        <w:numPr>
          <w:ilvl w:val="0"/>
          <w:numId w:val="25"/>
        </w:numPr>
        <w:adjustRightInd w:val="0"/>
        <w:snapToGrid w:val="0"/>
        <w:ind w:firstLineChars="0"/>
        <w:rPr>
          <w:rFonts w:ascii="微软雅黑" w:hAnsi="微软雅黑" w:eastAsia="微软雅黑"/>
          <w:szCs w:val="21"/>
        </w:rPr>
      </w:pPr>
      <w:r>
        <w:rPr>
          <w:rFonts w:ascii="微软雅黑" w:hAnsi="微软雅黑" w:eastAsia="微软雅黑"/>
          <w:szCs w:val="21"/>
        </w:rPr>
        <w:t>数据库管理的组织策略</w:t>
      </w:r>
    </w:p>
    <w:p>
      <w:pPr>
        <w:pStyle w:val="23"/>
        <w:numPr>
          <w:ilvl w:val="0"/>
          <w:numId w:val="25"/>
        </w:numPr>
        <w:adjustRightInd w:val="0"/>
        <w:snapToGrid w:val="0"/>
        <w:ind w:firstLineChars="0"/>
        <w:rPr>
          <w:rFonts w:ascii="微软雅黑" w:hAnsi="微软雅黑" w:eastAsia="微软雅黑"/>
          <w:szCs w:val="21"/>
        </w:rPr>
      </w:pPr>
      <w:r>
        <w:rPr>
          <w:rFonts w:ascii="微软雅黑" w:hAnsi="微软雅黑" w:eastAsia="微软雅黑"/>
          <w:szCs w:val="21"/>
        </w:rPr>
        <w:t>国内和国际的问题</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验证有关第三方的财务交易和承诺确实存在、准确、完整。</w:t>
      </w:r>
    </w:p>
    <w:p>
      <w:pPr>
        <w:pStyle w:val="23"/>
        <w:numPr>
          <w:ilvl w:val="0"/>
          <w:numId w:val="26"/>
        </w:numPr>
        <w:adjustRightInd w:val="0"/>
        <w:snapToGrid w:val="0"/>
        <w:ind w:firstLineChars="0"/>
        <w:rPr>
          <w:rFonts w:ascii="微软雅黑" w:hAnsi="微软雅黑" w:eastAsia="微软雅黑"/>
          <w:szCs w:val="21"/>
        </w:rPr>
      </w:pPr>
      <w:r>
        <w:rPr>
          <w:rFonts w:ascii="微软雅黑" w:hAnsi="微软雅黑" w:eastAsia="微软雅黑"/>
          <w:szCs w:val="21"/>
        </w:rPr>
        <w:t>国内国际法规要求</w:t>
      </w:r>
    </w:p>
    <w:p>
      <w:pPr>
        <w:pStyle w:val="23"/>
        <w:numPr>
          <w:ilvl w:val="0"/>
          <w:numId w:val="26"/>
        </w:numPr>
        <w:adjustRightInd w:val="0"/>
        <w:snapToGrid w:val="0"/>
        <w:ind w:firstLineChars="0"/>
        <w:rPr>
          <w:rFonts w:ascii="微软雅黑" w:hAnsi="微软雅黑" w:eastAsia="微软雅黑"/>
          <w:szCs w:val="21"/>
        </w:rPr>
      </w:pPr>
      <w:r>
        <w:rPr>
          <w:rFonts w:ascii="微软雅黑" w:hAnsi="微软雅黑" w:eastAsia="微软雅黑"/>
          <w:szCs w:val="21"/>
        </w:rPr>
        <w:t>组织财务报告政策</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对市场上产品生命周期终止的问题进行风险评估，并对产品的所有部件建立适当的风险规避计划。</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产品路线图和规范</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产品生命周期成本</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产品营销战略</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市场情报</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与供应商协作</w:t>
      </w:r>
    </w:p>
    <w:p>
      <w:pPr>
        <w:pStyle w:val="23"/>
        <w:numPr>
          <w:ilvl w:val="0"/>
          <w:numId w:val="27"/>
        </w:numPr>
        <w:adjustRightInd w:val="0"/>
        <w:snapToGrid w:val="0"/>
        <w:ind w:firstLineChars="0"/>
        <w:rPr>
          <w:rFonts w:ascii="微软雅黑" w:hAnsi="微软雅黑" w:eastAsia="微软雅黑"/>
          <w:szCs w:val="21"/>
        </w:rPr>
      </w:pPr>
      <w:r>
        <w:rPr>
          <w:rFonts w:ascii="微软雅黑" w:hAnsi="微软雅黑" w:eastAsia="微软雅黑"/>
          <w:szCs w:val="21"/>
        </w:rPr>
        <w:t>组织的风险承受能力</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对危险/管制物资，做好储存、处置工作，并做好相应的文档。</w:t>
      </w:r>
    </w:p>
    <w:p>
      <w:pPr>
        <w:pStyle w:val="23"/>
        <w:numPr>
          <w:ilvl w:val="0"/>
          <w:numId w:val="21"/>
        </w:numPr>
        <w:adjustRightInd w:val="0"/>
        <w:snapToGrid w:val="0"/>
        <w:ind w:firstLineChars="0"/>
        <w:rPr>
          <w:rFonts w:ascii="微软雅黑" w:hAnsi="微软雅黑" w:eastAsia="微软雅黑"/>
          <w:szCs w:val="21"/>
        </w:rPr>
      </w:pPr>
      <w:r>
        <w:rPr>
          <w:rFonts w:hint="eastAsia" w:ascii="微软雅黑" w:hAnsi="微软雅黑" w:eastAsia="微软雅黑"/>
          <w:szCs w:val="21"/>
        </w:rPr>
        <w:t>遵守程序，防止歧视、骚扰；如有发生，做出合适应对。</w:t>
      </w:r>
    </w:p>
    <w:p>
      <w:pPr>
        <w:adjustRightInd w:val="0"/>
        <w:snapToGrid w:val="0"/>
        <w:rPr>
          <w:rFonts w:ascii="微软雅黑" w:hAnsi="微软雅黑" w:eastAsia="微软雅黑"/>
          <w:b/>
          <w:szCs w:val="21"/>
        </w:rPr>
      </w:pPr>
      <w:r>
        <w:rPr>
          <w:rFonts w:hint="eastAsia" w:ascii="微软雅黑" w:hAnsi="微软雅黑" w:eastAsia="微软雅黑"/>
          <w:b/>
          <w:szCs w:val="21"/>
        </w:rPr>
        <w:t>四、供应商战略寻源</w:t>
      </w:r>
    </w:p>
    <w:p>
      <w:pPr>
        <w:pStyle w:val="23"/>
        <w:numPr>
          <w:ilvl w:val="0"/>
          <w:numId w:val="28"/>
        </w:numPr>
        <w:adjustRightInd w:val="0"/>
        <w:snapToGrid w:val="0"/>
        <w:ind w:firstLineChars="0"/>
        <w:rPr>
          <w:rFonts w:ascii="微软雅黑" w:hAnsi="微软雅黑" w:eastAsia="微软雅黑"/>
          <w:szCs w:val="21"/>
        </w:rPr>
      </w:pPr>
      <w:r>
        <w:rPr>
          <w:rFonts w:hint="eastAsia" w:ascii="微软雅黑" w:hAnsi="微软雅黑" w:eastAsia="微软雅黑"/>
          <w:szCs w:val="21"/>
        </w:rPr>
        <w:t>在与组织目标和采购策略保持一致性的前提下，建立和执行战略寻源计划。</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与采购策略相关的组织内部情况</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利益相关者的参与与密切合作</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市场分析</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供应商市场策略</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风险</w:t>
      </w:r>
      <w:r>
        <w:rPr>
          <w:rFonts w:hint="eastAsia" w:ascii="微软雅黑" w:hAnsi="微软雅黑" w:eastAsia="微软雅黑"/>
          <w:szCs w:val="21"/>
        </w:rPr>
        <w:t>、</w:t>
      </w:r>
      <w:r>
        <w:rPr>
          <w:rFonts w:ascii="微软雅黑" w:hAnsi="微软雅黑" w:eastAsia="微软雅黑"/>
          <w:szCs w:val="21"/>
        </w:rPr>
        <w:t>收益分析</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推出计划</w:t>
      </w:r>
    </w:p>
    <w:p>
      <w:pPr>
        <w:pStyle w:val="23"/>
        <w:numPr>
          <w:ilvl w:val="0"/>
          <w:numId w:val="29"/>
        </w:numPr>
        <w:adjustRightInd w:val="0"/>
        <w:snapToGrid w:val="0"/>
        <w:ind w:firstLineChars="0"/>
        <w:rPr>
          <w:rFonts w:ascii="微软雅黑" w:hAnsi="微软雅黑" w:eastAsia="微软雅黑"/>
          <w:szCs w:val="21"/>
        </w:rPr>
      </w:pPr>
      <w:r>
        <w:rPr>
          <w:rFonts w:ascii="微软雅黑" w:hAnsi="微软雅黑" w:eastAsia="微软雅黑"/>
          <w:szCs w:val="21"/>
        </w:rPr>
        <w:t>分阶段时间线法</w:t>
      </w:r>
    </w:p>
    <w:p>
      <w:pPr>
        <w:pStyle w:val="23"/>
        <w:numPr>
          <w:ilvl w:val="0"/>
          <w:numId w:val="28"/>
        </w:numPr>
        <w:adjustRightInd w:val="0"/>
        <w:snapToGrid w:val="0"/>
        <w:ind w:firstLineChars="0"/>
        <w:rPr>
          <w:rFonts w:ascii="微软雅黑" w:hAnsi="微软雅黑" w:eastAsia="微软雅黑"/>
          <w:szCs w:val="21"/>
        </w:rPr>
      </w:pPr>
      <w:r>
        <w:rPr>
          <w:rFonts w:hint="eastAsia" w:ascii="微软雅黑" w:hAnsi="微软雅黑" w:eastAsia="微软雅黑"/>
          <w:szCs w:val="21"/>
        </w:rPr>
        <w:t>建立并规范化战略寻源程序以及改进业务流程。</w:t>
      </w:r>
    </w:p>
    <w:p>
      <w:pPr>
        <w:pStyle w:val="23"/>
        <w:numPr>
          <w:ilvl w:val="0"/>
          <w:numId w:val="30"/>
        </w:numPr>
        <w:adjustRightInd w:val="0"/>
        <w:snapToGrid w:val="0"/>
        <w:ind w:firstLineChars="0"/>
        <w:rPr>
          <w:rFonts w:ascii="微软雅黑" w:hAnsi="微软雅黑" w:eastAsia="微软雅黑"/>
          <w:szCs w:val="21"/>
        </w:rPr>
      </w:pPr>
      <w:r>
        <w:rPr>
          <w:rFonts w:ascii="微软雅黑" w:hAnsi="微软雅黑" w:eastAsia="微软雅黑"/>
          <w:szCs w:val="21"/>
        </w:rPr>
        <w:t>战略采购流程</w:t>
      </w:r>
    </w:p>
    <w:p>
      <w:pPr>
        <w:pStyle w:val="23"/>
        <w:numPr>
          <w:ilvl w:val="0"/>
          <w:numId w:val="30"/>
        </w:numPr>
        <w:adjustRightInd w:val="0"/>
        <w:snapToGrid w:val="0"/>
        <w:ind w:firstLineChars="0"/>
        <w:rPr>
          <w:rFonts w:ascii="微软雅黑" w:hAnsi="微软雅黑" w:eastAsia="微软雅黑"/>
          <w:szCs w:val="21"/>
        </w:rPr>
      </w:pPr>
      <w:r>
        <w:rPr>
          <w:rFonts w:ascii="微软雅黑" w:hAnsi="微软雅黑" w:eastAsia="微软雅黑"/>
          <w:szCs w:val="21"/>
        </w:rPr>
        <w:t>战略供应管理的概念</w:t>
      </w:r>
    </w:p>
    <w:p>
      <w:pPr>
        <w:pStyle w:val="23"/>
        <w:numPr>
          <w:ilvl w:val="0"/>
          <w:numId w:val="30"/>
        </w:numPr>
        <w:adjustRightInd w:val="0"/>
        <w:snapToGrid w:val="0"/>
        <w:ind w:firstLineChars="0"/>
        <w:rPr>
          <w:rFonts w:ascii="微软雅黑" w:hAnsi="微软雅黑" w:eastAsia="微软雅黑"/>
          <w:szCs w:val="21"/>
        </w:rPr>
      </w:pPr>
      <w:r>
        <w:rPr>
          <w:rFonts w:ascii="微软雅黑" w:hAnsi="微软雅黑" w:eastAsia="微软雅黑"/>
          <w:szCs w:val="21"/>
        </w:rPr>
        <w:t>战略采购的技能分析</w:t>
      </w:r>
    </w:p>
    <w:p>
      <w:pPr>
        <w:pStyle w:val="23"/>
        <w:numPr>
          <w:ilvl w:val="0"/>
          <w:numId w:val="28"/>
        </w:numPr>
        <w:adjustRightInd w:val="0"/>
        <w:snapToGrid w:val="0"/>
        <w:ind w:firstLineChars="0"/>
        <w:rPr>
          <w:rFonts w:ascii="微软雅黑" w:hAnsi="微软雅黑" w:eastAsia="微软雅黑"/>
          <w:szCs w:val="21"/>
        </w:rPr>
      </w:pPr>
      <w:r>
        <w:rPr>
          <w:rFonts w:hint="eastAsia" w:ascii="微软雅黑" w:hAnsi="微软雅黑" w:eastAsia="微软雅黑"/>
          <w:szCs w:val="21"/>
        </w:rPr>
        <w:t>确立、评估、选择和实施相关技术，支持在整个组织内部的供应管理职能。</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业务流程设计</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采购选择实施和采纳的方法</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电子采购工具</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管理在线活动的程序</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支出分析</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风险管理工具</w:t>
      </w:r>
    </w:p>
    <w:p>
      <w:pPr>
        <w:pStyle w:val="23"/>
        <w:numPr>
          <w:ilvl w:val="0"/>
          <w:numId w:val="31"/>
        </w:numPr>
        <w:adjustRightInd w:val="0"/>
        <w:snapToGrid w:val="0"/>
        <w:ind w:firstLineChars="0"/>
        <w:rPr>
          <w:rFonts w:ascii="微软雅黑" w:hAnsi="微软雅黑" w:eastAsia="微软雅黑"/>
          <w:szCs w:val="21"/>
        </w:rPr>
      </w:pPr>
      <w:r>
        <w:rPr>
          <w:rFonts w:ascii="微软雅黑" w:hAnsi="微软雅黑" w:eastAsia="微软雅黑"/>
          <w:szCs w:val="21"/>
        </w:rPr>
        <w:t>供应商绩效测评</w:t>
      </w:r>
    </w:p>
    <w:p>
      <w:pPr>
        <w:pStyle w:val="23"/>
        <w:numPr>
          <w:ilvl w:val="0"/>
          <w:numId w:val="28"/>
        </w:numPr>
        <w:adjustRightInd w:val="0"/>
        <w:snapToGrid w:val="0"/>
        <w:ind w:firstLineChars="0"/>
        <w:rPr>
          <w:rFonts w:ascii="微软雅黑" w:hAnsi="微软雅黑" w:eastAsia="微软雅黑"/>
          <w:szCs w:val="21"/>
        </w:rPr>
      </w:pPr>
      <w:r>
        <w:rPr>
          <w:rFonts w:hint="eastAsia" w:ascii="微软雅黑" w:hAnsi="微软雅黑" w:eastAsia="微软雅黑"/>
          <w:szCs w:val="21"/>
        </w:rPr>
        <w:t>分析、制定和执行战略，确定优先级别，充分利用采购开支上的优势。通过分析来确定内包和外包战略。</w:t>
      </w:r>
    </w:p>
    <w:p>
      <w:pPr>
        <w:pStyle w:val="23"/>
        <w:numPr>
          <w:ilvl w:val="0"/>
          <w:numId w:val="32"/>
        </w:numPr>
        <w:adjustRightInd w:val="0"/>
        <w:snapToGrid w:val="0"/>
        <w:ind w:firstLineChars="0"/>
        <w:rPr>
          <w:rFonts w:ascii="微软雅黑" w:hAnsi="微软雅黑" w:eastAsia="微软雅黑"/>
          <w:szCs w:val="21"/>
        </w:rPr>
      </w:pPr>
      <w:r>
        <w:rPr>
          <w:rFonts w:ascii="微软雅黑" w:hAnsi="微软雅黑" w:eastAsia="微软雅黑"/>
          <w:szCs w:val="21"/>
        </w:rPr>
        <w:t>成本价格分析</w:t>
      </w:r>
    </w:p>
    <w:p>
      <w:pPr>
        <w:pStyle w:val="23"/>
        <w:numPr>
          <w:ilvl w:val="0"/>
          <w:numId w:val="32"/>
        </w:numPr>
        <w:adjustRightInd w:val="0"/>
        <w:snapToGrid w:val="0"/>
        <w:ind w:firstLineChars="0"/>
        <w:rPr>
          <w:rFonts w:ascii="微软雅黑" w:hAnsi="微软雅黑" w:eastAsia="微软雅黑"/>
          <w:szCs w:val="21"/>
        </w:rPr>
      </w:pPr>
      <w:r>
        <w:rPr>
          <w:rFonts w:ascii="微软雅黑" w:hAnsi="微软雅黑" w:eastAsia="微软雅黑"/>
          <w:szCs w:val="21"/>
        </w:rPr>
        <w:t>风险分析</w:t>
      </w:r>
    </w:p>
    <w:p>
      <w:pPr>
        <w:pStyle w:val="23"/>
        <w:numPr>
          <w:ilvl w:val="0"/>
          <w:numId w:val="32"/>
        </w:numPr>
        <w:adjustRightInd w:val="0"/>
        <w:snapToGrid w:val="0"/>
        <w:ind w:firstLineChars="0"/>
        <w:rPr>
          <w:rFonts w:ascii="微软雅黑" w:hAnsi="微软雅黑" w:eastAsia="微软雅黑"/>
          <w:szCs w:val="21"/>
        </w:rPr>
      </w:pPr>
      <w:r>
        <w:rPr>
          <w:rFonts w:ascii="微软雅黑" w:hAnsi="微软雅黑" w:eastAsia="微软雅黑"/>
          <w:szCs w:val="21"/>
        </w:rPr>
        <w:t>供应市场分析</w:t>
      </w:r>
    </w:p>
    <w:p>
      <w:pPr>
        <w:pStyle w:val="23"/>
        <w:numPr>
          <w:ilvl w:val="0"/>
          <w:numId w:val="32"/>
        </w:numPr>
        <w:adjustRightInd w:val="0"/>
        <w:snapToGrid w:val="0"/>
        <w:ind w:firstLineChars="0"/>
        <w:rPr>
          <w:rFonts w:ascii="微软雅黑" w:hAnsi="微软雅黑" w:eastAsia="微软雅黑"/>
          <w:szCs w:val="21"/>
        </w:rPr>
      </w:pPr>
      <w:r>
        <w:rPr>
          <w:rFonts w:ascii="微软雅黑" w:hAnsi="微软雅黑" w:eastAsia="微软雅黑"/>
          <w:szCs w:val="21"/>
        </w:rPr>
        <w:t>采购策略制订</w:t>
      </w:r>
    </w:p>
    <w:p>
      <w:pPr>
        <w:pStyle w:val="23"/>
        <w:numPr>
          <w:ilvl w:val="0"/>
          <w:numId w:val="32"/>
        </w:numPr>
        <w:adjustRightInd w:val="0"/>
        <w:snapToGrid w:val="0"/>
        <w:ind w:firstLineChars="0"/>
        <w:rPr>
          <w:rFonts w:ascii="微软雅黑" w:hAnsi="微软雅黑" w:eastAsia="微软雅黑"/>
          <w:szCs w:val="21"/>
        </w:rPr>
        <w:sectPr>
          <w:type w:val="continuous"/>
          <w:pgSz w:w="11906" w:h="16838"/>
          <w:pgMar w:top="1134" w:right="1286" w:bottom="851" w:left="1134" w:header="851" w:footer="229" w:gutter="0"/>
          <w:pgNumType w:fmt="numberInDash"/>
          <w:cols w:space="425" w:num="2" w:sep="1"/>
          <w:docGrid w:type="linesAndChars" w:linePitch="312" w:charSpace="0"/>
        </w:sectPr>
      </w:pPr>
      <w:r>
        <w:rPr>
          <w:rFonts w:ascii="微软雅黑" w:hAnsi="微软雅黑" w:eastAsia="微软雅黑"/>
          <w:szCs w:val="21"/>
        </w:rPr>
        <w:t>自制或购进或外包分析策略</w:t>
      </w:r>
    </w:p>
    <w:p>
      <w:pPr>
        <w:adjustRightInd w:val="0"/>
        <w:snapToGrid w:val="0"/>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ascii="宋体" w:hAnsi="宋体" w:cs="宋体"/>
          <w:color w:val="000000"/>
          <w:kern w:val="0"/>
          <w:sz w:val="22"/>
          <w:szCs w:val="22"/>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73660</wp:posOffset>
            </wp:positionV>
            <wp:extent cx="1258570" cy="1500505"/>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6">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hint="eastAsia" w:ascii="微软雅黑" w:hAnsi="微软雅黑" w:eastAsia="微软雅黑"/>
          <w:b/>
          <w:color w:val="FF0000"/>
          <w:sz w:val="24"/>
        </w:rPr>
        <w:t>讲师介绍：</w:t>
      </w:r>
    </w:p>
    <w:p>
      <w:pPr>
        <w:adjustRightInd w:val="0"/>
        <w:snapToGrid w:val="0"/>
        <w:spacing w:line="276" w:lineRule="auto"/>
        <w:rPr>
          <w:rFonts w:ascii="微软雅黑" w:hAnsi="微软雅黑" w:eastAsia="微软雅黑"/>
          <w:b/>
          <w:color w:val="FF0000"/>
          <w:sz w:val="24"/>
        </w:rPr>
      </w:pPr>
      <w:r>
        <w:rPr>
          <w:rFonts w:hint="eastAsia" w:ascii="宋体" w:hAnsi="宋体" w:cs="宋体"/>
          <w:b/>
          <w:bCs/>
          <w:color w:val="000000" w:themeColor="text1"/>
          <w:kern w:val="0"/>
          <w:sz w:val="28"/>
          <w:szCs w:val="21"/>
          <w14:textFill>
            <w14:solidFill>
              <w14:schemeClr w14:val="tx1"/>
            </w14:solidFill>
          </w14:textFill>
        </w:rPr>
        <w:t>王保华</w:t>
      </w:r>
    </w:p>
    <w:p>
      <w:pPr>
        <w:pStyle w:val="23"/>
        <w:widowControl/>
        <w:numPr>
          <w:ilvl w:val="0"/>
          <w:numId w:val="33"/>
        </w:numPr>
        <w:tabs>
          <w:tab w:val="left" w:pos="668"/>
        </w:tabs>
        <w:adjustRightInd w:val="0"/>
        <w:snapToGrid w:val="0"/>
        <w:spacing w:line="276" w:lineRule="auto"/>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中国物流学会常务理事；</w:t>
      </w:r>
    </w:p>
    <w:p>
      <w:pPr>
        <w:pStyle w:val="23"/>
        <w:widowControl/>
        <w:numPr>
          <w:ilvl w:val="0"/>
          <w:numId w:val="33"/>
        </w:numPr>
        <w:tabs>
          <w:tab w:val="left" w:pos="668"/>
        </w:tabs>
        <w:adjustRightInd w:val="0"/>
        <w:snapToGrid w:val="0"/>
        <w:spacing w:line="276" w:lineRule="auto"/>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中国物流与采购联合会核心专家；</w:t>
      </w:r>
    </w:p>
    <w:p>
      <w:pPr>
        <w:pStyle w:val="23"/>
        <w:widowControl/>
        <w:numPr>
          <w:ilvl w:val="0"/>
          <w:numId w:val="33"/>
        </w:numPr>
        <w:tabs>
          <w:tab w:val="left" w:pos="668"/>
        </w:tabs>
        <w:adjustRightInd w:val="0"/>
        <w:snapToGrid w:val="0"/>
        <w:spacing w:line="276" w:lineRule="auto"/>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中国采购与供应链管理专业委员会专家；</w:t>
      </w:r>
    </w:p>
    <w:p>
      <w:pPr>
        <w:pStyle w:val="23"/>
        <w:widowControl/>
        <w:numPr>
          <w:ilvl w:val="0"/>
          <w:numId w:val="33"/>
        </w:numPr>
        <w:tabs>
          <w:tab w:val="left" w:pos="668"/>
        </w:tabs>
        <w:adjustRightInd w:val="0"/>
        <w:snapToGrid w:val="0"/>
        <w:spacing w:line="276" w:lineRule="auto"/>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香港理工大学毕业，国际航运和供应链管理硕士学位；</w:t>
      </w:r>
    </w:p>
    <w:p>
      <w:pPr>
        <w:pStyle w:val="23"/>
        <w:widowControl/>
        <w:numPr>
          <w:ilvl w:val="0"/>
          <w:numId w:val="33"/>
        </w:numPr>
        <w:tabs>
          <w:tab w:val="left" w:pos="668"/>
        </w:tabs>
        <w:adjustRightInd w:val="0"/>
        <w:snapToGrid w:val="0"/>
        <w:spacing w:line="276" w:lineRule="auto"/>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现任职于上海帕迪企业管理咨询有限公司高级培训师。</w:t>
      </w:r>
    </w:p>
    <w:p>
      <w:pPr>
        <w:widowControl/>
        <w:tabs>
          <w:tab w:val="left" w:pos="400"/>
        </w:tabs>
        <w:adjustRightInd w:val="0"/>
        <w:snapToGrid w:val="0"/>
        <w:spacing w:line="276"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英国CIPS系列课程授权讲师；美国供应链管理协会及中国物流与采购联合会授权讲师</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主讲CPM / CPSM（注册采购经理/注册采购供应经理师）全系列课程。获得2009-2010年度CPM项目优秀讲师荣誉称号。</w:t>
      </w:r>
    </w:p>
    <w:p>
      <w:pPr>
        <w:widowControl/>
        <w:tabs>
          <w:tab w:val="left" w:pos="535"/>
        </w:tabs>
        <w:adjustRightInd w:val="0"/>
        <w:snapToGrid w:val="0"/>
        <w:spacing w:line="276"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在外企担任高管20年后，曾应邀供职于海尔集团担任集团副总裁及全球营运总经理，主管集团全球直接采购、间接采购，供应链管理、物流营运、安全、能源，及行政管理等职能部门。</w:t>
      </w:r>
    </w:p>
    <w:p>
      <w:pPr>
        <w:widowControl/>
        <w:tabs>
          <w:tab w:val="left" w:pos="668"/>
        </w:tabs>
        <w:adjustRightInd w:val="0"/>
        <w:snapToGrid w:val="0"/>
        <w:spacing w:line="276"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pPr>
        <w:widowControl/>
        <w:tabs>
          <w:tab w:val="left" w:pos="475"/>
        </w:tabs>
        <w:adjustRightInd w:val="0"/>
        <w:snapToGrid w:val="0"/>
        <w:spacing w:line="276" w:lineRule="auto"/>
        <w:ind w:left="-1" w:leftChars="-1" w:hanging="1"/>
        <w:jc w:val="left"/>
        <w:rPr>
          <w:rFonts w:ascii="微软雅黑" w:hAnsi="微软雅黑" w:eastAsia="微软雅黑" w:cs="宋体"/>
          <w:kern w:val="0"/>
          <w:szCs w:val="21"/>
        </w:rPr>
      </w:pPr>
      <w:r>
        <w:rPr>
          <w:rFonts w:hint="eastAsia" w:ascii="微软雅黑" w:hAnsi="微软雅黑" w:eastAsia="微软雅黑" w:cs="宋体"/>
          <w:kern w:val="0"/>
          <w:szCs w:val="21"/>
        </w:rPr>
        <w:tab/>
      </w:r>
      <w:r>
        <w:rPr>
          <w:rFonts w:ascii="微软雅黑" w:hAnsi="微软雅黑" w:eastAsia="微软雅黑" w:cs="宋体"/>
          <w:kern w:val="0"/>
          <w:szCs w:val="21"/>
        </w:rPr>
        <w:t xml:space="preserve">    </w:t>
      </w:r>
      <w:r>
        <w:rPr>
          <w:rFonts w:hint="eastAsia" w:ascii="微软雅黑" w:hAnsi="微软雅黑" w:eastAsia="微软雅黑" w:cs="宋体"/>
          <w:kern w:val="0"/>
          <w:szCs w:val="21"/>
        </w:rPr>
        <w:t xml:space="preserve">曾应南开大学现代物流研究中心邀请共同撰写了由机械工业出版社出版的 《中国现代物流发展报告（2003）》；中国物流与采购联合会邀请共同撰写了由中国物 资出版社出版的《中国采购发展报告（2008）》、《中国采购发展报告（2010）》；翻译出版了注册采购供应经理师专业丛书《供应管理的领导力》。 </w:t>
      </w:r>
    </w:p>
    <w:p>
      <w:pPr>
        <w:widowControl/>
        <w:tabs>
          <w:tab w:val="left" w:pos="475"/>
        </w:tabs>
        <w:adjustRightInd w:val="0"/>
        <w:snapToGrid w:val="0"/>
        <w:spacing w:line="276" w:lineRule="auto"/>
        <w:ind w:left="-2" w:leftChars="-1"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在工作之余，常在北京清华大学、上海复旦大学、上海交通大学、上海大学等知名大学讲授采购及供应链管理专题课程。还应邀赴韩国高丽大学、台湾东吴大学讲学；2005年赴新加坡主持国际采购论坛；2007年应印度政府邀请在印度首都新德里参加并主持“ELCOMP Inida 2007”国际采购论坛；2008年在北京应邀主持中外物流企业国际合作高峰论坛。</w:t>
      </w:r>
    </w:p>
    <w:p>
      <w:pPr>
        <w:widowControl/>
        <w:tabs>
          <w:tab w:val="left" w:pos="475"/>
        </w:tabs>
        <w:adjustRightInd w:val="0"/>
        <w:snapToGrid w:val="0"/>
        <w:spacing w:line="276" w:lineRule="auto"/>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培训和指导过的有：惠普（HP）、联想集团、可口可乐、施贵宝、惠尔浦、索尼爱立信、富士康、D&amp;M、丹佛斯、UPS、Joy P&amp;H、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p>
    <w:p>
      <w:pPr>
        <w:widowControl/>
        <w:tabs>
          <w:tab w:val="left" w:pos="668"/>
        </w:tabs>
        <w:ind w:left="108"/>
        <w:jc w:val="center"/>
        <w:rPr>
          <w:rFonts w:eastAsia="微软雅黑"/>
          <w:b/>
          <w:color w:val="FF0000"/>
          <w:sz w:val="36"/>
        </w:r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both"/>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28"/>
    <w:multiLevelType w:val="multilevel"/>
    <w:tmpl w:val="05886E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B1E3C3F"/>
    <w:multiLevelType w:val="multilevel"/>
    <w:tmpl w:val="0B1E3C3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100600A"/>
    <w:multiLevelType w:val="multilevel"/>
    <w:tmpl w:val="1100600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3670C95"/>
    <w:multiLevelType w:val="multilevel"/>
    <w:tmpl w:val="13670C9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77D5E5C"/>
    <w:multiLevelType w:val="multilevel"/>
    <w:tmpl w:val="177D5E5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18620B6E"/>
    <w:multiLevelType w:val="multilevel"/>
    <w:tmpl w:val="18620B6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F9A21A8"/>
    <w:multiLevelType w:val="multilevel"/>
    <w:tmpl w:val="1F9A21A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16568E1"/>
    <w:multiLevelType w:val="multilevel"/>
    <w:tmpl w:val="216568E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B77256D"/>
    <w:multiLevelType w:val="multilevel"/>
    <w:tmpl w:val="2B77256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2D721CD5"/>
    <w:multiLevelType w:val="multilevel"/>
    <w:tmpl w:val="2D721C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0CE78AC"/>
    <w:multiLevelType w:val="multilevel"/>
    <w:tmpl w:val="30CE78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318C0D5D"/>
    <w:multiLevelType w:val="multilevel"/>
    <w:tmpl w:val="318C0D5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93B53CA"/>
    <w:multiLevelType w:val="multilevel"/>
    <w:tmpl w:val="393B53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D343CC8"/>
    <w:multiLevelType w:val="multilevel"/>
    <w:tmpl w:val="3D343CC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3F0D0D99"/>
    <w:multiLevelType w:val="multilevel"/>
    <w:tmpl w:val="3F0D0D9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428B0660"/>
    <w:multiLevelType w:val="multilevel"/>
    <w:tmpl w:val="428B06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302600D"/>
    <w:multiLevelType w:val="multilevel"/>
    <w:tmpl w:val="430260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44D32177"/>
    <w:multiLevelType w:val="multilevel"/>
    <w:tmpl w:val="44D3217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44FC4D37"/>
    <w:multiLevelType w:val="multilevel"/>
    <w:tmpl w:val="44FC4D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6556AE9"/>
    <w:multiLevelType w:val="multilevel"/>
    <w:tmpl w:val="46556AE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496F6589"/>
    <w:multiLevelType w:val="multilevel"/>
    <w:tmpl w:val="496F658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49D814AD"/>
    <w:multiLevelType w:val="multilevel"/>
    <w:tmpl w:val="49D814A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4AD2136B"/>
    <w:multiLevelType w:val="multilevel"/>
    <w:tmpl w:val="4AD2136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
    <w:nsid w:val="4BCB65F0"/>
    <w:multiLevelType w:val="multilevel"/>
    <w:tmpl w:val="4BCB65F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4F0C5426"/>
    <w:multiLevelType w:val="multilevel"/>
    <w:tmpl w:val="4F0C542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5B6873D9"/>
    <w:multiLevelType w:val="multilevel"/>
    <w:tmpl w:val="5B6873D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64F379A9"/>
    <w:multiLevelType w:val="multilevel"/>
    <w:tmpl w:val="64F379A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
    <w:nsid w:val="67172942"/>
    <w:multiLevelType w:val="multilevel"/>
    <w:tmpl w:val="671729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87A5CDF"/>
    <w:multiLevelType w:val="multilevel"/>
    <w:tmpl w:val="687A5CD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9">
    <w:nsid w:val="69564AF6"/>
    <w:multiLevelType w:val="multilevel"/>
    <w:tmpl w:val="69564AF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0">
    <w:nsid w:val="6EA61A87"/>
    <w:multiLevelType w:val="multilevel"/>
    <w:tmpl w:val="6EA61A8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1">
    <w:nsid w:val="74C04C1B"/>
    <w:multiLevelType w:val="multilevel"/>
    <w:tmpl w:val="74C04C1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2">
    <w:nsid w:val="7B6240E2"/>
    <w:multiLevelType w:val="multilevel"/>
    <w:tmpl w:val="7B6240E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5"/>
  </w:num>
  <w:num w:numId="2">
    <w:abstractNumId w:val="30"/>
  </w:num>
  <w:num w:numId="3">
    <w:abstractNumId w:val="29"/>
  </w:num>
  <w:num w:numId="4">
    <w:abstractNumId w:val="11"/>
  </w:num>
  <w:num w:numId="5">
    <w:abstractNumId w:val="17"/>
  </w:num>
  <w:num w:numId="6">
    <w:abstractNumId w:val="22"/>
  </w:num>
  <w:num w:numId="7">
    <w:abstractNumId w:val="6"/>
  </w:num>
  <w:num w:numId="8">
    <w:abstractNumId w:val="21"/>
  </w:num>
  <w:num w:numId="9">
    <w:abstractNumId w:val="4"/>
  </w:num>
  <w:num w:numId="10">
    <w:abstractNumId w:val="18"/>
  </w:num>
  <w:num w:numId="11">
    <w:abstractNumId w:val="7"/>
  </w:num>
  <w:num w:numId="12">
    <w:abstractNumId w:val="31"/>
  </w:num>
  <w:num w:numId="13">
    <w:abstractNumId w:val="5"/>
  </w:num>
  <w:num w:numId="14">
    <w:abstractNumId w:val="23"/>
  </w:num>
  <w:num w:numId="15">
    <w:abstractNumId w:val="26"/>
  </w:num>
  <w:num w:numId="16">
    <w:abstractNumId w:val="10"/>
  </w:num>
  <w:num w:numId="17">
    <w:abstractNumId w:val="8"/>
  </w:num>
  <w:num w:numId="18">
    <w:abstractNumId w:val="0"/>
  </w:num>
  <w:num w:numId="19">
    <w:abstractNumId w:val="24"/>
  </w:num>
  <w:num w:numId="20">
    <w:abstractNumId w:val="16"/>
  </w:num>
  <w:num w:numId="21">
    <w:abstractNumId w:val="12"/>
  </w:num>
  <w:num w:numId="22">
    <w:abstractNumId w:val="2"/>
  </w:num>
  <w:num w:numId="23">
    <w:abstractNumId w:val="20"/>
  </w:num>
  <w:num w:numId="24">
    <w:abstractNumId w:val="28"/>
  </w:num>
  <w:num w:numId="25">
    <w:abstractNumId w:val="13"/>
  </w:num>
  <w:num w:numId="26">
    <w:abstractNumId w:val="32"/>
  </w:num>
  <w:num w:numId="27">
    <w:abstractNumId w:val="1"/>
  </w:num>
  <w:num w:numId="28">
    <w:abstractNumId w:val="9"/>
  </w:num>
  <w:num w:numId="29">
    <w:abstractNumId w:val="19"/>
  </w:num>
  <w:num w:numId="30">
    <w:abstractNumId w:val="25"/>
  </w:num>
  <w:num w:numId="31">
    <w:abstractNumId w:val="3"/>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2158"/>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31BB"/>
    <w:rsid w:val="000B7013"/>
    <w:rsid w:val="000C5FC3"/>
    <w:rsid w:val="000C6781"/>
    <w:rsid w:val="000C7FDD"/>
    <w:rsid w:val="000D03CC"/>
    <w:rsid w:val="000D1F9B"/>
    <w:rsid w:val="000D2D5F"/>
    <w:rsid w:val="000E1304"/>
    <w:rsid w:val="000E1376"/>
    <w:rsid w:val="000E3BD9"/>
    <w:rsid w:val="000E4826"/>
    <w:rsid w:val="000E5921"/>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69FA"/>
    <w:rsid w:val="00137DD0"/>
    <w:rsid w:val="001440D0"/>
    <w:rsid w:val="00147C16"/>
    <w:rsid w:val="00151461"/>
    <w:rsid w:val="00153B1E"/>
    <w:rsid w:val="001560E5"/>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208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18D0"/>
    <w:rsid w:val="00365D38"/>
    <w:rsid w:val="0036610F"/>
    <w:rsid w:val="003706EF"/>
    <w:rsid w:val="00370CC2"/>
    <w:rsid w:val="0037216F"/>
    <w:rsid w:val="00372DF6"/>
    <w:rsid w:val="00375B80"/>
    <w:rsid w:val="00376FAB"/>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38D9"/>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37F0E"/>
    <w:rsid w:val="004404DA"/>
    <w:rsid w:val="00442E93"/>
    <w:rsid w:val="004437A8"/>
    <w:rsid w:val="00444298"/>
    <w:rsid w:val="00452C6B"/>
    <w:rsid w:val="00453411"/>
    <w:rsid w:val="0045357E"/>
    <w:rsid w:val="00455A8D"/>
    <w:rsid w:val="004568E3"/>
    <w:rsid w:val="00456F8D"/>
    <w:rsid w:val="00457034"/>
    <w:rsid w:val="0045732E"/>
    <w:rsid w:val="00462B99"/>
    <w:rsid w:val="00463572"/>
    <w:rsid w:val="00464718"/>
    <w:rsid w:val="00470097"/>
    <w:rsid w:val="004739E7"/>
    <w:rsid w:val="0047507B"/>
    <w:rsid w:val="00480F50"/>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20B7"/>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189"/>
    <w:rsid w:val="005D0511"/>
    <w:rsid w:val="005D0CA1"/>
    <w:rsid w:val="005D390C"/>
    <w:rsid w:val="005D5877"/>
    <w:rsid w:val="005E77F4"/>
    <w:rsid w:val="005F31A7"/>
    <w:rsid w:val="00600963"/>
    <w:rsid w:val="0060113F"/>
    <w:rsid w:val="00602D75"/>
    <w:rsid w:val="00604FA0"/>
    <w:rsid w:val="0060686A"/>
    <w:rsid w:val="00612194"/>
    <w:rsid w:val="00617BD7"/>
    <w:rsid w:val="00617D73"/>
    <w:rsid w:val="00626266"/>
    <w:rsid w:val="006277F5"/>
    <w:rsid w:val="00627A4C"/>
    <w:rsid w:val="00630A9E"/>
    <w:rsid w:val="00631276"/>
    <w:rsid w:val="0063130E"/>
    <w:rsid w:val="00636247"/>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41A"/>
    <w:rsid w:val="00766722"/>
    <w:rsid w:val="00771E54"/>
    <w:rsid w:val="007759A9"/>
    <w:rsid w:val="0078266A"/>
    <w:rsid w:val="0078274F"/>
    <w:rsid w:val="00787A68"/>
    <w:rsid w:val="00792A90"/>
    <w:rsid w:val="00795D65"/>
    <w:rsid w:val="007A0DEB"/>
    <w:rsid w:val="007A2C78"/>
    <w:rsid w:val="007A2D21"/>
    <w:rsid w:val="007A6E17"/>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34475"/>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9F710C"/>
    <w:rsid w:val="00A02085"/>
    <w:rsid w:val="00A02B0B"/>
    <w:rsid w:val="00A056A1"/>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79E"/>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378F9"/>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0F31"/>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01B0"/>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3D0E"/>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A"/>
    <w:rsid w:val="00E016BB"/>
    <w:rsid w:val="00E04FF8"/>
    <w:rsid w:val="00E11F09"/>
    <w:rsid w:val="00E15178"/>
    <w:rsid w:val="00E2016E"/>
    <w:rsid w:val="00E202F5"/>
    <w:rsid w:val="00E20783"/>
    <w:rsid w:val="00E21DB8"/>
    <w:rsid w:val="00E23DC2"/>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5CA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60A4"/>
    <w:rsid w:val="00FA7953"/>
    <w:rsid w:val="00FA7E49"/>
    <w:rsid w:val="00FB0339"/>
    <w:rsid w:val="00FB2BEA"/>
    <w:rsid w:val="00FB46F3"/>
    <w:rsid w:val="00FB5AC0"/>
    <w:rsid w:val="00FB6654"/>
    <w:rsid w:val="00FC0971"/>
    <w:rsid w:val="00FC3B4B"/>
    <w:rsid w:val="00FC3DB9"/>
    <w:rsid w:val="00FC3EC3"/>
    <w:rsid w:val="00FC62E5"/>
    <w:rsid w:val="00FC6773"/>
    <w:rsid w:val="00FD1C0D"/>
    <w:rsid w:val="00FD503E"/>
    <w:rsid w:val="00FD601A"/>
    <w:rsid w:val="00FE0C20"/>
    <w:rsid w:val="00FE2DCF"/>
    <w:rsid w:val="00FE65F2"/>
    <w:rsid w:val="00FF0D14"/>
    <w:rsid w:val="00FF587B"/>
    <w:rsid w:val="1DAC4B92"/>
    <w:rsid w:val="43242648"/>
    <w:rsid w:val="5D2A488C"/>
    <w:rsid w:val="75CE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07394-6CE4-448D-9529-47E1C5886E25}">
  <ds:schemaRefs/>
</ds:datastoreItem>
</file>

<file path=docProps/app.xml><?xml version="1.0" encoding="utf-8"?>
<Properties xmlns="http://schemas.openxmlformats.org/officeDocument/2006/extended-properties" xmlns:vt="http://schemas.openxmlformats.org/officeDocument/2006/docPropsVTypes">
  <Template>Normal.dotm</Template>
  <Pages>5</Pages>
  <Words>635</Words>
  <Characters>3626</Characters>
  <Lines>30</Lines>
  <Paragraphs>8</Paragraphs>
  <TotalTime>485</TotalTime>
  <ScaleCrop>false</ScaleCrop>
  <LinksUpToDate>false</LinksUpToDate>
  <CharactersWithSpaces>4253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2018-12-17T03:49:54Z</dcterms:modified>
  <dc:title>帕迪课程</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