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color w:val="FF0000"/>
          <w:sz w:val="15"/>
          <w:szCs w:val="15"/>
        </w:rPr>
      </w:pPr>
      <w:bookmarkStart w:id="0" w:name="_GoBack"/>
      <w:bookmarkEnd w:id="0"/>
    </w:p>
    <w:p>
      <w:pPr>
        <w:spacing w:line="480" w:lineRule="auto"/>
        <w:jc w:val="center"/>
        <w:rPr>
          <w:rFonts w:ascii="微软雅黑" w:hAnsi="微软雅黑" w:eastAsia="微软雅黑"/>
          <w:b/>
          <w:bCs/>
          <w:color w:val="FF0000"/>
          <w:sz w:val="24"/>
          <w:szCs w:val="3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统计过程控制（SPC）测量系统分析（MSA）</w:t>
      </w:r>
      <w:r>
        <w:rPr>
          <w:rFonts w:hint="eastAsia" w:ascii="微软雅黑" w:hAnsi="微软雅黑" w:eastAsia="微软雅黑"/>
          <w:b/>
          <w:bCs/>
          <w:color w:val="FF0000"/>
          <w:sz w:val="24"/>
          <w:szCs w:val="32"/>
        </w:rPr>
        <w:t>（1天）</w:t>
      </w:r>
    </w:p>
    <w:p>
      <w:pPr>
        <w:spacing w:line="480" w:lineRule="auto"/>
        <w:jc w:val="center"/>
        <w:rPr>
          <w:rFonts w:ascii="微软雅黑" w:hAnsi="微软雅黑" w:eastAsia="微软雅黑"/>
          <w:b/>
          <w:bCs/>
          <w:color w:val="FF0000"/>
          <w:sz w:val="24"/>
          <w:szCs w:val="32"/>
        </w:rPr>
      </w:pPr>
      <w:r>
        <w:rPr>
          <w:rFonts w:hint="eastAsia" w:ascii="微软雅黑" w:hAnsi="微软雅黑" w:eastAsia="微软雅黑"/>
          <w:bCs/>
          <w:color w:val="FF0000"/>
          <w:sz w:val="22"/>
          <w:szCs w:val="22"/>
        </w:rPr>
        <w:t>（本课程属于《质量管理五大核心工具》第</w:t>
      </w:r>
      <w:r>
        <w:rPr>
          <w:rFonts w:ascii="微软雅黑" w:hAnsi="微软雅黑" w:eastAsia="微软雅黑"/>
          <w:bCs/>
          <w:color w:val="FF0000"/>
          <w:sz w:val="22"/>
          <w:szCs w:val="22"/>
        </w:rPr>
        <w:t>3</w:t>
      </w:r>
      <w:r>
        <w:rPr>
          <w:rFonts w:hint="eastAsia" w:ascii="微软雅黑" w:hAnsi="微软雅黑" w:eastAsia="微软雅黑"/>
          <w:bCs/>
          <w:color w:val="FF0000"/>
          <w:sz w:val="22"/>
          <w:szCs w:val="22"/>
        </w:rPr>
        <w:t>天的培训内容）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【报名热线】</w:t>
      </w:r>
      <w:r>
        <w:rPr>
          <w:rFonts w:hint="eastAsia" w:ascii="微软雅黑" w:hAnsi="微软雅黑" w:eastAsia="微软雅黑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400-086-8596</w:t>
      </w:r>
    </w:p>
    <w:p>
      <w:pPr>
        <w:adjustRightInd w:val="0"/>
        <w:snapToGrid w:val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【开课时间】</w:t>
      </w:r>
      <w:r>
        <w:rPr>
          <w:rFonts w:ascii="微软雅黑" w:hAnsi="微软雅黑" w:eastAsia="微软雅黑"/>
          <w:szCs w:val="21"/>
        </w:rPr>
        <w:t>06</w:t>
      </w:r>
      <w:r>
        <w:rPr>
          <w:rFonts w:hint="eastAsia" w:ascii="微软雅黑" w:hAnsi="微软雅黑" w:eastAsia="微软雅黑"/>
          <w:szCs w:val="21"/>
        </w:rPr>
        <w:t>月</w:t>
      </w:r>
      <w:r>
        <w:rPr>
          <w:rFonts w:ascii="微软雅黑" w:hAnsi="微软雅黑" w:eastAsia="微软雅黑"/>
          <w:szCs w:val="21"/>
        </w:rPr>
        <w:t>21</w:t>
      </w:r>
      <w:r>
        <w:rPr>
          <w:rFonts w:hint="eastAsia" w:ascii="微软雅黑" w:hAnsi="微软雅黑" w:eastAsia="微软雅黑"/>
          <w:szCs w:val="21"/>
        </w:rPr>
        <w:t>日  上海</w:t>
      </w:r>
      <w:r>
        <w:rPr>
          <w:rFonts w:ascii="微软雅黑" w:hAnsi="微软雅黑" w:eastAsia="微软雅黑"/>
          <w:szCs w:val="21"/>
        </w:rPr>
        <w:t xml:space="preserve">     </w:t>
      </w:r>
    </w:p>
    <w:p>
      <w:pPr>
        <w:adjustRightInd w:val="0"/>
        <w:snapToGrid w:val="0"/>
        <w:spacing w:line="276" w:lineRule="auto"/>
        <w:ind w:left="1260" w:hanging="1260" w:hangingChars="6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</w:rPr>
        <w:t>【培训对象】</w:t>
      </w:r>
      <w:r>
        <w:rPr>
          <w:rFonts w:hint="eastAsia" w:ascii="微软雅黑" w:hAnsi="微软雅黑" w:eastAsia="微软雅黑"/>
        </w:rPr>
        <w:t>企业内开发、质量、营运副总,生产（制造）部经理、主管、工程师,质量管理部经理、主管、工程师，开发部经理、主管、工程师，技术部经理、主管、工程师及生产部班组长等</w:t>
      </w:r>
    </w:p>
    <w:p>
      <w:pPr>
        <w:spacing w:line="480" w:lineRule="auto"/>
        <w:jc w:val="both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</w:rPr>
        <w:t>RM</w:t>
      </w:r>
      <w:r>
        <w:rPr>
          <w:rFonts w:ascii="微软雅黑" w:hAnsi="微软雅黑" w:eastAsia="微软雅黑"/>
          <w:szCs w:val="21"/>
        </w:rPr>
        <w:t>B</w:t>
      </w:r>
      <w:r>
        <w:rPr>
          <w:b/>
        </w:rPr>
        <w:t xml:space="preserve"> </w:t>
      </w:r>
      <w:r>
        <w:rPr>
          <w:rFonts w:hint="eastAsia" w:ascii="微软雅黑" w:hAnsi="微软雅黑" w:eastAsia="微软雅黑"/>
          <w:b/>
          <w:szCs w:val="21"/>
        </w:rPr>
        <w:t>1</w:t>
      </w:r>
      <w:r>
        <w:rPr>
          <w:rFonts w:ascii="微软雅黑" w:hAnsi="微软雅黑" w:eastAsia="微软雅黑"/>
          <w:b/>
          <w:szCs w:val="21"/>
        </w:rPr>
        <w:t>200</w:t>
      </w:r>
      <w:r>
        <w:rPr>
          <w:rFonts w:hint="eastAsia" w:ascii="微软雅黑" w:hAnsi="微软雅黑" w:eastAsia="微软雅黑"/>
          <w:b/>
          <w:szCs w:val="21"/>
        </w:rPr>
        <w:t>元/人</w:t>
      </w:r>
      <w:r>
        <w:rPr>
          <w:rFonts w:hint="eastAsia" w:ascii="微软雅黑" w:hAnsi="微软雅黑" w:eastAsia="微软雅黑"/>
          <w:szCs w:val="21"/>
        </w:rPr>
        <w:t>（包含：培训费、教材、午餐、茶点、发票）</w:t>
      </w:r>
    </w:p>
    <w:p>
      <w:pPr>
        <w:spacing w:line="276" w:lineRule="auto"/>
        <w:ind w:firstLine="210" w:firstLineChars="100"/>
        <w:rPr>
          <w:color w:val="FF0000"/>
          <w:sz w:val="28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7pt;margin-top:27.15pt;height:0pt;width:486.75pt;z-index:251657216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FF0000"/>
          <w:sz w:val="20"/>
          <w:szCs w:val="20"/>
        </w:rPr>
        <w:t>注：此课程我们可以提供企业内部培训与咨询服务，欢迎来电咨询。</w:t>
      </w:r>
    </w:p>
    <w:p>
      <w:pPr>
        <w:rPr>
          <w:rFonts w:hAnsi="宋体" w:cs="Calibri"/>
          <w:b/>
          <w:color w:val="990000"/>
          <w:sz w:val="20"/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课程目标：</w:t>
      </w:r>
    </w:p>
    <w:p>
      <w:pPr>
        <w:snapToGrid w:val="0"/>
        <w:ind w:firstLine="420" w:firstLineChars="200"/>
        <w:jc w:val="left"/>
        <w:rPr>
          <w:rFonts w:ascii="微软雅黑" w:hAnsi="微软雅黑" w:eastAsia="微软雅黑" w:cs="Arial"/>
          <w:szCs w:val="21"/>
        </w:rPr>
      </w:pPr>
      <w:r>
        <w:rPr>
          <w:rFonts w:ascii="微软雅黑" w:hAnsi="微软雅黑" w:eastAsia="微软雅黑" w:cs="Arial"/>
          <w:szCs w:val="21"/>
        </w:rPr>
        <w:t>通过强化培训，综合企业实际案例分析、小组讨论、指导等多种方法的灵活运用，使参加培训的人员能够：</w:t>
      </w:r>
    </w:p>
    <w:p>
      <w:pPr>
        <w:pStyle w:val="23"/>
        <w:numPr>
          <w:ilvl w:val="0"/>
          <w:numId w:val="1"/>
        </w:numPr>
        <w:snapToGrid w:val="0"/>
        <w:ind w:firstLineChars="0"/>
        <w:jc w:val="left"/>
        <w:rPr>
          <w:rFonts w:ascii="微软雅黑" w:hAnsi="微软雅黑" w:eastAsia="微软雅黑" w:cs="Arial"/>
          <w:szCs w:val="21"/>
        </w:rPr>
      </w:pPr>
      <w:r>
        <w:rPr>
          <w:rFonts w:ascii="微软雅黑" w:hAnsi="微软雅黑" w:eastAsia="微软雅黑" w:cs="Arial"/>
          <w:szCs w:val="21"/>
        </w:rPr>
        <w:t>掌握实施MSA的时机和方法</w:t>
      </w:r>
    </w:p>
    <w:p>
      <w:pPr>
        <w:pStyle w:val="23"/>
        <w:numPr>
          <w:ilvl w:val="0"/>
          <w:numId w:val="1"/>
        </w:numPr>
        <w:snapToGrid w:val="0"/>
        <w:ind w:firstLineChars="0"/>
        <w:jc w:val="left"/>
        <w:rPr>
          <w:rFonts w:ascii="微软雅黑" w:hAnsi="微软雅黑" w:eastAsia="微软雅黑" w:cs="Arial"/>
          <w:szCs w:val="21"/>
        </w:rPr>
      </w:pPr>
      <w:r>
        <w:rPr>
          <w:rFonts w:ascii="微软雅黑" w:hAnsi="微软雅黑" w:eastAsia="微软雅黑" w:cs="Arial"/>
          <w:szCs w:val="21"/>
        </w:rPr>
        <w:t>理解过程控制的理念，掌握实施SPC的方法</w:t>
      </w:r>
    </w:p>
    <w:p>
      <w:pPr>
        <w:widowControl/>
        <w:adjustRightInd w:val="0"/>
        <w:snapToGrid w:val="0"/>
        <w:ind w:left="1" w:hanging="1"/>
        <w:rPr>
          <w:rFonts w:ascii="微软雅黑" w:hAnsi="微软雅黑" w:eastAsia="微软雅黑"/>
          <w:b/>
          <w:color w:val="00B0F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spacing w:line="360" w:lineRule="auto"/>
        <w:rPr>
          <w:rFonts w:ascii="微软雅黑" w:hAnsi="微软雅黑" w:eastAsia="微软雅黑" w:cs="宋体"/>
          <w:b/>
          <w:kern w:val="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/>
          <w:b/>
          <w:color w:val="FF0000"/>
          <w:sz w:val="24"/>
        </w:rPr>
        <w:t>课程大纲：</w:t>
      </w:r>
      <w:r>
        <w:rPr>
          <w:rFonts w:ascii="微软雅黑" w:hAnsi="微软雅黑" w:eastAsia="微软雅黑" w:cs="宋体"/>
          <w:b/>
          <w:kern w:val="0"/>
          <w:szCs w:val="21"/>
        </w:rPr>
        <w:tab/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ascii="微软雅黑" w:hAnsi="微软雅黑" w:eastAsia="微软雅黑" w:cs="宋体"/>
          <w:b/>
          <w:kern w:val="0"/>
          <w:szCs w:val="21"/>
        </w:rPr>
        <w:t>SPC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一.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ab/>
      </w:r>
      <w:r>
        <w:rPr>
          <w:rFonts w:hint="eastAsia" w:ascii="微软雅黑" w:hAnsi="微软雅黑" w:eastAsia="微软雅黑" w:cs="宋体"/>
          <w:b/>
          <w:kern w:val="0"/>
          <w:szCs w:val="21"/>
        </w:rPr>
        <w:t xml:space="preserve">为什么要控制过程 </w:t>
      </w:r>
    </w:p>
    <w:p>
      <w:pPr>
        <w:widowControl/>
        <w:numPr>
          <w:ilvl w:val="0"/>
          <w:numId w:val="2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检验的缺陷</w:t>
      </w:r>
      <w:r>
        <w:rPr>
          <w:rFonts w:ascii="微软雅黑" w:hAnsi="微软雅黑" w:eastAsia="微软雅黑" w:cs="宋体"/>
          <w:kern w:val="0"/>
          <w:szCs w:val="21"/>
        </w:rPr>
        <w:t xml:space="preserve">  </w:t>
      </w:r>
    </w:p>
    <w:p>
      <w:pPr>
        <w:widowControl/>
        <w:numPr>
          <w:ilvl w:val="0"/>
          <w:numId w:val="2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过程控制的优越性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二.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ab/>
      </w:r>
      <w:r>
        <w:rPr>
          <w:rFonts w:hint="eastAsia" w:ascii="微软雅黑" w:hAnsi="微软雅黑" w:eastAsia="微软雅黑" w:cs="宋体"/>
          <w:b/>
          <w:kern w:val="0"/>
          <w:szCs w:val="21"/>
        </w:rPr>
        <w:t xml:space="preserve">影响过程的因素—如何将过程与统计连接起来 </w:t>
      </w:r>
    </w:p>
    <w:p>
      <w:pPr>
        <w:widowControl/>
        <w:numPr>
          <w:ilvl w:val="0"/>
          <w:numId w:val="3"/>
        </w:numPr>
        <w:adjustRightInd w:val="0"/>
        <w:snapToGrid w:val="0"/>
        <w:ind w:left="425" w:leftChars="0" w:hanging="425" w:firstLineChars="0"/>
        <w:jc w:val="left"/>
        <w:rPr>
          <w:rFonts w:hint="eastAsia"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过程的概念</w:t>
      </w:r>
    </w:p>
    <w:p>
      <w:pPr>
        <w:widowControl/>
        <w:numPr>
          <w:ilvl w:val="0"/>
          <w:numId w:val="3"/>
        </w:numPr>
        <w:adjustRightInd w:val="0"/>
        <w:snapToGrid w:val="0"/>
        <w:ind w:left="425" w:leftChars="0" w:hanging="425" w:firstLineChars="0"/>
        <w:jc w:val="left"/>
        <w:rPr>
          <w:rFonts w:hint="eastAsia"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数据的分布与过程</w:t>
      </w:r>
    </w:p>
    <w:p>
      <w:pPr>
        <w:widowControl/>
        <w:numPr>
          <w:ilvl w:val="0"/>
          <w:numId w:val="3"/>
        </w:numPr>
        <w:adjustRightInd w:val="0"/>
        <w:snapToGrid w:val="0"/>
        <w:ind w:left="425" w:leftChars="0" w:hanging="425" w:firstLineChars="0"/>
        <w:jc w:val="left"/>
        <w:rPr>
          <w:rFonts w:hint="eastAsia"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造成分布变化的原因—波动</w:t>
      </w:r>
    </w:p>
    <w:p>
      <w:pPr>
        <w:widowControl/>
        <w:numPr>
          <w:ilvl w:val="0"/>
          <w:numId w:val="3"/>
        </w:numPr>
        <w:adjustRightInd w:val="0"/>
        <w:snapToGrid w:val="0"/>
        <w:ind w:left="425" w:leftChars="0" w:hanging="425" w:firstLineChars="0"/>
        <w:jc w:val="left"/>
        <w:rPr>
          <w:rFonts w:hint="eastAsia"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普通原因和特殊原因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三.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ab/>
      </w:r>
      <w:r>
        <w:rPr>
          <w:rFonts w:hint="eastAsia" w:ascii="微软雅黑" w:hAnsi="微软雅黑" w:eastAsia="微软雅黑" w:cs="宋体"/>
          <w:b/>
          <w:kern w:val="0"/>
          <w:szCs w:val="21"/>
        </w:rPr>
        <w:t xml:space="preserve">连续型数据的控制图 </w:t>
      </w:r>
    </w:p>
    <w:p>
      <w:pPr>
        <w:widowControl/>
        <w:numPr>
          <w:ilvl w:val="0"/>
          <w:numId w:val="4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数据的收集与合理分组</w:t>
      </w:r>
    </w:p>
    <w:p>
      <w:pPr>
        <w:widowControl/>
        <w:numPr>
          <w:ilvl w:val="0"/>
          <w:numId w:val="4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控制图原理</w:t>
      </w:r>
    </w:p>
    <w:p>
      <w:pPr>
        <w:widowControl/>
        <w:numPr>
          <w:ilvl w:val="0"/>
          <w:numId w:val="4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控制界限的计算</w:t>
      </w:r>
    </w:p>
    <w:p>
      <w:pPr>
        <w:widowControl/>
        <w:numPr>
          <w:ilvl w:val="0"/>
          <w:numId w:val="4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异常的判定准则</w:t>
      </w:r>
    </w:p>
    <w:p>
      <w:pPr>
        <w:widowControl/>
        <w:numPr>
          <w:ilvl w:val="0"/>
          <w:numId w:val="4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控制图的两个阶段</w:t>
      </w:r>
      <w:r>
        <w:rPr>
          <w:rFonts w:ascii="微软雅黑" w:hAnsi="微软雅黑" w:eastAsia="微软雅黑" w:cs="宋体"/>
          <w:kern w:val="0"/>
          <w:szCs w:val="21"/>
        </w:rPr>
        <w:t>:</w:t>
      </w:r>
      <w:r>
        <w:rPr>
          <w:rFonts w:hint="eastAsia" w:ascii="微软雅黑" w:hAnsi="微软雅黑" w:eastAsia="微软雅黑" w:cs="宋体"/>
          <w:kern w:val="0"/>
          <w:szCs w:val="21"/>
        </w:rPr>
        <w:t>分析用与控制用</w:t>
      </w:r>
    </w:p>
    <w:p>
      <w:pPr>
        <w:widowControl/>
        <w:numPr>
          <w:ilvl w:val="0"/>
          <w:numId w:val="4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均值和极差控制图</w:t>
      </w:r>
    </w:p>
    <w:p>
      <w:pPr>
        <w:widowControl/>
        <w:numPr>
          <w:ilvl w:val="0"/>
          <w:numId w:val="4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均值和标准差控制图</w:t>
      </w:r>
    </w:p>
    <w:p>
      <w:pPr>
        <w:widowControl/>
        <w:numPr>
          <w:ilvl w:val="0"/>
          <w:numId w:val="4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中位数和极差控制图</w:t>
      </w:r>
    </w:p>
    <w:p>
      <w:pPr>
        <w:widowControl/>
        <w:numPr>
          <w:ilvl w:val="0"/>
          <w:numId w:val="4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单值移动极差控制图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四.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ab/>
      </w:r>
      <w:r>
        <w:rPr>
          <w:rFonts w:hint="eastAsia" w:ascii="微软雅黑" w:hAnsi="微软雅黑" w:eastAsia="微软雅黑" w:cs="宋体"/>
          <w:b/>
          <w:kern w:val="0"/>
          <w:szCs w:val="21"/>
        </w:rPr>
        <w:t>过程能力分析</w:t>
      </w:r>
    </w:p>
    <w:p>
      <w:pPr>
        <w:widowControl/>
        <w:numPr>
          <w:ilvl w:val="0"/>
          <w:numId w:val="5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CP</w:t>
      </w:r>
      <w:r>
        <w:rPr>
          <w:rFonts w:hint="eastAsia" w:ascii="微软雅黑" w:hAnsi="微软雅黑" w:eastAsia="微软雅黑" w:cs="宋体"/>
          <w:kern w:val="0"/>
          <w:szCs w:val="21"/>
        </w:rPr>
        <w:t>与</w:t>
      </w:r>
      <w:r>
        <w:rPr>
          <w:rFonts w:ascii="微软雅黑" w:hAnsi="微软雅黑" w:eastAsia="微软雅黑" w:cs="宋体"/>
          <w:kern w:val="0"/>
          <w:szCs w:val="21"/>
        </w:rPr>
        <w:t>CPK</w:t>
      </w:r>
    </w:p>
    <w:p>
      <w:pPr>
        <w:widowControl/>
        <w:numPr>
          <w:ilvl w:val="0"/>
          <w:numId w:val="5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PP</w:t>
      </w:r>
      <w:r>
        <w:rPr>
          <w:rFonts w:hint="eastAsia" w:ascii="微软雅黑" w:hAnsi="微软雅黑" w:eastAsia="微软雅黑" w:cs="宋体"/>
          <w:kern w:val="0"/>
          <w:szCs w:val="21"/>
        </w:rPr>
        <w:t>与</w:t>
      </w:r>
      <w:r>
        <w:rPr>
          <w:rFonts w:ascii="微软雅黑" w:hAnsi="微软雅黑" w:eastAsia="微软雅黑" w:cs="宋体"/>
          <w:kern w:val="0"/>
          <w:szCs w:val="21"/>
        </w:rPr>
        <w:t>PPK</w:t>
      </w:r>
    </w:p>
    <w:p>
      <w:pPr>
        <w:widowControl/>
        <w:numPr>
          <w:ilvl w:val="0"/>
          <w:numId w:val="5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CPK</w:t>
      </w:r>
      <w:r>
        <w:rPr>
          <w:rFonts w:hint="eastAsia" w:ascii="微软雅黑" w:hAnsi="微软雅黑" w:eastAsia="微软雅黑" w:cs="宋体"/>
          <w:kern w:val="0"/>
          <w:szCs w:val="21"/>
        </w:rPr>
        <w:t>与</w:t>
      </w:r>
      <w:r>
        <w:rPr>
          <w:rFonts w:ascii="微软雅黑" w:hAnsi="微软雅黑" w:eastAsia="微软雅黑" w:cs="宋体"/>
          <w:kern w:val="0"/>
          <w:szCs w:val="21"/>
        </w:rPr>
        <w:t>PPK</w:t>
      </w:r>
      <w:r>
        <w:rPr>
          <w:rFonts w:hint="eastAsia" w:ascii="微软雅黑" w:hAnsi="微软雅黑" w:eastAsia="微软雅黑" w:cs="宋体"/>
          <w:kern w:val="0"/>
          <w:szCs w:val="21"/>
        </w:rPr>
        <w:t>的区别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五.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ab/>
      </w:r>
      <w:r>
        <w:rPr>
          <w:rFonts w:hint="eastAsia" w:ascii="微软雅黑" w:hAnsi="微软雅黑" w:eastAsia="微软雅黑" w:cs="宋体"/>
          <w:b/>
          <w:kern w:val="0"/>
          <w:szCs w:val="21"/>
        </w:rPr>
        <w:t xml:space="preserve">离散型数据的控制图 </w:t>
      </w:r>
    </w:p>
    <w:p>
      <w:pPr>
        <w:widowControl/>
        <w:numPr>
          <w:ilvl w:val="0"/>
          <w:numId w:val="6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NP</w:t>
      </w:r>
      <w:r>
        <w:rPr>
          <w:rFonts w:hint="eastAsia" w:ascii="微软雅黑" w:hAnsi="微软雅黑" w:eastAsia="微软雅黑" w:cs="宋体"/>
          <w:kern w:val="0"/>
          <w:szCs w:val="21"/>
        </w:rPr>
        <w:t>图</w:t>
      </w:r>
    </w:p>
    <w:p>
      <w:pPr>
        <w:widowControl/>
        <w:numPr>
          <w:ilvl w:val="0"/>
          <w:numId w:val="6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P</w:t>
      </w:r>
      <w:r>
        <w:rPr>
          <w:rFonts w:hint="eastAsia" w:ascii="微软雅黑" w:hAnsi="微软雅黑" w:eastAsia="微软雅黑" w:cs="宋体"/>
          <w:kern w:val="0"/>
          <w:szCs w:val="21"/>
        </w:rPr>
        <w:t>图</w:t>
      </w:r>
    </w:p>
    <w:p>
      <w:pPr>
        <w:widowControl/>
        <w:numPr>
          <w:ilvl w:val="0"/>
          <w:numId w:val="6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C</w:t>
      </w:r>
      <w:r>
        <w:rPr>
          <w:rFonts w:hint="eastAsia" w:ascii="微软雅黑" w:hAnsi="微软雅黑" w:eastAsia="微软雅黑" w:cs="宋体"/>
          <w:kern w:val="0"/>
          <w:szCs w:val="21"/>
        </w:rPr>
        <w:t>图</w:t>
      </w:r>
    </w:p>
    <w:p>
      <w:pPr>
        <w:widowControl/>
        <w:numPr>
          <w:ilvl w:val="0"/>
          <w:numId w:val="6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U</w:t>
      </w:r>
      <w:r>
        <w:rPr>
          <w:rFonts w:hint="eastAsia" w:ascii="微软雅黑" w:hAnsi="微软雅黑" w:eastAsia="微软雅黑" w:cs="宋体"/>
          <w:kern w:val="0"/>
          <w:szCs w:val="21"/>
        </w:rPr>
        <w:t>图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ascii="微软雅黑" w:hAnsi="微软雅黑" w:eastAsia="微软雅黑" w:cs="宋体"/>
          <w:b/>
          <w:kern w:val="0"/>
          <w:szCs w:val="21"/>
        </w:rPr>
        <w:t>MSA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一.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ab/>
      </w:r>
      <w:r>
        <w:rPr>
          <w:rFonts w:hint="eastAsia" w:ascii="微软雅黑" w:hAnsi="微软雅黑" w:eastAsia="微软雅黑" w:cs="宋体"/>
          <w:b/>
          <w:kern w:val="0"/>
          <w:szCs w:val="21"/>
        </w:rPr>
        <w:t xml:space="preserve">MSA概述 </w:t>
      </w:r>
    </w:p>
    <w:p>
      <w:pPr>
        <w:widowControl/>
        <w:numPr>
          <w:ilvl w:val="0"/>
          <w:numId w:val="7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测量系统分析的目的</w:t>
      </w:r>
      <w:r>
        <w:rPr>
          <w:rFonts w:ascii="微软雅黑" w:hAnsi="微软雅黑" w:eastAsia="微软雅黑" w:cs="宋体"/>
          <w:kern w:val="0"/>
          <w:szCs w:val="21"/>
        </w:rPr>
        <w:t xml:space="preserve"> 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二.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ab/>
      </w:r>
      <w:r>
        <w:rPr>
          <w:rFonts w:hint="eastAsia" w:ascii="微软雅黑" w:hAnsi="微软雅黑" w:eastAsia="微软雅黑" w:cs="宋体"/>
          <w:b/>
          <w:kern w:val="0"/>
          <w:szCs w:val="21"/>
        </w:rPr>
        <w:t xml:space="preserve">连续型数据的MSA </w:t>
      </w:r>
    </w:p>
    <w:p>
      <w:pPr>
        <w:widowControl/>
        <w:numPr>
          <w:ilvl w:val="0"/>
          <w:numId w:val="8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测量系统的误差—偏倚的评估</w:t>
      </w:r>
    </w:p>
    <w:p>
      <w:pPr>
        <w:widowControl/>
        <w:numPr>
          <w:ilvl w:val="0"/>
          <w:numId w:val="8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测量系统的误差—线性的评估</w:t>
      </w:r>
    </w:p>
    <w:p>
      <w:pPr>
        <w:widowControl/>
        <w:numPr>
          <w:ilvl w:val="0"/>
          <w:numId w:val="8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测量系统的误差—稳定性的评估</w:t>
      </w:r>
    </w:p>
    <w:p>
      <w:pPr>
        <w:widowControl/>
        <w:numPr>
          <w:ilvl w:val="0"/>
          <w:numId w:val="8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测量系统的误差—重复性的评估</w:t>
      </w:r>
    </w:p>
    <w:p>
      <w:pPr>
        <w:widowControl/>
        <w:numPr>
          <w:ilvl w:val="0"/>
          <w:numId w:val="8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测量系统的误差—再现性的评估</w:t>
      </w:r>
    </w:p>
    <w:p>
      <w:pPr>
        <w:widowControl/>
        <w:numPr>
          <w:ilvl w:val="0"/>
          <w:numId w:val="8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利用</w:t>
      </w:r>
      <w:r>
        <w:rPr>
          <w:rFonts w:ascii="微软雅黑" w:hAnsi="微软雅黑" w:eastAsia="微软雅黑" w:cs="宋体"/>
          <w:kern w:val="0"/>
          <w:szCs w:val="21"/>
        </w:rPr>
        <w:t>MINITAB</w:t>
      </w:r>
      <w:r>
        <w:rPr>
          <w:rFonts w:hint="eastAsia" w:ascii="微软雅黑" w:hAnsi="微软雅黑" w:eastAsia="微软雅黑" w:cs="宋体"/>
          <w:kern w:val="0"/>
          <w:szCs w:val="21"/>
        </w:rPr>
        <w:t>进行</w:t>
      </w:r>
      <w:r>
        <w:rPr>
          <w:rFonts w:ascii="微软雅黑" w:hAnsi="微软雅黑" w:eastAsia="微软雅黑" w:cs="宋体"/>
          <w:kern w:val="0"/>
          <w:szCs w:val="21"/>
        </w:rPr>
        <w:t>MSA</w:t>
      </w:r>
      <w:r>
        <w:rPr>
          <w:rFonts w:hint="eastAsia" w:ascii="微软雅黑" w:hAnsi="微软雅黑" w:eastAsia="微软雅黑" w:cs="宋体"/>
          <w:kern w:val="0"/>
          <w:szCs w:val="21"/>
        </w:rPr>
        <w:t>分析</w:t>
      </w:r>
    </w:p>
    <w:p>
      <w:pPr>
        <w:widowControl/>
        <w:numPr>
          <w:ilvl w:val="0"/>
          <w:numId w:val="8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ascii="微软雅黑" w:hAnsi="微软雅黑" w:eastAsia="微软雅黑" w:cs="宋体"/>
          <w:kern w:val="0"/>
          <w:szCs w:val="21"/>
        </w:rPr>
        <w:t>MSA</w:t>
      </w:r>
      <w:r>
        <w:rPr>
          <w:rFonts w:hint="eastAsia" w:ascii="微软雅黑" w:hAnsi="微软雅黑" w:eastAsia="微软雅黑" w:cs="宋体"/>
          <w:kern w:val="0"/>
          <w:szCs w:val="21"/>
        </w:rPr>
        <w:t>分析的判定准则</w:t>
      </w:r>
    </w:p>
    <w:p>
      <w:pPr>
        <w:spacing w:line="360" w:lineRule="auto"/>
        <w:rPr>
          <w:b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讲师介绍：</w:t>
      </w:r>
      <w:r>
        <w:rPr>
          <w:rFonts w:ascii="微软雅黑" w:hAnsi="微软雅黑" w:eastAsia="微软雅黑"/>
          <w:b/>
          <w:color w:val="FF0000"/>
          <w:sz w:val="24"/>
        </w:rPr>
        <w:t xml:space="preserve">Richard Tan </w:t>
      </w:r>
    </w:p>
    <w:p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 w:rightChars="9"/>
        <w:rPr>
          <w:b/>
        </w:rPr>
      </w:pPr>
      <w:r>
        <w:rPr>
          <w:rFonts w:hint="eastAsia"/>
          <w:b/>
        </w:rPr>
        <w:t>教育及资格认证：</w:t>
      </w:r>
    </w:p>
    <w:p>
      <w:pPr>
        <w:numPr>
          <w:ilvl w:val="0"/>
          <w:numId w:val="9"/>
        </w:numPr>
        <w:snapToGrid w:val="0"/>
        <w:ind w:left="105" w:leftChars="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sz w:val="23"/>
          <w:szCs w:val="23"/>
        </w:rPr>
        <w:t>上海大学 博士</w:t>
      </w:r>
    </w:p>
    <w:p>
      <w:pPr>
        <w:numPr>
          <w:ilvl w:val="0"/>
          <w:numId w:val="9"/>
        </w:numPr>
        <w:snapToGrid w:val="0"/>
        <w:ind w:left="105" w:leftChars="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上海交大  硕士</w:t>
      </w:r>
    </w:p>
    <w:p>
      <w:pPr>
        <w:numPr>
          <w:ilvl w:val="0"/>
          <w:numId w:val="9"/>
        </w:numPr>
        <w:snapToGrid w:val="0"/>
        <w:ind w:left="105" w:leftChars="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同济大学 硕士</w:t>
      </w:r>
    </w:p>
    <w:p>
      <w:pPr>
        <w:numPr>
          <w:ilvl w:val="0"/>
          <w:numId w:val="9"/>
        </w:numPr>
        <w:snapToGrid w:val="0"/>
        <w:ind w:left="105" w:leftChars="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精益生产 高级讲师</w:t>
      </w:r>
    </w:p>
    <w:p>
      <w:pPr>
        <w:numPr>
          <w:ilvl w:val="0"/>
          <w:numId w:val="9"/>
        </w:numPr>
        <w:snapToGrid w:val="0"/>
        <w:ind w:left="105" w:leftChars="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现场管理</w:t>
      </w:r>
      <w:r>
        <w:rPr>
          <w:rFonts w:ascii="微软雅黑" w:hAnsi="微软雅黑" w:eastAsia="微软雅黑"/>
          <w:bCs/>
          <w:szCs w:val="21"/>
        </w:rPr>
        <w:t>&amp;</w:t>
      </w:r>
      <w:r>
        <w:rPr>
          <w:rFonts w:hint="eastAsia" w:ascii="微软雅黑" w:hAnsi="微软雅黑" w:eastAsia="微软雅黑"/>
          <w:bCs/>
          <w:szCs w:val="21"/>
        </w:rPr>
        <w:t>现场改善培训师、咨询师</w:t>
      </w:r>
    </w:p>
    <w:p>
      <w:pPr>
        <w:numPr>
          <w:ilvl w:val="0"/>
          <w:numId w:val="9"/>
        </w:numPr>
        <w:snapToGrid w:val="0"/>
        <w:ind w:left="105" w:leftChars="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 w:cs="宋体"/>
        </w:rPr>
        <w:t>高级工程师证书</w:t>
      </w:r>
    </w:p>
    <w:p>
      <w:pPr>
        <w:numPr>
          <w:ilvl w:val="0"/>
          <w:numId w:val="9"/>
        </w:numPr>
        <w:snapToGrid w:val="0"/>
        <w:ind w:left="105" w:leftChars="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/>
        </w:rPr>
        <w:t>6</w:t>
      </w:r>
      <w:r>
        <w:rPr>
          <w:rFonts w:ascii="微软雅黑" w:hAnsi="微软雅黑" w:eastAsia="微软雅黑"/>
          <w:spacing w:val="-9"/>
        </w:rPr>
        <w:t xml:space="preserve"> </w:t>
      </w:r>
      <w:r>
        <w:rPr>
          <w:rFonts w:ascii="微软雅黑" w:hAnsi="微软雅黑" w:eastAsia="微软雅黑"/>
        </w:rPr>
        <w:t>Sigma</w:t>
      </w:r>
      <w:r>
        <w:rPr>
          <w:rFonts w:ascii="微软雅黑" w:hAnsi="微软雅黑" w:eastAsia="微软雅黑" w:cs="宋体"/>
        </w:rPr>
        <w:t>绿带证书</w:t>
      </w:r>
    </w:p>
    <w:p>
      <w:pPr>
        <w:numPr>
          <w:ilvl w:val="0"/>
          <w:numId w:val="9"/>
        </w:numPr>
        <w:snapToGrid w:val="0"/>
        <w:ind w:left="105" w:leftChars="0" w:hanging="105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多次赴德国日本进行精益生产培训</w:t>
      </w:r>
    </w:p>
    <w:p>
      <w:pPr>
        <w:snapToGrid w:val="0"/>
        <w:ind w:firstLine="420" w:firstLineChars="20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谭老师20年工作经验，包括15年公司运营管理。精通生产运营系统各个环节，建立公司标准运营程序和绩效指标，有效激励团队。擅长精益生产管理、5S管理现场管理与改善、TPM管理、TQM管理和 IATF16949质量体系。运营战略管理方法管理企业运营，聚焦管理过程和分析。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工作经历：</w:t>
      </w:r>
    </w:p>
    <w:p>
      <w:pPr>
        <w:pStyle w:val="23"/>
        <w:numPr>
          <w:ilvl w:val="0"/>
          <w:numId w:val="10"/>
        </w:numPr>
        <w:snapToGrid w:val="0"/>
        <w:ind w:left="420" w:leftChars="0" w:firstLineChars="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特瑞堡密封系统（中国） 有限公司</w:t>
      </w:r>
    </w:p>
    <w:p>
      <w:pPr>
        <w:pStyle w:val="23"/>
        <w:numPr>
          <w:ilvl w:val="0"/>
          <w:numId w:val="10"/>
        </w:numPr>
        <w:snapToGrid w:val="0"/>
        <w:ind w:left="420" w:leftChars="0" w:firstLineChars="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3M中国有限公司（世界五百强多元化集团）</w:t>
      </w:r>
    </w:p>
    <w:p>
      <w:pPr>
        <w:pStyle w:val="23"/>
        <w:numPr>
          <w:ilvl w:val="0"/>
          <w:numId w:val="10"/>
        </w:numPr>
        <w:snapToGrid w:val="0"/>
        <w:ind w:left="420" w:leftChars="0" w:firstLineChars="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布莱史塔粉末冶金制品（上海）有限公司</w:t>
      </w:r>
    </w:p>
    <w:p>
      <w:pPr>
        <w:pStyle w:val="23"/>
        <w:numPr>
          <w:ilvl w:val="0"/>
          <w:numId w:val="10"/>
        </w:numPr>
        <w:snapToGrid w:val="0"/>
        <w:ind w:left="420" w:leftChars="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上海轮胎集团公司（国内最 大的轮胎制品公司）</w:t>
      </w:r>
    </w:p>
    <w:p>
      <w:pPr>
        <w:tabs>
          <w:tab w:val="left" w:pos="720"/>
        </w:tabs>
        <w:autoSpaceDE w:val="0"/>
        <w:autoSpaceDN w:val="0"/>
        <w:adjustRightInd w:val="0"/>
        <w:spacing w:line="400" w:lineRule="exact"/>
        <w:ind w:left="29" w:leftChars="1" w:right="18" w:hanging="27" w:hangingChars="13"/>
        <w:rPr>
          <w:b/>
        </w:rPr>
      </w:pPr>
      <w:r>
        <w:rPr>
          <w:rFonts w:hint="eastAsia"/>
          <w:b/>
        </w:rPr>
        <w:t>授课风格：</w:t>
      </w:r>
    </w:p>
    <w:p>
      <w:pPr>
        <w:pStyle w:val="23"/>
        <w:numPr>
          <w:ilvl w:val="0"/>
          <w:numId w:val="10"/>
        </w:numPr>
        <w:snapToGrid w:val="0"/>
        <w:ind w:left="420" w:leftChars="0" w:firstLineChars="0"/>
        <w:jc w:val="left"/>
        <w:rPr>
          <w:rFonts w:ascii="微软雅黑" w:hAnsi="微软雅黑" w:eastAsia="微软雅黑"/>
        </w:rPr>
      </w:pPr>
      <w:r>
        <w:rPr>
          <w:rFonts w:hint="eastAsia"/>
          <w:bCs/>
          <w:szCs w:val="21"/>
        </w:rPr>
        <w:t>谭</w:t>
      </w:r>
      <w:r>
        <w:rPr>
          <w:rFonts w:hint="eastAsia" w:ascii="微软雅黑" w:hAnsi="微软雅黑" w:eastAsia="微软雅黑"/>
        </w:rPr>
        <w:t>老师具有多年的培训经验验，能将自身的工作经验结合实际客户的需求，深入浅出地将知识传授给学员;</w:t>
      </w:r>
    </w:p>
    <w:p>
      <w:pPr>
        <w:pStyle w:val="23"/>
        <w:numPr>
          <w:ilvl w:val="0"/>
          <w:numId w:val="10"/>
        </w:numPr>
        <w:snapToGrid w:val="0"/>
        <w:ind w:left="420" w:leftChars="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谭老师授课贴近实际：基于丰富的现场管理经验，谭老师的课程案例丰富且贴近实际，更容易让学员理解和接受;</w:t>
      </w:r>
    </w:p>
    <w:p>
      <w:pPr>
        <w:pStyle w:val="23"/>
        <w:numPr>
          <w:ilvl w:val="0"/>
          <w:numId w:val="10"/>
        </w:numPr>
        <w:snapToGrid w:val="0"/>
        <w:ind w:left="420" w:leftChars="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谭老师授课形式多样：知识讲解、案例演示讲解、实战演练、小组讨论、头脑风暴、强调学员参与等多种形式，课堂气氛轻松活跃;</w:t>
      </w:r>
    </w:p>
    <w:p>
      <w:pPr>
        <w:pStyle w:val="23"/>
        <w:numPr>
          <w:ilvl w:val="0"/>
          <w:numId w:val="10"/>
        </w:numPr>
        <w:snapToGrid w:val="0"/>
        <w:ind w:left="420" w:leftChars="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谭老师授课注重转化：基于多年工作和现场的项目辅导经验，老师对学员在工作中遇到的问题更加了解，能够更好的帮助学员解决实际工作中的问题。</w:t>
      </w:r>
    </w:p>
    <w:p>
      <w:pPr>
        <w:tabs>
          <w:tab w:val="left" w:pos="720"/>
        </w:tabs>
        <w:autoSpaceDE w:val="0"/>
        <w:autoSpaceDN w:val="0"/>
        <w:adjustRightInd w:val="0"/>
        <w:spacing w:line="400" w:lineRule="exact"/>
        <w:ind w:left="29" w:leftChars="1" w:right="18" w:hanging="27" w:hangingChars="13"/>
        <w:rPr>
          <w:b/>
        </w:rPr>
      </w:pPr>
      <w:r>
        <w:rPr>
          <w:rFonts w:hint="eastAsia"/>
          <w:b/>
        </w:rPr>
        <w:t>讲授课程及咨询项目：</w:t>
      </w:r>
    </w:p>
    <w:p>
      <w:pPr>
        <w:numPr>
          <w:ilvl w:val="0"/>
          <w:numId w:val="11"/>
        </w:numPr>
        <w:spacing w:line="300" w:lineRule="auto"/>
        <w:ind w:left="426" w:hanging="426"/>
        <w:jc w:val="left"/>
        <w:rPr>
          <w:bCs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numPr>
          <w:ilvl w:val="0"/>
          <w:numId w:val="11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Lean Manufacturing 精益生产；</w:t>
      </w:r>
    </w:p>
    <w:p>
      <w:pPr>
        <w:numPr>
          <w:ilvl w:val="0"/>
          <w:numId w:val="11"/>
        </w:numPr>
        <w:snapToGrid w:val="0"/>
        <w:ind w:left="426" w:right="275" w:rightChars="131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5S现场管理和TPM改善；</w:t>
      </w:r>
    </w:p>
    <w:p>
      <w:pPr>
        <w:numPr>
          <w:ilvl w:val="0"/>
          <w:numId w:val="11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工厂车间现场管理；</w:t>
      </w:r>
    </w:p>
    <w:p>
      <w:pPr>
        <w:numPr>
          <w:ilvl w:val="0"/>
          <w:numId w:val="11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现场精益化管理改善与提升；</w:t>
      </w:r>
    </w:p>
    <w:p>
      <w:pPr>
        <w:numPr>
          <w:ilvl w:val="0"/>
          <w:numId w:val="11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全面质量管理TQM；</w:t>
      </w:r>
    </w:p>
    <w:p>
      <w:pPr>
        <w:numPr>
          <w:ilvl w:val="0"/>
          <w:numId w:val="11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项目管理；</w:t>
      </w:r>
    </w:p>
    <w:p>
      <w:pPr>
        <w:numPr>
          <w:ilvl w:val="0"/>
          <w:numId w:val="11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生产成本控制管理</w:t>
      </w:r>
    </w:p>
    <w:p>
      <w:pPr>
        <w:numPr>
          <w:ilvl w:val="0"/>
          <w:numId w:val="11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现场质量问题分析与解决；</w:t>
      </w:r>
    </w:p>
    <w:p>
      <w:pPr>
        <w:numPr>
          <w:ilvl w:val="0"/>
          <w:numId w:val="11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生产现场班组长管理技能培训；</w:t>
      </w:r>
    </w:p>
    <w:p>
      <w:pPr>
        <w:numPr>
          <w:ilvl w:val="0"/>
          <w:numId w:val="11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APQP/PPAP/FMEA/SPC/MSA五大工具培训；</w:t>
      </w:r>
    </w:p>
    <w:p>
      <w:pPr>
        <w:numPr>
          <w:ilvl w:val="0"/>
          <w:numId w:val="11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防错技术及有效解决问题方法；</w:t>
      </w:r>
    </w:p>
    <w:p>
      <w:pPr>
        <w:numPr>
          <w:ilvl w:val="0"/>
          <w:numId w:val="11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QC七大工具</w:t>
      </w:r>
    </w:p>
    <w:p>
      <w:pPr>
        <w:numPr>
          <w:ilvl w:val="0"/>
          <w:numId w:val="11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 xml:space="preserve">8D方法培训。 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equalWidth="0" w:num="2" w:sep="1">
            <w:col w:w="4253" w:space="702"/>
            <w:col w:w="4530"/>
          </w:cols>
          <w:docGrid w:type="linesAndChars" w:linePitch="312" w:charSpace="0"/>
        </w:sectPr>
      </w:pPr>
    </w:p>
    <w:p>
      <w:pPr>
        <w:widowControl/>
        <w:tabs>
          <w:tab w:val="left" w:pos="668"/>
        </w:tabs>
        <w:jc w:val="center"/>
        <w:rPr>
          <w:rFonts w:eastAsia="微软雅黑"/>
          <w:b/>
          <w:color w:val="FF0000"/>
          <w:sz w:val="36"/>
        </w:rPr>
      </w:pPr>
    </w:p>
    <w:p>
      <w:pPr>
        <w:widowControl/>
        <w:tabs>
          <w:tab w:val="left" w:pos="668"/>
        </w:tabs>
        <w:jc w:val="center"/>
        <w:rPr>
          <w:rFonts w:hint="eastAsia" w:eastAsia="微软雅黑"/>
          <w:b/>
          <w:color w:val="FF0000"/>
          <w:sz w:val="36"/>
        </w:rPr>
      </w:pPr>
    </w:p>
    <w:p>
      <w:pPr>
        <w:widowControl/>
        <w:tabs>
          <w:tab w:val="left" w:pos="668"/>
        </w:tabs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 名 回 执</w:t>
      </w: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sz w:val="44"/>
        </w:rPr>
      </w:pPr>
    </w:p>
    <w:tbl>
      <w:tblPr>
        <w:tblStyle w:val="11"/>
        <w:tblW w:w="9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714"/>
        <w:gridCol w:w="1365"/>
        <w:gridCol w:w="2203"/>
        <w:gridCol w:w="1343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40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282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城市/日期</w:t>
            </w:r>
          </w:p>
        </w:tc>
        <w:tc>
          <w:tcPr>
            <w:tcW w:w="281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3483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62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40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1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203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手机</w:t>
            </w:r>
          </w:p>
        </w:tc>
        <w:tc>
          <w:tcPr>
            <w:tcW w:w="4159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40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1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65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59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40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1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65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59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40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1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65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59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exact"/>
          <w:jc w:val="center"/>
        </w:trPr>
        <w:tc>
          <w:tcPr>
            <w:tcW w:w="568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帕迪公司账户信息：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 xml:space="preserve">开户名称：上海帕迪企业管理咨询有限公司  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银行帐号：03485500040002793</w:t>
            </w:r>
          </w:p>
          <w:p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开户银行：农业银行上海市复旦支行</w:t>
            </w:r>
          </w:p>
        </w:tc>
        <w:tc>
          <w:tcPr>
            <w:tcW w:w="4159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hAnsi="Segoe UI Symbol" w:eastAsia="微软雅黑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 xml:space="preserve">缴费方式：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现场缴费</w:t>
            </w:r>
            <w:r>
              <w:rPr>
                <w:rFonts w:hint="eastAsia" w:eastAsia="微软雅黑"/>
                <w:b/>
                <w:szCs w:val="21"/>
              </w:rPr>
              <w:t>（现金，微信，支付宝）</w:t>
            </w:r>
            <w:r>
              <w:rPr>
                <w:rFonts w:hint="eastAsia" w:eastAsia="微软雅黑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公司转账</w:t>
            </w:r>
            <w:r>
              <w:rPr>
                <w:rFonts w:hint="eastAsia" w:eastAsia="微软雅黑"/>
                <w:b/>
                <w:sz w:val="24"/>
              </w:rPr>
              <w:t xml:space="preserve">  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>
      <w:pPr>
        <w:widowControl/>
        <w:tabs>
          <w:tab w:val="left" w:pos="475"/>
        </w:tabs>
        <w:adjustRightInd w:val="0"/>
        <w:snapToGrid w:val="0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</w:p>
    <w:sectPr>
      <w:type w:val="continuous"/>
      <w:pgSz w:w="11906" w:h="16838"/>
      <w:pgMar w:top="1134" w:right="1286" w:bottom="851" w:left="1134" w:header="851" w:footer="229" w:gutter="0"/>
      <w:pgNumType w:fmt="numberInDash"/>
      <w:cols w:space="425" w:num="1" w:sep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jc w:val="center"/>
      <w:rPr>
        <w:rFonts w:ascii="微软雅黑" w:hAnsi="微软雅黑" w:eastAsia="微软雅黑"/>
        <w:lang w:val="fr-F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微软雅黑" w:hAnsi="微软雅黑" w:eastAsia="微软雅黑"/>
        <w:b/>
        <w:color w:val="FD7B41"/>
        <w:sz w:val="21"/>
        <w:szCs w:val="21"/>
      </w:rPr>
    </w:pPr>
    <w:r>
      <w:rPr>
        <w:rFonts w:hint="eastAsia" w:ascii="微软雅黑" w:hAnsi="微软雅黑" w:eastAsia="微软雅黑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 xml:space="preserve">                                              优秀企业的合作伙伴  全面提升企业竞争力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0D35F9"/>
    <w:multiLevelType w:val="singleLevel"/>
    <w:tmpl w:val="A50D35F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64008C1"/>
    <w:multiLevelType w:val="singleLevel"/>
    <w:tmpl w:val="B64008C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C3A131E7"/>
    <w:multiLevelType w:val="singleLevel"/>
    <w:tmpl w:val="C3A131E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D01ED50C"/>
    <w:multiLevelType w:val="singleLevel"/>
    <w:tmpl w:val="D01ED50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1D3A4E91"/>
    <w:multiLevelType w:val="singleLevel"/>
    <w:tmpl w:val="1D3A4E9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1F0DE246"/>
    <w:multiLevelType w:val="singleLevel"/>
    <w:tmpl w:val="1F0DE24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25991259"/>
    <w:multiLevelType w:val="multilevel"/>
    <w:tmpl w:val="2599125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4B8B5C8C"/>
    <w:multiLevelType w:val="multilevel"/>
    <w:tmpl w:val="4B8B5C8C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8">
    <w:nsid w:val="68D16358"/>
    <w:multiLevelType w:val="multilevel"/>
    <w:tmpl w:val="68D16358"/>
    <w:lvl w:ilvl="0" w:tentative="0">
      <w:start w:val="1"/>
      <w:numFmt w:val="bullet"/>
      <w:lvlText w:val=""/>
      <w:lvlJc w:val="left"/>
      <w:pPr>
        <w:ind w:left="105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70720ABA"/>
    <w:multiLevelType w:val="multilevel"/>
    <w:tmpl w:val="70720ABA"/>
    <w:lvl w:ilvl="0" w:tentative="0">
      <w:start w:val="1"/>
      <w:numFmt w:val="bullet"/>
      <w:lvlText w:val=""/>
      <w:lvlJc w:val="left"/>
      <w:pPr>
        <w:ind w:left="105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79E50035"/>
    <w:multiLevelType w:val="singleLevel"/>
    <w:tmpl w:val="79E5003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00BFD"/>
    <w:rsid w:val="00000EC9"/>
    <w:rsid w:val="0000110D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155D"/>
    <w:rsid w:val="00131EBC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E73AE"/>
    <w:rsid w:val="001F33A7"/>
    <w:rsid w:val="001F4311"/>
    <w:rsid w:val="001F477E"/>
    <w:rsid w:val="001F6FDE"/>
    <w:rsid w:val="002051A7"/>
    <w:rsid w:val="002075A3"/>
    <w:rsid w:val="00207754"/>
    <w:rsid w:val="00213AAF"/>
    <w:rsid w:val="00214AE8"/>
    <w:rsid w:val="0022029A"/>
    <w:rsid w:val="00223AE2"/>
    <w:rsid w:val="00231590"/>
    <w:rsid w:val="0023193E"/>
    <w:rsid w:val="00233BC0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29CB"/>
    <w:rsid w:val="00383423"/>
    <w:rsid w:val="00386366"/>
    <w:rsid w:val="00387BBA"/>
    <w:rsid w:val="00387FA5"/>
    <w:rsid w:val="00390B6E"/>
    <w:rsid w:val="00394097"/>
    <w:rsid w:val="00394666"/>
    <w:rsid w:val="00394667"/>
    <w:rsid w:val="00395955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1A05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7773"/>
    <w:rsid w:val="004B37D3"/>
    <w:rsid w:val="004B391D"/>
    <w:rsid w:val="004B4B82"/>
    <w:rsid w:val="004C0558"/>
    <w:rsid w:val="004C074B"/>
    <w:rsid w:val="004C1381"/>
    <w:rsid w:val="004C1CC5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1E2D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D7E69"/>
    <w:rsid w:val="005E034D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2E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6079"/>
    <w:rsid w:val="006F7310"/>
    <w:rsid w:val="006F7B7A"/>
    <w:rsid w:val="00701DC7"/>
    <w:rsid w:val="0070491C"/>
    <w:rsid w:val="00705E8C"/>
    <w:rsid w:val="00710671"/>
    <w:rsid w:val="00711B5A"/>
    <w:rsid w:val="00713D7E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354CA"/>
    <w:rsid w:val="00740AFE"/>
    <w:rsid w:val="00741300"/>
    <w:rsid w:val="00741C9B"/>
    <w:rsid w:val="00745686"/>
    <w:rsid w:val="00747C72"/>
    <w:rsid w:val="007572E5"/>
    <w:rsid w:val="00763D49"/>
    <w:rsid w:val="007658F3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3C6B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50C0"/>
    <w:rsid w:val="009166CA"/>
    <w:rsid w:val="0091712D"/>
    <w:rsid w:val="009209E9"/>
    <w:rsid w:val="00921911"/>
    <w:rsid w:val="0092265E"/>
    <w:rsid w:val="00922D33"/>
    <w:rsid w:val="00923EFF"/>
    <w:rsid w:val="009277C9"/>
    <w:rsid w:val="00927897"/>
    <w:rsid w:val="00927FE5"/>
    <w:rsid w:val="009315D5"/>
    <w:rsid w:val="009339B7"/>
    <w:rsid w:val="00935D90"/>
    <w:rsid w:val="00942149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3674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BA0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57D29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179A"/>
    <w:rsid w:val="00BC2499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025B5"/>
    <w:rsid w:val="00C0266B"/>
    <w:rsid w:val="00C13815"/>
    <w:rsid w:val="00C14843"/>
    <w:rsid w:val="00C14930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1AA0"/>
    <w:rsid w:val="00C548AE"/>
    <w:rsid w:val="00C56018"/>
    <w:rsid w:val="00C610AB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CF6112"/>
    <w:rsid w:val="00D02CDC"/>
    <w:rsid w:val="00D04FE3"/>
    <w:rsid w:val="00D07924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46F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C00EA"/>
    <w:rsid w:val="00DE11CF"/>
    <w:rsid w:val="00DE26E5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A0BE7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5DF3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2E44"/>
    <w:rsid w:val="00FF587B"/>
    <w:rsid w:val="08036107"/>
    <w:rsid w:val="0D230DB5"/>
    <w:rsid w:val="292F3894"/>
    <w:rsid w:val="2BAC7EAF"/>
    <w:rsid w:val="300D0873"/>
    <w:rsid w:val="31FC6C4F"/>
    <w:rsid w:val="39853882"/>
    <w:rsid w:val="454A672B"/>
    <w:rsid w:val="47211DF5"/>
    <w:rsid w:val="4BD70AB7"/>
    <w:rsid w:val="4BE276AD"/>
    <w:rsid w:val="5B5E78F6"/>
    <w:rsid w:val="5E031142"/>
    <w:rsid w:val="6F456110"/>
    <w:rsid w:val="79036F45"/>
    <w:rsid w:val="7A61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opacity="24248f" focussize="0,0"/>
      <v:stroke weight="1pt" color="#993300" dashstyle="1 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630" w:firstLineChars="300"/>
    </w:pPr>
    <w:rPr>
      <w:rFonts w:ascii="仿宋_GB2312" w:hAnsi="宋体" w:eastAsia="仿宋_GB2312"/>
    </w:r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bigstyle4"/>
    <w:basedOn w:val="7"/>
    <w:qFormat/>
    <w:uiPriority w:val="0"/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9">
    <w:name w:val="样式 四号 加粗 自定义颜(RGB(45102145)) 下划线 图案: 15% (自动设置 前景 白色 背景)"/>
    <w:qFormat/>
    <w:uiPriority w:val="0"/>
    <w:rPr>
      <w:b/>
      <w:bCs/>
      <w:color w:val="FFFFFF"/>
      <w:spacing w:val="28"/>
      <w:sz w:val="28"/>
      <w:szCs w:val="28"/>
      <w:u w:val="single"/>
    </w:rPr>
  </w:style>
  <w:style w:type="paragraph" w:customStyle="1" w:styleId="20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1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2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5">
    <w:name w:val="Normal_2"/>
    <w:basedOn w:val="1"/>
    <w:qFormat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508170-C429-4579-B974-C59761C002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284</Words>
  <Characters>1623</Characters>
  <Lines>13</Lines>
  <Paragraphs>3</Paragraphs>
  <TotalTime>0</TotalTime>
  <ScaleCrop>false</ScaleCrop>
  <LinksUpToDate>false</LinksUpToDate>
  <CharactersWithSpaces>1904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2014-12-01T08:48:00Z</dcterms:created>
  <dc:creator>帕迪咨询</dc:creator>
  <cp:lastModifiedBy>19152</cp:lastModifiedBy>
  <cp:lastPrinted>2007-07-25T08:25:00Z</cp:lastPrinted>
  <dcterms:modified xsi:type="dcterms:W3CDTF">2018-12-17T05:20:27Z</dcterms:modified>
  <dc:title>帕迪课程</dc:title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