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4"/>
        <w:framePr w:wrap="auto" w:vAnchor="margin" w:hAnchor="text" w:yAlign="inline"/>
        <w:widowControl w:val="0"/>
        <w:spacing w:after="240" w:line="360" w:lineRule="auto"/>
        <w:jc w:val="center"/>
        <w:rPr>
          <w:rFonts w:ascii="Times New Roman" w:hAnsi="Times New Roman"/>
          <w:kern w:val="2"/>
          <w:sz w:val="21"/>
          <w:szCs w:val="21"/>
        </w:rPr>
      </w:pPr>
    </w:p>
    <w:p>
      <w:pPr>
        <w:pStyle w:val="14"/>
        <w:framePr w:wrap="auto" w:vAnchor="margin" w:hAnchor="text" w:yAlign="inline"/>
        <w:widowControl w:val="0"/>
        <w:spacing w:after="240" w:line="500" w:lineRule="exact"/>
        <w:jc w:val="center"/>
        <w:rPr>
          <w:rFonts w:ascii="微软雅黑" w:hAnsi="微软雅黑" w:eastAsia="微软雅黑" w:cs="宋体"/>
          <w:b/>
          <w:bCs/>
          <w:color w:val="FF0000"/>
          <w:kern w:val="2"/>
          <w:sz w:val="36"/>
          <w:szCs w:val="36"/>
          <w:lang w:val="zh-TW"/>
        </w:rPr>
      </w:pPr>
      <w:r>
        <w:rPr>
          <w:rFonts w:hint="eastAsia" w:ascii="微软雅黑" w:hAnsi="微软雅黑" w:eastAsia="微软雅黑" w:cs="宋体"/>
          <w:b/>
          <w:bCs/>
          <w:color w:val="FF0000"/>
          <w:kern w:val="2"/>
          <w:sz w:val="36"/>
          <w:szCs w:val="36"/>
          <w:lang w:val="zh-TW" w:eastAsia="zh-TW"/>
        </w:rPr>
        <w:t>精益</w:t>
      </w:r>
      <w:r>
        <w:rPr>
          <w:rFonts w:ascii="微软雅黑" w:hAnsi="微软雅黑" w:eastAsia="微软雅黑" w:cs="Calibri"/>
          <w:b/>
          <w:bCs/>
          <w:color w:val="FF0000"/>
          <w:kern w:val="2"/>
          <w:sz w:val="36"/>
          <w:szCs w:val="36"/>
          <w:lang w:val="zh-TW" w:eastAsia="zh-TW"/>
        </w:rPr>
        <w:t>5</w:t>
      </w:r>
      <w:r>
        <w:rPr>
          <w:rFonts w:ascii="微软雅黑" w:hAnsi="微软雅黑" w:eastAsia="微软雅黑" w:cs="Calibri"/>
          <w:b/>
          <w:bCs/>
          <w:color w:val="FF0000"/>
          <w:kern w:val="2"/>
          <w:sz w:val="36"/>
          <w:szCs w:val="36"/>
        </w:rPr>
        <w:t>S</w:t>
      </w:r>
      <w:r>
        <w:rPr>
          <w:rFonts w:hint="eastAsia" w:ascii="微软雅黑" w:hAnsi="微软雅黑" w:eastAsia="微软雅黑" w:cs="宋体"/>
          <w:b/>
          <w:bCs/>
          <w:color w:val="FF0000"/>
          <w:kern w:val="2"/>
          <w:sz w:val="36"/>
          <w:szCs w:val="36"/>
          <w:lang w:val="zh-TW" w:eastAsia="zh-TW"/>
        </w:rPr>
        <w:t>管理变革训练营</w:t>
      </w:r>
    </w:p>
    <w:p>
      <w:pPr>
        <w:pStyle w:val="14"/>
        <w:framePr w:wrap="auto" w:vAnchor="margin" w:hAnchor="text" w:yAlign="inline"/>
        <w:widowControl w:val="0"/>
        <w:spacing w:after="240" w:line="500" w:lineRule="exact"/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</w:pPr>
      <w:r>
        <w:rPr>
          <w:rFonts w:hint="eastAsia" w:ascii="微软雅黑" w:hAnsi="微软雅黑" w:eastAsia="微软雅黑" w:cs="Calibri"/>
          <w:b/>
          <w:bCs/>
          <w:color w:val="auto"/>
          <w:kern w:val="2"/>
          <w:sz w:val="21"/>
          <w:szCs w:val="21"/>
          <w:lang w:val="zh-TW"/>
        </w:rPr>
        <w:t>举办时间：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>2019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年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>06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月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>22-23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日上海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 xml:space="preserve">      06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月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>29-30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日深圳</w:t>
      </w:r>
    </w:p>
    <w:p>
      <w:pPr>
        <w:pStyle w:val="14"/>
        <w:framePr w:wrap="auto" w:vAnchor="margin" w:hAnchor="text" w:yAlign="inline"/>
        <w:widowControl w:val="0"/>
        <w:spacing w:after="240" w:line="500" w:lineRule="exact"/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</w:pP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 xml:space="preserve">                 2019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年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>12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月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>21-22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日上海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 xml:space="preserve">      12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月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>28-29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日深圳</w:t>
      </w:r>
    </w:p>
    <w:p>
      <w:pPr>
        <w:pStyle w:val="14"/>
        <w:framePr w:wrap="auto" w:vAnchor="margin" w:hAnchor="text" w:yAlign="inline"/>
        <w:widowControl w:val="0"/>
        <w:spacing w:after="240" w:line="500" w:lineRule="exact"/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</w:pPr>
      <w:r>
        <w:rPr>
          <w:rFonts w:hint="eastAsia" w:ascii="微软雅黑" w:hAnsi="微软雅黑" w:eastAsia="微软雅黑" w:cs="Calibri"/>
          <w:b/>
          <w:bCs/>
          <w:color w:val="auto"/>
          <w:kern w:val="2"/>
          <w:sz w:val="21"/>
          <w:szCs w:val="21"/>
          <w:lang w:val="zh-TW"/>
        </w:rPr>
        <w:t>费</w:t>
      </w:r>
      <w:r>
        <w:rPr>
          <w:rFonts w:ascii="微软雅黑" w:hAnsi="微软雅黑" w:eastAsia="微软雅黑" w:cs="Calibri"/>
          <w:b/>
          <w:bCs/>
          <w:color w:val="auto"/>
          <w:kern w:val="2"/>
          <w:sz w:val="21"/>
          <w:szCs w:val="21"/>
          <w:lang w:val="zh-TW"/>
        </w:rPr>
        <w:t xml:space="preserve">     </w:t>
      </w:r>
      <w:r>
        <w:rPr>
          <w:rFonts w:hint="eastAsia" w:ascii="微软雅黑" w:hAnsi="微软雅黑" w:eastAsia="微软雅黑" w:cs="Calibri"/>
          <w:b/>
          <w:bCs/>
          <w:color w:val="auto"/>
          <w:kern w:val="2"/>
          <w:sz w:val="21"/>
          <w:szCs w:val="21"/>
          <w:lang w:val="zh-TW"/>
        </w:rPr>
        <w:t>用：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 xml:space="preserve"> 3400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元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>\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人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 xml:space="preserve"> (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包括资料费、午餐及上下午茶点等）</w:t>
      </w:r>
    </w:p>
    <w:p>
      <w:pPr>
        <w:pStyle w:val="14"/>
        <w:framePr w:wrap="auto" w:vAnchor="margin" w:hAnchor="text" w:yAlign="inline"/>
        <w:widowControl w:val="0"/>
        <w:spacing w:after="240" w:line="500" w:lineRule="exact"/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</w:pPr>
      <w:r>
        <w:rPr>
          <w:rFonts w:hint="eastAsia" w:ascii="微软雅黑" w:hAnsi="微软雅黑" w:eastAsia="微软雅黑" w:cs="Calibri"/>
          <w:b/>
          <w:bCs/>
          <w:color w:val="auto"/>
          <w:kern w:val="2"/>
          <w:sz w:val="21"/>
          <w:szCs w:val="21"/>
          <w:lang w:val="zh-TW"/>
        </w:rPr>
        <w:t>培训对象：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总经理、厂长、车间主任、企管部长、精益推进者、</w:t>
      </w:r>
      <w:r>
        <w:rPr>
          <w:rFonts w:ascii="微软雅黑" w:hAnsi="微软雅黑" w:eastAsia="微软雅黑" w:cs="Calibri"/>
          <w:color w:val="auto"/>
          <w:kern w:val="2"/>
          <w:sz w:val="21"/>
          <w:szCs w:val="21"/>
          <w:lang w:val="zh-TW"/>
        </w:rPr>
        <w:t>5S</w:t>
      </w:r>
      <w:r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zh-TW"/>
        </w:rPr>
        <w:t>专员、班组长等</w:t>
      </w:r>
      <w:bookmarkStart w:id="0" w:name="_GoBack"/>
      <w:bookmarkEnd w:id="0"/>
    </w:p>
    <w:p>
      <w:pPr>
        <w:pStyle w:val="14"/>
        <w:framePr w:wrap="auto" w:vAnchor="margin" w:hAnchor="text" w:yAlign="inline"/>
        <w:widowControl w:val="0"/>
        <w:spacing w:after="240" w:line="500" w:lineRule="exact"/>
        <w:rPr>
          <w:rFonts w:hint="eastAsia" w:ascii="微软雅黑" w:hAnsi="微软雅黑" w:eastAsia="微软雅黑" w:cs="Calibri"/>
          <w:color w:val="auto"/>
          <w:kern w:val="2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Calibri"/>
          <w:b/>
          <w:bCs/>
          <w:color w:val="auto"/>
          <w:kern w:val="2"/>
          <w:sz w:val="21"/>
          <w:szCs w:val="21"/>
          <w:lang w:val="zh-TW"/>
        </w:rPr>
        <w:t>联系电话：</w:t>
      </w:r>
      <w:r>
        <w:rPr>
          <w:rFonts w:hint="eastAsia" w:ascii="微软雅黑" w:hAnsi="微软雅黑" w:eastAsia="微软雅黑" w:cs="Calibri"/>
          <w:b/>
          <w:bCs/>
          <w:color w:val="auto"/>
          <w:kern w:val="2"/>
          <w:sz w:val="21"/>
          <w:szCs w:val="21"/>
          <w:lang w:val="en-US" w:eastAsia="zh-CN"/>
        </w:rPr>
        <w:t>400-086-8596</w:t>
      </w:r>
    </w:p>
    <w:p>
      <w:pPr>
        <w:pStyle w:val="14"/>
        <w:framePr w:wrap="auto" w:vAnchor="margin" w:hAnchor="text" w:yAlign="inline"/>
        <w:widowControl w:val="0"/>
        <w:spacing w:after="240" w:line="500" w:lineRule="exact"/>
        <w:rPr>
          <w:rFonts w:ascii="微软雅黑" w:hAnsi="微软雅黑" w:eastAsia="微软雅黑" w:cs="Calibri"/>
          <w:color w:val="FF0000"/>
          <w:kern w:val="2"/>
          <w:sz w:val="21"/>
          <w:szCs w:val="21"/>
          <w:lang w:val="zh-TW"/>
        </w:rPr>
      </w:pPr>
      <w:r>
        <w:rPr>
          <w:rFonts w:hint="eastAsia" w:ascii="微软雅黑" w:hAnsi="微软雅黑" w:eastAsia="微软雅黑" w:cs="Calibri"/>
          <w:color w:val="FF0000"/>
          <w:kern w:val="2"/>
          <w:sz w:val="21"/>
          <w:szCs w:val="21"/>
          <w:lang w:val="zh-TW"/>
        </w:rPr>
        <w:t>注：本课程可为企业提供上门内训服务和咨询服务，欢迎来电咨询！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1"/>
        </w:numPr>
        <w:spacing w:after="240"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u w:color="FF0000"/>
          <w:lang w:val="zh-TW" w:eastAsia="zh-TW"/>
        </w:rPr>
        <w:t>如果您的企业存在这样的状况：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每次客户参观或者稽核，公司管理者层都如热锅上的蚂蚁！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每次客户来厂都要花钱装修或者修补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都要现场寻找需要物品找不到，大量不需要的物品堆积在现场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现场误用、漏装、错用、误送等时常发生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客户投诉应接不暇，品质部门疲于奔命解决外部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VOC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，造成企业内部品质管理短板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客户对现场管理不满意，失去订单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员工只顾及自己的工资奖金，对公司品质及成本根本就不会关心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员工正能量欠缺，公司高层天天念叨却无从下手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现场效率无法谈及提升管理，到处存在浪费现象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员工离职率居高不下，造成基层管理者情绪低落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zh-TW" w:eastAsia="zh-TW"/>
        </w:rPr>
      </w:pP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u w:color="FF0000"/>
          <w:lang w:val="zh-TW" w:eastAsia="zh-TW"/>
        </w:rPr>
        <w:t>如果您正面临这样的问题：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公司想推行</w:t>
      </w:r>
      <w:r>
        <w:rPr>
          <w:rFonts w:ascii="Calibri" w:hAnsi="Calibri" w:cs="Calibri"/>
          <w:kern w:val="2"/>
          <w:sz w:val="24"/>
          <w:szCs w:val="24"/>
        </w:rPr>
        <w:t>5S/6S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管理，精益管理，却无从下手；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eastAsia="Times New Roman" w:cs="Times New Roman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接触了许多新思想，新概念，想推动改善变革，但不知如何操作？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已经在推动变革</w:t>
      </w:r>
      <w:r>
        <w:rPr>
          <w:rFonts w:ascii="Calibri" w:hAnsi="Calibri" w:cs="Calibri"/>
          <w:kern w:val="2"/>
          <w:sz w:val="24"/>
          <w:szCs w:val="24"/>
        </w:rPr>
        <w:t>——5S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，精益生产，</w:t>
      </w:r>
      <w:r>
        <w:rPr>
          <w:rFonts w:ascii="Calibri" w:hAnsi="Calibri" w:cs="Calibri"/>
          <w:kern w:val="2"/>
          <w:sz w:val="24"/>
          <w:szCs w:val="24"/>
        </w:rPr>
        <w:t>TPM….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，但效果却差强人意？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市场环境差，运营成本上升，想降低成本却无从下手？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一方面库存不断增加，一方面现金流紧张，如何处置？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虽然订单接不完，但却总是交不上货，或是品质问题频发？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品质、交货期、成本等企业运营指标难以协调？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接触了许多新思想，新概念，想推动改善变革，但不知如何操作？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left="1200" w:hanging="1200"/>
        <w:jc w:val="both"/>
        <w:rPr>
          <w:rFonts w:ascii="Calibri" w:hAnsi="Calibri" w:cs="Calibri"/>
          <w:kern w:val="2"/>
          <w:sz w:val="24"/>
          <w:szCs w:val="24"/>
        </w:rPr>
      </w:pPr>
    </w:p>
    <w:p>
      <w:pPr>
        <w:pStyle w:val="14"/>
        <w:framePr w:wrap="auto" w:vAnchor="margin" w:hAnchor="text" w:yAlign="inline"/>
        <w:widowControl w:val="0"/>
        <w:numPr>
          <w:ilvl w:val="0"/>
          <w:numId w:val="1"/>
        </w:numPr>
        <w:spacing w:line="360" w:lineRule="auto"/>
        <w:jc w:val="both"/>
        <w:rPr>
          <w:rFonts w:ascii="Calibri" w:hAnsi="Calibri" w:eastAsia="Times New Roman" w:cs="Times New Roman"/>
          <w:b/>
          <w:bCs/>
          <w:color w:val="FF0000"/>
          <w:sz w:val="24"/>
          <w:szCs w:val="24"/>
          <w:lang w:val="zh-TW" w:eastAsia="zh-TW"/>
        </w:rPr>
      </w:pP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u w:color="0D0D0D"/>
          <w:lang w:val="zh-TW" w:eastAsia="zh-TW"/>
        </w:rPr>
        <w:t>【课程大纲】</w:t>
      </w:r>
      <w:r>
        <w:rPr>
          <w:rFonts w:ascii="Calibri" w:hAnsi="Calibri" w:cs="Calibri"/>
          <w:b/>
          <w:bCs/>
          <w:color w:val="FF0000"/>
          <w:kern w:val="2"/>
          <w:sz w:val="24"/>
          <w:szCs w:val="24"/>
          <w:u w:color="0D0D0D"/>
        </w:rPr>
        <w:t> 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zh-TW" w:eastAsia="zh-TW"/>
        </w:rPr>
      </w:pPr>
      <w:r>
        <w:rPr>
          <w:rFonts w:hint="eastAsia" w:ascii="宋体" w:hAnsi="宋体" w:cs="宋体"/>
          <w:b/>
          <w:bCs/>
          <w:kern w:val="2"/>
          <w:sz w:val="24"/>
          <w:szCs w:val="24"/>
          <w:lang w:val="zh-TW" w:eastAsia="zh-TW"/>
        </w:rPr>
        <w:t>第一部分：精益</w:t>
      </w:r>
      <w:r>
        <w:rPr>
          <w:rFonts w:ascii="Calibri" w:hAnsi="Calibri" w:cs="Calibri"/>
          <w:b/>
          <w:bCs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Times New Roman"/>
          <w:b/>
          <w:bCs/>
          <w:kern w:val="2"/>
          <w:sz w:val="24"/>
          <w:szCs w:val="24"/>
        </w:rPr>
        <w:t>S</w:t>
      </w:r>
      <w:r>
        <w:rPr>
          <w:rFonts w:hint="eastAsia" w:ascii="宋体" w:hAnsi="宋体" w:cs="宋体"/>
          <w:b/>
          <w:bCs/>
          <w:kern w:val="2"/>
          <w:sz w:val="24"/>
          <w:szCs w:val="24"/>
          <w:lang w:val="zh-TW" w:eastAsia="zh-TW"/>
        </w:rPr>
        <w:t>管理变革基础篇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1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、企业管理水平的五星级水准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－创建感动人的企业现场五星级水准</w:t>
      </w:r>
      <w:r>
        <w:rPr>
          <w:rFonts w:ascii="Calibri" w:hAnsi="Calibri" w:cs="Calibri"/>
          <w:kern w:val="2"/>
          <w:sz w:val="24"/>
          <w:szCs w:val="24"/>
        </w:rPr>
        <w:t>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－企业管理现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“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无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”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星水准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2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、没有对比就没有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“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伤害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”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，中日企业的对比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3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、为何实施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管理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－精益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是什么（－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基本理念、规范管理的体系创建、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500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强企业文化）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－案例分享－精益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管理的效益（日本东京地区经济委员会的调查）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4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、精益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管理的基础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－实施整理、整顿、清扫－目的、含义与要领</w:t>
      </w:r>
      <w:r>
        <w:rPr>
          <w:rFonts w:ascii="Calibri" w:hAnsi="Calibri" w:cs="Calibri"/>
          <w:kern w:val="2"/>
          <w:sz w:val="24"/>
          <w:szCs w:val="24"/>
        </w:rPr>
        <w:t>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－案例分享－</w:t>
      </w:r>
      <w:r>
        <w:rPr>
          <w:rFonts w:ascii="Calibri" w:hAnsi="Calibri" w:cs="Calibri"/>
          <w:kern w:val="2"/>
          <w:sz w:val="24"/>
          <w:szCs w:val="24"/>
        </w:rPr>
        <w:t>3S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改善案例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－实战：如何通过现场实践建立属于本公司的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《整理、整顿、清扫》基准书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－实施清洁－标准化的过程与输出</w:t>
      </w:r>
      <w:r>
        <w:rPr>
          <w:rFonts w:ascii="Calibri" w:hAnsi="Calibri" w:cs="Calibri"/>
          <w:kern w:val="2"/>
          <w:sz w:val="24"/>
          <w:szCs w:val="24"/>
        </w:rPr>
        <w:t>   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－清洁阶段的目的与含义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－通过清洁阶段的改善与输出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－实战：建立属于本公司的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之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-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设备《清扫、点检、润滑》基准书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－案例分享－某电脑公司优秀案例、某公司素养案例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zh-TW" w:eastAsia="zh-TW"/>
        </w:rPr>
      </w:pPr>
      <w:r>
        <w:rPr>
          <w:rFonts w:hint="eastAsia" w:ascii="宋体" w:hAnsi="宋体" w:cs="宋体"/>
          <w:b/>
          <w:bCs/>
          <w:kern w:val="2"/>
          <w:sz w:val="24"/>
          <w:szCs w:val="24"/>
          <w:lang w:val="zh-TW" w:eastAsia="zh-TW"/>
        </w:rPr>
        <w:t>第二部分：精益</w:t>
      </w:r>
      <w:r>
        <w:rPr>
          <w:rFonts w:ascii="Calibri" w:hAnsi="Calibri" w:cs="Calibri"/>
          <w:b/>
          <w:bCs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Times New Roman"/>
          <w:b/>
          <w:bCs/>
          <w:kern w:val="2"/>
          <w:sz w:val="24"/>
          <w:szCs w:val="24"/>
        </w:rPr>
        <w:t>S</w:t>
      </w:r>
      <w:r>
        <w:rPr>
          <w:rFonts w:hint="eastAsia" w:ascii="宋体" w:hAnsi="宋体" w:cs="宋体"/>
          <w:b/>
          <w:bCs/>
          <w:kern w:val="2"/>
          <w:sz w:val="24"/>
          <w:szCs w:val="24"/>
          <w:lang w:val="zh-TW" w:eastAsia="zh-TW"/>
        </w:rPr>
        <w:t>管理实践篇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1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、走出传统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之一：精益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管理深化变革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－全面可视化实施展开</w:t>
      </w:r>
      <w:r>
        <w:rPr>
          <w:rFonts w:ascii="Calibri" w:hAnsi="Calibri" w:cs="Calibri"/>
          <w:kern w:val="2"/>
          <w:sz w:val="24"/>
          <w:szCs w:val="24"/>
        </w:rPr>
        <w:t>   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－从个别改善到小组活动展开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－案例分享：某广州车企的改善型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2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、走出传统</w:t>
      </w:r>
      <w:r>
        <w:rPr>
          <w:rFonts w:ascii="Calibri" w:hAnsi="Calibri" w:cs="Calibri"/>
          <w:kern w:val="2"/>
          <w:sz w:val="24"/>
          <w:szCs w:val="24"/>
        </w:rPr>
        <w:t>6S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之二：从现场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到精益改善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－经营型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的</w:t>
      </w:r>
      <w:r>
        <w:rPr>
          <w:rFonts w:ascii="Calibri" w:hAnsi="Calibri" w:cs="Calibri"/>
          <w:kern w:val="2"/>
          <w:sz w:val="24"/>
          <w:szCs w:val="24"/>
        </w:rPr>
        <w:t>5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个</w:t>
      </w:r>
      <w:r>
        <w:rPr>
          <w:rFonts w:ascii="Calibri" w:hAnsi="Calibri" w:cs="Calibri"/>
          <w:kern w:val="2"/>
          <w:sz w:val="24"/>
          <w:szCs w:val="24"/>
        </w:rPr>
        <w:t>L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evel</w:t>
      </w:r>
      <w:r>
        <w:rPr>
          <w:rFonts w:ascii="Calibri" w:hAnsi="Calibri" w:cs="Calibri"/>
          <w:kern w:val="2"/>
          <w:sz w:val="24"/>
          <w:szCs w:val="24"/>
        </w:rPr>
        <w:t>   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的</w:t>
      </w:r>
      <w:r>
        <w:rPr>
          <w:rFonts w:ascii="Calibri" w:hAnsi="Calibri" w:cs="Calibri"/>
          <w:kern w:val="2"/>
          <w:sz w:val="24"/>
          <w:szCs w:val="24"/>
        </w:rPr>
        <w:t>5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个</w:t>
      </w:r>
      <w:r>
        <w:rPr>
          <w:rFonts w:ascii="Calibri" w:hAnsi="Calibri" w:cs="Calibri"/>
          <w:kern w:val="2"/>
          <w:sz w:val="24"/>
          <w:szCs w:val="24"/>
        </w:rPr>
        <w:t>L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evel</w:t>
      </w:r>
      <w:r>
        <w:rPr>
          <w:rFonts w:ascii="Calibri" w:hAnsi="Calibri" w:cs="Calibri"/>
          <w:kern w:val="2"/>
          <w:sz w:val="24"/>
          <w:szCs w:val="24"/>
        </w:rPr>
        <w:t>  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的着重点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－逐步实现</w:t>
      </w:r>
      <w:r>
        <w:rPr>
          <w:rFonts w:ascii="Calibri" w:hAnsi="Calibri" w:cs="Calibri"/>
          <w:kern w:val="2"/>
          <w:sz w:val="24"/>
          <w:szCs w:val="24"/>
        </w:rPr>
        <w:t>5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个</w:t>
      </w:r>
      <w:r>
        <w:rPr>
          <w:rFonts w:ascii="Calibri" w:hAnsi="Calibri" w:cs="Calibri"/>
          <w:kern w:val="2"/>
          <w:sz w:val="24"/>
          <w:szCs w:val="24"/>
        </w:rPr>
        <w:t>L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evel</w:t>
      </w:r>
      <w:r>
        <w:rPr>
          <w:rFonts w:ascii="Calibri" w:hAnsi="Calibri" w:cs="Calibri"/>
          <w:kern w:val="2"/>
          <w:sz w:val="24"/>
          <w:szCs w:val="24"/>
        </w:rPr>
        <w:t>  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的目标</w:t>
      </w:r>
      <w:r>
        <w:rPr>
          <w:rFonts w:ascii="Calibri" w:hAnsi="Calibri" w:cs="Calibri"/>
          <w:kern w:val="2"/>
          <w:sz w:val="24"/>
          <w:szCs w:val="24"/>
        </w:rPr>
        <w:t>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－案例分享：日本企业的改善型</w:t>
      </w:r>
      <w:r>
        <w:rPr>
          <w:rFonts w:ascii="Calibri" w:hAnsi="Calibri" w:cs="Calibri"/>
          <w:kern w:val="2"/>
          <w:sz w:val="24"/>
          <w:szCs w:val="24"/>
        </w:rPr>
        <w:t>5S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3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、走出传统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之三：从被动实施到主动改善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－走出检查，形成共同提高的诊断体系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－案例分享：某企业的诊断体系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4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、走出传统</w:t>
      </w: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Calibri"/>
          <w:kern w:val="2"/>
          <w:sz w:val="24"/>
          <w:szCs w:val="24"/>
        </w:rPr>
        <w:t>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之四：建立全员参与的精益持续改进体系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－个人、小组、部门三级改善循环机制</w:t>
      </w:r>
      <w:r>
        <w:rPr>
          <w:rFonts w:ascii="Calibri" w:hAnsi="Calibri" w:cs="Calibri"/>
          <w:kern w:val="2"/>
          <w:sz w:val="24"/>
          <w:szCs w:val="24"/>
        </w:rPr>
        <w:t> 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－实施三级分享机制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－全员参与的三级诊断机制</w:t>
      </w:r>
      <w:r>
        <w:rPr>
          <w:rFonts w:ascii="Calibri" w:hAnsi="Calibri" w:cs="Calibri"/>
          <w:kern w:val="2"/>
          <w:sz w:val="24"/>
          <w:szCs w:val="24"/>
        </w:rPr>
        <w:t>           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－三级训练机制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firstLine="42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－案例分享：某企业的精益管理变革体系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zh-TW" w:eastAsia="zh-TW"/>
        </w:rPr>
      </w:pPr>
      <w:r>
        <w:rPr>
          <w:rFonts w:hint="eastAsia" w:ascii="宋体" w:hAnsi="宋体" w:cs="宋体"/>
          <w:b/>
          <w:bCs/>
          <w:kern w:val="2"/>
          <w:sz w:val="24"/>
          <w:szCs w:val="24"/>
          <w:lang w:val="zh-TW" w:eastAsia="zh-TW"/>
        </w:rPr>
        <w:t>第三部分：精益</w:t>
      </w:r>
      <w:r>
        <w:rPr>
          <w:rFonts w:ascii="Calibri" w:hAnsi="Calibri" w:cs="Calibri"/>
          <w:b/>
          <w:bCs/>
          <w:kern w:val="2"/>
          <w:sz w:val="24"/>
          <w:szCs w:val="24"/>
          <w:lang w:val="zh-TW" w:eastAsia="zh-TW"/>
        </w:rPr>
        <w:t>5</w:t>
      </w:r>
      <w:r>
        <w:rPr>
          <w:rFonts w:ascii="Calibri" w:hAnsi="Calibri" w:cs="Times New Roman"/>
          <w:b/>
          <w:bCs/>
          <w:kern w:val="2"/>
          <w:sz w:val="24"/>
          <w:szCs w:val="24"/>
        </w:rPr>
        <w:t>S</w:t>
      </w:r>
      <w:r>
        <w:rPr>
          <w:rFonts w:hint="eastAsia" w:ascii="宋体" w:hAnsi="宋体" w:cs="宋体"/>
          <w:b/>
          <w:bCs/>
          <w:kern w:val="2"/>
          <w:sz w:val="24"/>
          <w:szCs w:val="24"/>
          <w:lang w:val="zh-TW" w:eastAsia="zh-TW"/>
        </w:rPr>
        <w:t>团队与精益绩效建设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left="360" w:hanging="36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1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</w:t>
      </w:r>
      <w:r>
        <w:rPr>
          <w:rFonts w:ascii="Calibri" w:hAnsi="Calibri" w:cs="Calibri"/>
          <w:kern w:val="2"/>
          <w:sz w:val="24"/>
          <w:szCs w:val="24"/>
        </w:rPr>
        <w:t> 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如何建立高效的推进</w:t>
      </w:r>
      <w:r>
        <w:rPr>
          <w:rFonts w:ascii="Calibri" w:hAnsi="Calibri" w:cs="Calibri"/>
          <w:kern w:val="2"/>
          <w:sz w:val="24"/>
          <w:szCs w:val="24"/>
        </w:rPr>
        <w:t>TEAM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团队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left="36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－高绩效推进团队的意义</w:t>
      </w:r>
      <w:r>
        <w:rPr>
          <w:rFonts w:ascii="Calibri" w:hAnsi="Calibri" w:cs="Calibri"/>
          <w:kern w:val="2"/>
          <w:sz w:val="24"/>
          <w:szCs w:val="24"/>
        </w:rPr>
        <w:t> 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left="36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－团队的凝聚力与战斗力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left="36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－推进团队激励政策与方式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left="360" w:hanging="36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2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</w:t>
      </w:r>
      <w:r>
        <w:rPr>
          <w:rFonts w:ascii="Calibri" w:hAnsi="Calibri" w:cs="Calibri"/>
          <w:kern w:val="2"/>
          <w:sz w:val="24"/>
          <w:szCs w:val="24"/>
        </w:rPr>
        <w:t> 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精益绩效体系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left="36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－推进与绩效管理体系结合的必要性</w:t>
      </w:r>
      <w:r>
        <w:rPr>
          <w:rFonts w:ascii="Calibri" w:hAnsi="Calibri" w:cs="Calibri"/>
          <w:kern w:val="2"/>
          <w:sz w:val="24"/>
          <w:szCs w:val="24"/>
        </w:rPr>
        <w:t>   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left="36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－如何建立精益推进</w:t>
      </w:r>
      <w:r>
        <w:rPr>
          <w:rFonts w:ascii="Calibri" w:hAnsi="Calibri" w:cs="Calibri"/>
          <w:kern w:val="2"/>
          <w:sz w:val="24"/>
          <w:szCs w:val="24"/>
        </w:rPr>
        <w:t>KPI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体系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zh-TW" w:eastAsia="zh-TW"/>
        </w:rPr>
      </w:pPr>
      <w:r>
        <w:rPr>
          <w:rFonts w:hint="eastAsia" w:ascii="宋体" w:hAnsi="宋体" w:cs="宋体"/>
          <w:b/>
          <w:bCs/>
          <w:kern w:val="2"/>
          <w:sz w:val="24"/>
          <w:szCs w:val="24"/>
          <w:lang w:val="zh-TW" w:eastAsia="zh-TW"/>
        </w:rPr>
        <w:t>第四部分：如何建立精益管理变革的支撑体系</w:t>
      </w:r>
    </w:p>
    <w:p>
      <w:pPr>
        <w:pStyle w:val="14"/>
        <w:framePr w:wrap="auto" w:vAnchor="margin" w:hAnchor="text" w:yAlign="inline"/>
        <w:widowControl w:val="0"/>
        <w:numPr>
          <w:ilvl w:val="0"/>
          <w:numId w:val="5"/>
        </w:numPr>
        <w:spacing w:line="360" w:lineRule="auto"/>
        <w:jc w:val="both"/>
        <w:rPr>
          <w:rFonts w:ascii="Calibri" w:hAnsi="Calibri" w:cs="Calibri"/>
          <w:sz w:val="24"/>
          <w:szCs w:val="24"/>
          <w:lang w:val="zh-TW" w:eastAsia="zh-TW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精益生产</w:t>
      </w:r>
      <w:r>
        <w:rPr>
          <w:rFonts w:ascii="Calibri" w:hAnsi="Calibri" w:cs="Calibri"/>
          <w:kern w:val="2"/>
          <w:sz w:val="24"/>
          <w:szCs w:val="24"/>
        </w:rPr>
        <w:t>TPS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、全面改善</w:t>
      </w:r>
      <w:r>
        <w:rPr>
          <w:rFonts w:ascii="Calibri" w:hAnsi="Calibri" w:cs="Calibri"/>
          <w:kern w:val="2"/>
          <w:sz w:val="24"/>
          <w:szCs w:val="24"/>
        </w:rPr>
        <w:t>TPM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及全面质量管理</w:t>
      </w:r>
      <w:r>
        <w:rPr>
          <w:rFonts w:ascii="Calibri" w:hAnsi="Calibri" w:cs="Calibri"/>
          <w:kern w:val="2"/>
          <w:sz w:val="24"/>
          <w:szCs w:val="24"/>
        </w:rPr>
        <w:t>TQM   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ind w:left="360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－释义与案例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2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、精益管理变革的支撑体系</w:t>
      </w:r>
      <w:r>
        <w:rPr>
          <w:rFonts w:ascii="Calibri" w:hAnsi="Calibri" w:cs="Calibri"/>
          <w:kern w:val="2"/>
          <w:sz w:val="24"/>
          <w:szCs w:val="24"/>
        </w:rPr>
        <w:t>       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</w:rPr>
        <w:t>3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、持续改进机制的运行方法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  <w:lang w:val="zh-TW" w:eastAsia="zh-TW"/>
        </w:rPr>
        <w:t>4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、可持续改进的核心体系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  <w:lang w:val="zh-TW" w:eastAsia="zh-TW"/>
        </w:rPr>
        <w:t>5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、精益</w:t>
      </w:r>
      <w:r>
        <w:rPr>
          <w:rFonts w:ascii="Calibri" w:hAnsi="Calibri" w:cs="Calibri"/>
          <w:kern w:val="2"/>
          <w:sz w:val="24"/>
          <w:szCs w:val="24"/>
        </w:rPr>
        <w:t>6S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管理成功的三大要点</w:t>
      </w:r>
      <w:r>
        <w:rPr>
          <w:rFonts w:ascii="Calibri" w:hAnsi="Calibri" w:cs="Calibri"/>
          <w:kern w:val="2"/>
          <w:sz w:val="24"/>
          <w:szCs w:val="24"/>
        </w:rPr>
        <w:t>     </w:t>
      </w:r>
    </w:p>
    <w:p>
      <w:pPr>
        <w:pStyle w:val="13"/>
        <w:framePr w:wrap="auto" w:vAnchor="margin" w:hAnchor="text" w:yAlign="inline"/>
        <w:widowControl/>
        <w:tabs>
          <w:tab w:val="clear" w:pos="4153"/>
          <w:tab w:val="clear" w:pos="8306"/>
        </w:tabs>
        <w:spacing w:line="360" w:lineRule="auto"/>
        <w:ind w:left="2"/>
        <w:rPr>
          <w:rFonts w:ascii="宋体" w:cs="宋体"/>
          <w:b/>
          <w:bCs/>
          <w:color w:val="333333"/>
          <w:kern w:val="0"/>
          <w:sz w:val="24"/>
          <w:szCs w:val="24"/>
          <w:u w:color="333333"/>
        </w:rPr>
      </w:pPr>
      <w:r>
        <w:rPr>
          <w:rFonts w:ascii="Calibri" w:hAnsi="Calibri" w:cs="Calibri"/>
          <w:b/>
          <w:bCs/>
          <w:sz w:val="24"/>
          <w:szCs w:val="24"/>
        </w:rPr>
        <w:t>6</w:t>
      </w:r>
      <w:r>
        <w:rPr>
          <w:rFonts w:hint="eastAsia" w:ascii="宋体" w:hAnsi="宋体" w:cs="宋体"/>
          <w:b/>
          <w:bCs/>
          <w:color w:val="333333"/>
          <w:sz w:val="24"/>
          <w:szCs w:val="24"/>
        </w:rPr>
        <w:t>、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成功体验通过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5S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活动创造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P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（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Productivity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）、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Q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（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Quality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）、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C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（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Cost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）、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D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（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Delivery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）、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S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（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Safety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）、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M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（</w:t>
      </w:r>
      <w:r>
        <w:rPr>
          <w:rFonts w:ascii="宋体" w:hAnsi="宋体" w:cs="宋体"/>
          <w:b/>
          <w:bCs/>
          <w:color w:val="333333"/>
          <w:kern w:val="0"/>
          <w:sz w:val="24"/>
          <w:szCs w:val="24"/>
          <w:u w:color="333333"/>
          <w:lang w:val="en-US"/>
        </w:rPr>
        <w:t>Morale</w:t>
      </w: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  <w:u w:color="333333"/>
        </w:rPr>
        <w:t>）成果</w:t>
      </w:r>
    </w:p>
    <w:p>
      <w:pPr>
        <w:pStyle w:val="13"/>
        <w:framePr w:wrap="auto" w:vAnchor="margin" w:hAnchor="text" w:yAlign="inline"/>
        <w:widowControl/>
        <w:numPr>
          <w:ilvl w:val="0"/>
          <w:numId w:val="6"/>
        </w:numPr>
        <w:spacing w:line="360" w:lineRule="auto"/>
        <w:rPr>
          <w:rFonts w:ascii="宋体" w:cs="宋体"/>
          <w:color w:val="333333"/>
          <w:sz w:val="24"/>
          <w:szCs w:val="24"/>
          <w:lang w:val="en-US"/>
        </w:rPr>
      </w:pPr>
      <w:r>
        <w:rPr>
          <w:rFonts w:ascii="宋体" w:hAnsi="宋体" w:cs="宋体"/>
          <w:color w:val="333333"/>
          <w:kern w:val="0"/>
          <w:sz w:val="24"/>
          <w:szCs w:val="24"/>
          <w:u w:color="333333"/>
          <w:lang w:val="en-US"/>
        </w:rPr>
        <w:t>100%</w:t>
      </w:r>
      <w:r>
        <w:rPr>
          <w:rFonts w:hint="eastAsia" w:ascii="宋体" w:hAnsi="宋体" w:cs="宋体"/>
          <w:color w:val="333333"/>
          <w:kern w:val="0"/>
          <w:sz w:val="24"/>
          <w:szCs w:val="24"/>
          <w:u w:color="333333"/>
        </w:rPr>
        <w:t>查找暴露的不合理，且通过即实践改善</w:t>
      </w:r>
      <w:r>
        <w:rPr>
          <w:rFonts w:ascii="宋体" w:hAnsi="宋体" w:cs="宋体"/>
          <w:color w:val="333333"/>
          <w:kern w:val="0"/>
          <w:sz w:val="24"/>
          <w:szCs w:val="24"/>
          <w:u w:color="333333"/>
          <w:lang w:val="en-US"/>
        </w:rPr>
        <w:t>90%</w:t>
      </w:r>
      <w:r>
        <w:rPr>
          <w:rFonts w:hint="eastAsia" w:ascii="宋体" w:hAnsi="宋体" w:cs="宋体"/>
          <w:color w:val="333333"/>
          <w:kern w:val="0"/>
          <w:sz w:val="24"/>
          <w:szCs w:val="24"/>
          <w:u w:color="333333"/>
        </w:rPr>
        <w:t>以上</w:t>
      </w:r>
    </w:p>
    <w:p>
      <w:pPr>
        <w:pStyle w:val="13"/>
        <w:framePr w:wrap="auto" w:vAnchor="margin" w:hAnchor="text" w:yAlign="inline"/>
        <w:widowControl/>
        <w:numPr>
          <w:ilvl w:val="0"/>
          <w:numId w:val="6"/>
        </w:num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hint="eastAsia" w:ascii="宋体" w:hAnsi="宋体" w:cs="宋体"/>
          <w:color w:val="333333"/>
          <w:kern w:val="0"/>
          <w:sz w:val="24"/>
          <w:szCs w:val="24"/>
          <w:u w:color="333333"/>
        </w:rPr>
        <w:t>通过系统性的</w:t>
      </w:r>
      <w:r>
        <w:rPr>
          <w:rFonts w:ascii="宋体" w:hAnsi="宋体" w:cs="宋体"/>
          <w:color w:val="333333"/>
          <w:kern w:val="0"/>
          <w:sz w:val="24"/>
          <w:szCs w:val="24"/>
          <w:u w:color="333333"/>
          <w:lang w:val="en-US"/>
        </w:rPr>
        <w:t>5S</w:t>
      </w:r>
      <w:r>
        <w:rPr>
          <w:rFonts w:hint="eastAsia" w:ascii="宋体" w:hAnsi="宋体" w:cs="宋体"/>
          <w:color w:val="333333"/>
          <w:kern w:val="0"/>
          <w:sz w:val="24"/>
          <w:szCs w:val="24"/>
          <w:u w:color="333333"/>
        </w:rPr>
        <w:t>活动，提高企业信誉度及客户满意度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  <w:rPr>
          <w:rFonts w:ascii="Calibri" w:hAnsi="Calibri" w:cs="Calibri"/>
          <w:kern w:val="2"/>
          <w:sz w:val="24"/>
          <w:szCs w:val="24"/>
        </w:rPr>
      </w:pPr>
      <w:r>
        <w:rPr>
          <w:rFonts w:ascii="Calibri" w:hAnsi="Calibri" w:cs="Calibri"/>
          <w:kern w:val="2"/>
          <w:sz w:val="24"/>
          <w:szCs w:val="24"/>
          <w:lang w:val="zh-TW" w:eastAsia="zh-TW"/>
        </w:rPr>
        <w:t>7</w:t>
      </w:r>
      <w:r>
        <w:rPr>
          <w:rFonts w:hint="eastAsia" w:ascii="宋体" w:hAnsi="宋体" w:cs="宋体"/>
          <w:kern w:val="2"/>
          <w:sz w:val="24"/>
          <w:szCs w:val="24"/>
          <w:lang w:val="zh-TW" w:eastAsia="zh-TW"/>
        </w:rPr>
        <w:t>、</w:t>
      </w:r>
      <w:r>
        <w:rPr>
          <w:rFonts w:ascii="Calibri" w:hAnsi="Calibri" w:cs="Calibri"/>
          <w:kern w:val="2"/>
          <w:sz w:val="24"/>
          <w:szCs w:val="24"/>
        </w:rPr>
        <w:t>Q&amp;A</w:t>
      </w: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ind w:firstLine="160"/>
        <w:rPr>
          <w:rFonts w:ascii="微软雅黑" w:hAnsi="微软雅黑" w:eastAsia="微软雅黑" w:cs="Times New Roman"/>
          <w:color w:val="FF0000"/>
          <w:sz w:val="30"/>
          <w:szCs w:val="30"/>
          <w:u w:color="0432FE"/>
          <w:lang w:val="zh-TW" w:eastAsia="zh-TW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  <w:u w:color="0432FE"/>
          <w:lang w:val="zh-TW" w:eastAsia="zh-TW"/>
        </w:rPr>
        <w:t>周广锋</w:t>
      </w:r>
      <w:r>
        <w:rPr>
          <w:rFonts w:ascii="微软雅黑" w:hAnsi="微软雅黑" w:eastAsia="微软雅黑"/>
          <w:b/>
          <w:bCs/>
          <w:color w:val="FF0000"/>
          <w:sz w:val="30"/>
          <w:szCs w:val="30"/>
          <w:u w:color="0432FE"/>
          <w:lang w:val="zh-TW" w:eastAsia="zh-TW"/>
        </w:rPr>
        <w:t xml:space="preserve"> </w:t>
      </w:r>
      <w:r>
        <w:rPr>
          <w:rFonts w:hint="eastAsia" w:ascii="微软雅黑" w:hAnsi="微软雅黑" w:eastAsia="微软雅黑"/>
          <w:color w:val="FF0000"/>
          <w:sz w:val="30"/>
          <w:szCs w:val="30"/>
          <w:u w:color="0432FE"/>
          <w:lang w:val="zh-TW" w:eastAsia="zh-TW"/>
        </w:rPr>
        <w:t>老师</w:t>
      </w:r>
      <w:r>
        <w:pict>
          <v:shape id="officeArt object" o:spid="_x0000_s1078" o:spt="75" alt="image1.jpeg" type="#_x0000_t75" style="position:absolute;left:0pt;margin-left:393pt;margin-top:38.55pt;height:153.15pt;width:126pt;mso-position-horizontal-relative:page;mso-position-vertical-relative:line;mso-wrap-distance-left:4.5pt;mso-wrap-distance-right:4.5pt;z-index:251658240;mso-width-relative:page;mso-height-relative:page;" filled="f" stroked="t" coordsize="21600,21600" wrapcoords="-129 -106 -129 21600 21729 21600 21729 -106 -129 -106">
            <v:path/>
            <v:fill on="f" focussize="0,0"/>
            <v:stroke color="#FFFFFF" joinstyle="round"/>
            <v:imagedata r:id="rId6" o:title=""/>
            <o:lock v:ext="edit" aspectratio="t"/>
            <w10:wrap type="through"/>
          </v:shape>
        </w:pic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ind w:firstLine="140"/>
        <w:rPr>
          <w:rFonts w:ascii="Arial Black" w:hAnsi="Arial Black" w:cs="Arial Black"/>
          <w:color w:val="0432FE"/>
          <w:sz w:val="28"/>
          <w:szCs w:val="28"/>
          <w:u w:color="0432FE"/>
        </w:rPr>
      </w:pPr>
      <w:r>
        <w:rPr>
          <w:rFonts w:ascii="Arial Black" w:hAnsi="Arial Black"/>
          <w:color w:val="919191"/>
          <w:sz w:val="28"/>
          <w:szCs w:val="28"/>
          <w:u w:color="0432FE"/>
        </w:rPr>
        <w:t xml:space="preserve">James zhou  </w:t>
      </w:r>
      <w:r>
        <w:rPr>
          <w:rFonts w:ascii="Arial Black" w:hAnsi="Arial Black"/>
          <w:color w:val="0432FE"/>
          <w:sz w:val="28"/>
          <w:szCs w:val="28"/>
          <w:u w:color="0432FE"/>
        </w:rPr>
        <w:t xml:space="preserve">       </w:t>
      </w:r>
    </w:p>
    <w:p>
      <w:pPr>
        <w:pStyle w:val="18"/>
        <w:numPr>
          <w:ilvl w:val="0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lang w:val="zh-TW" w:eastAsia="zh-TW"/>
        </w:rPr>
      </w:pPr>
      <w:r>
        <w:rPr>
          <w:rFonts w:hint="eastAsia"/>
          <w:lang w:val="zh-TW" w:eastAsia="zh-TW"/>
        </w:rPr>
        <w:t>现任：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Helvetica" w:hAnsi="Helvetica" w:cs="Helvetica"/>
        </w:rPr>
      </w:pPr>
      <w:r>
        <w:rPr>
          <w:rFonts w:ascii="Helvetica" w:hAnsi="Helvetica"/>
        </w:rPr>
        <w:t>China kaizen</w:t>
      </w:r>
      <w:r>
        <w:rPr>
          <w:rFonts w:hint="eastAsia"/>
          <w:lang w:val="zh-TW" w:eastAsia="zh-TW"/>
        </w:rPr>
        <w:t>高级讲师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Helvetica" w:hAnsi="Helvetica" w:cs="Helvetica"/>
        </w:rPr>
      </w:pPr>
      <w:r>
        <w:rPr>
          <w:rFonts w:ascii="Helvetica" w:hAnsi="Helvetica"/>
        </w:rPr>
        <w:t>China 5S</w:t>
      </w:r>
      <w:r>
        <w:rPr>
          <w:rFonts w:hint="eastAsia"/>
          <w:lang w:val="zh-TW" w:eastAsia="zh-TW"/>
        </w:rPr>
        <w:t>咨询机构高级咨询师及高级培训师</w:t>
      </w:r>
      <w:r>
        <w:rPr>
          <w:rFonts w:ascii="Helvetica" w:hAnsi="Helvetica"/>
          <w:lang w:val="zh-TW" w:eastAsia="zh-TW"/>
        </w:rPr>
        <w:t xml:space="preserve"> 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Helvetica" w:hAnsi="Helvetica" w:cs="Helvetica"/>
        </w:rPr>
      </w:pPr>
      <w:r>
        <w:rPr>
          <w:rFonts w:ascii="Helvetica" w:hAnsi="Helvetica"/>
        </w:rPr>
        <w:t>China Safety</w:t>
      </w:r>
      <w:r>
        <w:rPr>
          <w:rFonts w:hint="eastAsia"/>
          <w:lang w:val="zh-TW" w:eastAsia="zh-TW"/>
        </w:rPr>
        <w:t>咨询机构高级讲师</w:t>
      </w:r>
      <w:r>
        <w:rPr>
          <w:rFonts w:ascii="Helvetica" w:hAnsi="Helvetica"/>
        </w:rPr>
        <w:t>/</w:t>
      </w:r>
      <w:r>
        <w:rPr>
          <w:rFonts w:hint="eastAsia"/>
          <w:lang w:val="zh-TW" w:eastAsia="zh-TW"/>
        </w:rPr>
        <w:t>咨询师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Helvetica" w:hAnsi="Helvetica" w:cs="Helvetica"/>
        </w:rPr>
      </w:pPr>
      <w:r>
        <w:rPr>
          <w:rFonts w:ascii="Helvetica" w:hAnsi="Helvetica"/>
        </w:rPr>
        <w:t>TWI(China TWI)</w:t>
      </w:r>
      <w:r>
        <w:rPr>
          <w:rFonts w:hint="eastAsia"/>
          <w:lang w:val="zh-TW" w:eastAsia="zh-TW"/>
        </w:rPr>
        <w:t>机构资深讲师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Helvetica" w:hAnsi="Helvetica" w:cs="Helvetica"/>
          <w:lang w:val="zh-TW" w:eastAsia="zh-TW"/>
        </w:rPr>
      </w:pPr>
      <w:r>
        <w:rPr>
          <w:rFonts w:hint="eastAsia"/>
          <w:lang w:val="zh-TW" w:eastAsia="zh-TW"/>
        </w:rPr>
        <w:t>国家注册安全工程师</w:t>
      </w:r>
      <w:r>
        <w:rPr>
          <w:rFonts w:ascii="Helvetica" w:hAnsi="Helvetica"/>
          <w:lang w:val="zh-TW" w:eastAsia="zh-TW"/>
        </w:rPr>
        <w:t xml:space="preserve"> 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Times" w:hAnsi="Times" w:cs="Times"/>
        </w:rPr>
      </w:pPr>
      <w:r>
        <w:rPr>
          <w:rFonts w:hint="eastAsia"/>
          <w:lang w:val="zh-TW" w:eastAsia="zh-TW"/>
        </w:rPr>
        <w:t>广州市公用事业技师学院</w:t>
      </w:r>
      <w:r>
        <w:rPr>
          <w:rFonts w:ascii="Times" w:hAnsi="Times"/>
        </w:rPr>
        <w:t>6S/</w:t>
      </w:r>
      <w:r>
        <w:rPr>
          <w:rFonts w:hint="eastAsia"/>
          <w:lang w:val="zh-TW" w:eastAsia="zh-TW"/>
        </w:rPr>
        <w:t>安全顾问师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Times" w:hAnsi="Times" w:cs="Times"/>
          <w:lang w:val="zh-TW" w:eastAsia="zh-TW"/>
        </w:rPr>
      </w:pPr>
      <w:r>
        <w:rPr>
          <w:rFonts w:hint="eastAsia"/>
          <w:lang w:val="zh-TW" w:eastAsia="zh-TW"/>
        </w:rPr>
        <w:t>深圳市梅林街道安全管理顾问师</w:t>
      </w:r>
      <w:r>
        <w:rPr>
          <w:rFonts w:ascii="Times" w:hAnsi="Times"/>
          <w:lang w:val="zh-TW" w:eastAsia="zh-TW"/>
        </w:rPr>
        <w:t xml:space="preserve"> 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Times" w:hAnsi="Times" w:cs="Times"/>
          <w:lang w:val="zh-TW" w:eastAsia="zh-TW"/>
        </w:rPr>
      </w:pPr>
      <w:r>
        <w:rPr>
          <w:rFonts w:hint="eastAsia"/>
          <w:lang w:val="zh-TW" w:eastAsia="zh-TW"/>
        </w:rPr>
        <w:t>深圳市质量协会特聘教授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Times" w:hAnsi="Times" w:cs="Times"/>
          <w:lang w:val="zh-TW" w:eastAsia="zh-TW"/>
        </w:rPr>
      </w:pPr>
      <w:r>
        <w:rPr>
          <w:rFonts w:hint="eastAsia"/>
          <w:lang w:val="zh-TW" w:eastAsia="zh-TW"/>
        </w:rPr>
        <w:t>生产制造企业管理革新高级顾问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Times" w:hAnsi="Times" w:cs="Times"/>
          <w:lang w:val="zh-TW" w:eastAsia="zh-TW"/>
        </w:rPr>
      </w:pPr>
      <w:r>
        <w:rPr>
          <w:rFonts w:hint="eastAsia"/>
          <w:lang w:val="zh-TW" w:eastAsia="zh-TW"/>
        </w:rPr>
        <w:t>精益生产成本控制高级顾问</w:t>
      </w:r>
      <w:r>
        <w:rPr>
          <w:rFonts w:ascii="Times" w:hAnsi="Times"/>
          <w:lang w:val="zh-TW" w:eastAsia="zh-TW"/>
        </w:rPr>
        <w:t xml:space="preserve"> 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Times" w:hAnsi="Times" w:cs="Times"/>
          <w:lang w:val="zh-TW" w:eastAsia="zh-TW"/>
        </w:rPr>
      </w:pPr>
      <w:r>
        <w:rPr>
          <w:rFonts w:hint="eastAsia"/>
          <w:lang w:val="zh-TW" w:eastAsia="zh-TW"/>
        </w:rPr>
        <w:t>讲师经历与专长：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rFonts w:ascii="Times" w:hAnsi="Times" w:cs="Times"/>
        </w:rPr>
      </w:pPr>
      <w:r>
        <w:rPr>
          <w:rFonts w:hint="eastAsia"/>
          <w:lang w:val="zh-TW" w:eastAsia="zh-TW"/>
        </w:rPr>
        <w:t>周老师历任深圳三星生产主管，</w:t>
      </w:r>
      <w:r>
        <w:rPr>
          <w:rFonts w:ascii="Times" w:hAnsi="Times"/>
        </w:rPr>
        <w:t>TPM/</w:t>
      </w:r>
      <w:r>
        <w:rPr>
          <w:rFonts w:hint="eastAsia"/>
          <w:lang w:val="zh-TW" w:eastAsia="zh-TW"/>
        </w:rPr>
        <w:t>安全，三星制造部生产处，三星（中国）集团社内首批</w:t>
      </w:r>
      <w:r>
        <w:rPr>
          <w:rFonts w:ascii="Times" w:hAnsi="Times"/>
        </w:rPr>
        <w:t>6S/</w:t>
      </w:r>
      <w:r>
        <w:rPr>
          <w:rFonts w:hint="eastAsia"/>
          <w:lang w:val="zh-TW" w:eastAsia="zh-TW"/>
        </w:rPr>
        <w:t>安全专家，三星（德国）社内安全、</w:t>
      </w:r>
      <w:r>
        <w:rPr>
          <w:rFonts w:ascii="Times" w:hAnsi="Times"/>
        </w:rPr>
        <w:t>TPM/</w:t>
      </w:r>
      <w:r>
        <w:rPr>
          <w:rFonts w:hint="eastAsia"/>
          <w:lang w:val="zh-TW" w:eastAsia="zh-TW"/>
        </w:rPr>
        <w:t>安全</w:t>
      </w:r>
      <w:r>
        <w:rPr>
          <w:rFonts w:ascii="Times" w:hAnsi="Times"/>
        </w:rPr>
        <w:t>STEP</w:t>
      </w:r>
      <w:r>
        <w:rPr>
          <w:rFonts w:hint="eastAsia"/>
          <w:lang w:val="zh-TW" w:eastAsia="zh-TW"/>
        </w:rPr>
        <w:t>顾问，三星集团社内首批培训讲师</w:t>
      </w:r>
    </w:p>
    <w:p>
      <w:pPr>
        <w:pStyle w:val="18"/>
        <w:numPr>
          <w:ilvl w:val="0"/>
          <w:numId w:val="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rPr>
          <w:lang w:val="zh-TW" w:eastAsia="zh-TW"/>
        </w:rPr>
      </w:pPr>
      <w:r>
        <w:rPr>
          <w:rFonts w:hint="eastAsia"/>
          <w:lang w:val="zh-TW" w:eastAsia="zh-TW"/>
        </w:rPr>
        <w:t>职业经验：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ind w:firstLine="420"/>
        <w:rPr>
          <w:rFonts w:ascii="Arial Black" w:hAnsi="Arial Black" w:cs="Arial Black"/>
          <w:kern w:val="0"/>
        </w:rPr>
      </w:pPr>
      <w:r>
        <w:rPr>
          <w:rFonts w:hint="eastAsia"/>
          <w:kern w:val="0"/>
          <w:lang w:val="zh-TW" w:eastAsia="zh-TW"/>
        </w:rPr>
        <w:t>周老师具有</w:t>
      </w:r>
      <w:r>
        <w:rPr>
          <w:rFonts w:ascii="Arial Black" w:hAnsi="Arial Black"/>
          <w:kern w:val="0"/>
        </w:rPr>
        <w:t>20</w:t>
      </w:r>
      <w:r>
        <w:rPr>
          <w:rFonts w:hint="eastAsia"/>
          <w:kern w:val="0"/>
          <w:lang w:val="zh-TW" w:eastAsia="zh-TW"/>
        </w:rPr>
        <w:t>多年的世界</w:t>
      </w:r>
      <w:r>
        <w:rPr>
          <w:rFonts w:ascii="Arial Black" w:hAnsi="Arial Black"/>
          <w:kern w:val="0"/>
        </w:rPr>
        <w:t>500</w:t>
      </w:r>
      <w:r>
        <w:rPr>
          <w:rFonts w:hint="eastAsia"/>
          <w:kern w:val="0"/>
          <w:lang w:val="zh-TW" w:eastAsia="zh-TW"/>
        </w:rPr>
        <w:t>强企业的三星工厂企业管理、革新经验，质量管理、在设备管理与生产现场管理方面有丰富的理论基础与实战经验</w:t>
      </w:r>
      <w:r>
        <w:rPr>
          <w:rFonts w:ascii="Arial Black" w:hAnsi="Arial Black"/>
          <w:kern w:val="0"/>
        </w:rPr>
        <w:t xml:space="preserve"> </w:t>
      </w:r>
      <w:r>
        <w:rPr>
          <w:rFonts w:hint="eastAsia"/>
          <w:kern w:val="0"/>
          <w:lang w:val="zh-TW" w:eastAsia="zh-TW"/>
        </w:rPr>
        <w:t>，</w:t>
      </w:r>
      <w:r>
        <w:rPr>
          <w:rFonts w:ascii="Arial Black" w:hAnsi="Arial Black"/>
          <w:kern w:val="0"/>
        </w:rPr>
        <w:t xml:space="preserve"> </w:t>
      </w:r>
      <w:r>
        <w:rPr>
          <w:rFonts w:hint="eastAsia"/>
          <w:kern w:val="0"/>
          <w:lang w:val="zh-TW" w:eastAsia="zh-TW"/>
        </w:rPr>
        <w:t>并多次在韩国三星，三星德国公司海外研修，主持推进深圳三星公司的生产、品质、</w:t>
      </w:r>
      <w:r>
        <w:rPr>
          <w:rFonts w:ascii="Arial Black" w:hAnsi="Arial Black"/>
          <w:kern w:val="0"/>
        </w:rPr>
        <w:t>TPM</w:t>
      </w:r>
      <w:r>
        <w:rPr>
          <w:rFonts w:hint="eastAsia"/>
          <w:kern w:val="0"/>
          <w:lang w:val="zh-TW" w:eastAsia="zh-TW"/>
        </w:rPr>
        <w:t>、安全</w:t>
      </w:r>
      <w:r>
        <w:rPr>
          <w:rFonts w:ascii="Arial Black" w:hAnsi="Arial Black"/>
          <w:kern w:val="0"/>
        </w:rPr>
        <w:t xml:space="preserve"> </w:t>
      </w:r>
      <w:r>
        <w:rPr>
          <w:rFonts w:hint="eastAsia"/>
          <w:kern w:val="0"/>
          <w:lang w:val="zh-TW" w:eastAsia="zh-TW"/>
        </w:rPr>
        <w:t>活动，全程亲历深圳三星</w:t>
      </w:r>
      <w:r>
        <w:rPr>
          <w:rFonts w:ascii="Arial Black" w:hAnsi="Arial Black"/>
          <w:kern w:val="0"/>
        </w:rPr>
        <w:t>6S~TPM~TWI~</w:t>
      </w:r>
      <w:r>
        <w:rPr>
          <w:rFonts w:ascii="Arial Black" w:hAnsi="Arial Black"/>
        </w:rPr>
        <w:t xml:space="preserve"> SIX SIGMA</w:t>
      </w:r>
      <w:r>
        <w:rPr>
          <w:rFonts w:hint="eastAsia"/>
          <w:kern w:val="0"/>
          <w:lang w:val="zh-TW" w:eastAsia="zh-TW"/>
        </w:rPr>
        <w:t>主题活动推进。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ind w:firstLine="420"/>
        <w:rPr>
          <w:rFonts w:ascii="Arial Black" w:hAnsi="Arial Black" w:cs="Arial Black"/>
        </w:rPr>
      </w:pPr>
      <w:r>
        <w:rPr>
          <w:rFonts w:hint="eastAsia"/>
          <w:kern w:val="0"/>
          <w:lang w:val="zh-TW" w:eastAsia="zh-TW"/>
        </w:rPr>
        <w:t>周</w:t>
      </w:r>
      <w:r>
        <w:rPr>
          <w:rFonts w:hint="eastAsia"/>
          <w:lang w:val="zh-TW" w:eastAsia="zh-TW"/>
        </w:rPr>
        <w:t>老师是从优秀企业，生产管理一线最前沿成长起来真正的</w:t>
      </w:r>
      <w:r>
        <w:rPr>
          <w:rFonts w:ascii="Arial Black" w:hAnsi="Arial Black"/>
        </w:rPr>
        <w:t>6S</w:t>
      </w:r>
      <w:r>
        <w:rPr>
          <w:rFonts w:hint="eastAsia"/>
          <w:lang w:val="zh-TW" w:eastAsia="zh-TW"/>
        </w:rPr>
        <w:t>、安全、</w:t>
      </w:r>
      <w:r>
        <w:rPr>
          <w:rFonts w:ascii="Arial Black" w:hAnsi="Arial Black"/>
        </w:rPr>
        <w:t>TPM</w:t>
      </w:r>
      <w:r>
        <w:rPr>
          <w:rFonts w:hint="eastAsia"/>
          <w:lang w:val="zh-TW" w:eastAsia="zh-TW"/>
        </w:rPr>
        <w:t>设备管理实战咨询师，是</w:t>
      </w:r>
      <w:r>
        <w:rPr>
          <w:rFonts w:ascii="Arial Black" w:hAnsi="Arial Black"/>
        </w:rPr>
        <w:t>6S /TPM/TWI</w:t>
      </w:r>
      <w:r>
        <w:rPr>
          <w:rFonts w:hint="eastAsia"/>
          <w:lang w:val="zh-TW" w:eastAsia="zh-TW"/>
        </w:rPr>
        <w:t>培训与管理咨询领域知名的咨询与实战专家。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ind w:firstLine="420"/>
        <w:rPr>
          <w:rFonts w:ascii="Arial Black" w:hAnsi="Arial Black" w:cs="Arial Black"/>
        </w:rPr>
      </w:pPr>
      <w:r>
        <w:rPr>
          <w:rFonts w:hint="eastAsia"/>
          <w:lang w:val="zh-TW" w:eastAsia="zh-TW"/>
        </w:rPr>
        <w:t>周老师根据企业特点量身定做具体可行的咨询方案，</w:t>
      </w:r>
      <w:r>
        <w:rPr>
          <w:rFonts w:hint="eastAsia"/>
          <w:kern w:val="0"/>
          <w:lang w:val="zh-TW" w:eastAsia="zh-TW"/>
        </w:rPr>
        <w:t>辅导培训方法并能够在企业迅速落地，</w:t>
      </w:r>
      <w:r>
        <w:rPr>
          <w:rFonts w:hint="eastAsia"/>
          <w:lang w:val="zh-TW" w:eastAsia="zh-TW"/>
        </w:rPr>
        <w:t>帮助企业迅速提升生产效率、改善品质、缩短交货周期、削减库存、减少现场安全事故、提升人员素养，增强企业竞争力。</w:t>
      </w:r>
      <w:r>
        <w:rPr>
          <w:rFonts w:hint="eastAsia"/>
          <w:kern w:val="0"/>
          <w:lang w:val="zh-TW" w:eastAsia="zh-TW"/>
        </w:rPr>
        <w:t>并能</w:t>
      </w:r>
      <w:r>
        <w:rPr>
          <w:rFonts w:ascii="Arial Black" w:hAnsi="Arial Black"/>
          <w:kern w:val="0"/>
        </w:rPr>
        <w:t>“</w:t>
      </w:r>
      <w:r>
        <w:rPr>
          <w:rFonts w:hint="eastAsia"/>
          <w:kern w:val="0"/>
          <w:lang w:val="zh-TW" w:eastAsia="zh-TW"/>
        </w:rPr>
        <w:t>深入剖析企业问题和提出针对性解决对策</w:t>
      </w:r>
      <w:r>
        <w:rPr>
          <w:rFonts w:ascii="Arial Black" w:hAnsi="Arial Black"/>
          <w:kern w:val="0"/>
        </w:rPr>
        <w:t>”</w:t>
      </w:r>
      <w:r>
        <w:rPr>
          <w:rFonts w:hint="eastAsia"/>
          <w:kern w:val="0"/>
          <w:lang w:val="zh-TW" w:eastAsia="zh-TW"/>
        </w:rPr>
        <w:t>始终贯穿在整个管理咨询过程中，带给企业深层次影响和最直接的项目收益。</w:t>
      </w:r>
      <w:r>
        <w:rPr>
          <w:rFonts w:hint="eastAsia"/>
          <w:lang w:val="zh-TW" w:eastAsia="zh-TW"/>
        </w:rPr>
        <w:t>周老师负责多家大型知名企业项目咨询顾问和培训辅导，所负责的咨询项目主要指标年度改善变化幅度均达到</w:t>
      </w:r>
      <w:r>
        <w:rPr>
          <w:rFonts w:ascii="Arial Black" w:hAnsi="Arial Black"/>
        </w:rPr>
        <w:t>30%</w:t>
      </w:r>
      <w:r>
        <w:rPr>
          <w:rFonts w:hint="eastAsia"/>
          <w:lang w:val="zh-TW" w:eastAsia="zh-TW"/>
        </w:rPr>
        <w:t>以上。</w:t>
      </w: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ind w:firstLine="420"/>
        <w:rPr>
          <w:rFonts w:ascii="Arial Black" w:hAnsi="Arial Black" w:cs="Arial Black"/>
        </w:rPr>
      </w:pPr>
      <w:r>
        <w:rPr>
          <w:rFonts w:hint="eastAsia"/>
          <w:lang w:val="zh-TW" w:eastAsia="zh-TW"/>
        </w:rPr>
        <w:t>周老师所培训及辅导的企业涉及</w:t>
      </w:r>
      <w:r>
        <w:rPr>
          <w:rFonts w:ascii="Arial Black" w:hAnsi="Arial Black"/>
        </w:rPr>
        <w:t>IT</w:t>
      </w:r>
      <w:r>
        <w:rPr>
          <w:rFonts w:hint="eastAsia"/>
          <w:lang w:val="zh-TW" w:eastAsia="zh-TW"/>
        </w:rPr>
        <w:t>电子、机械、铸造、建材，汽配，制药食品，卷烟酿酒、印刷包装、电缆光纤、服装家纺，酒店管理等众多行业领域。</w:t>
      </w:r>
    </w:p>
    <w:p>
      <w:pPr>
        <w:pStyle w:val="18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400" w:lineRule="exact"/>
        <w:ind w:firstLine="420"/>
      </w:pPr>
      <w:r>
        <w:rPr>
          <w:rFonts w:hint="eastAsia"/>
          <w:kern w:val="0"/>
          <w:lang w:val="zh-TW" w:eastAsia="zh-TW"/>
        </w:rPr>
        <w:t>周老师从</w:t>
      </w:r>
      <w:r>
        <w:rPr>
          <w:rFonts w:ascii="Arial Black" w:hAnsi="Arial Black"/>
        </w:rPr>
        <w:t>20</w:t>
      </w:r>
      <w:r>
        <w:rPr>
          <w:rFonts w:hint="eastAsia"/>
          <w:lang w:val="zh-TW" w:eastAsia="zh-TW"/>
        </w:rPr>
        <w:t>多年的工作经验积累了丰富实战经验基础，为企业提供培训与咨询的充分保障。在企业主导推行</w:t>
      </w:r>
      <w:r>
        <w:rPr>
          <w:rFonts w:ascii="Arial Black" w:hAnsi="Arial Black"/>
        </w:rPr>
        <w:t>6S</w:t>
      </w:r>
      <w:r>
        <w:rPr>
          <w:rFonts w:hint="eastAsia"/>
          <w:lang w:val="zh-TW" w:eastAsia="zh-TW"/>
        </w:rPr>
        <w:t>与全面可视化管理、</w:t>
      </w:r>
      <w:r>
        <w:rPr>
          <w:rFonts w:ascii="Arial Black" w:hAnsi="Arial Black"/>
        </w:rPr>
        <w:t>TPM</w:t>
      </w:r>
      <w:r>
        <w:rPr>
          <w:rFonts w:hint="eastAsia"/>
          <w:lang w:val="zh-TW" w:eastAsia="zh-TW"/>
        </w:rPr>
        <w:t>全员自主保全设备管理</w:t>
      </w:r>
      <w:r>
        <w:rPr>
          <w:rFonts w:ascii="Arial Black" w:hAnsi="Arial Black"/>
        </w:rPr>
        <w:t>Step</w:t>
      </w:r>
      <w:r>
        <w:rPr>
          <w:rFonts w:hint="eastAsia"/>
          <w:lang w:val="zh-TW" w:eastAsia="zh-TW"/>
        </w:rPr>
        <w:t>验收、环境</w:t>
      </w:r>
      <w:r>
        <w:rPr>
          <w:rFonts w:ascii="Arial Black" w:hAnsi="Arial Black"/>
        </w:rPr>
        <w:t>/</w:t>
      </w:r>
      <w:r>
        <w:rPr>
          <w:rFonts w:hint="eastAsia"/>
          <w:lang w:val="zh-TW" w:eastAsia="zh-TW"/>
        </w:rPr>
        <w:t>人员安全，安全文化建设，</w:t>
      </w:r>
      <w:r>
        <w:rPr>
          <w:rFonts w:ascii="Arial Black" w:hAnsi="Arial Black"/>
        </w:rPr>
        <w:t>TWI</w:t>
      </w:r>
      <w:r>
        <w:rPr>
          <w:rFonts w:hint="eastAsia"/>
          <w:lang w:val="zh-TW" w:eastAsia="zh-TW"/>
        </w:rPr>
        <w:t>项目的推进。在咨询方面采用诊断、分析、培</w:t>
      </w:r>
    </w:p>
    <w:p>
      <w:pPr>
        <w:pStyle w:val="18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400" w:lineRule="exact"/>
        <w:ind w:firstLine="420"/>
        <w:rPr>
          <w:lang w:val="zh-TW" w:eastAsia="zh-TW"/>
        </w:rPr>
      </w:pPr>
    </w:p>
    <w:p>
      <w:pPr>
        <w:pStyle w:val="18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400" w:lineRule="exact"/>
        <w:ind w:firstLine="420"/>
        <w:rPr>
          <w:lang w:val="zh-TW" w:eastAsia="zh-TW"/>
        </w:rPr>
      </w:pPr>
    </w:p>
    <w:p>
      <w:pPr>
        <w:pStyle w:val="18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400" w:lineRule="exact"/>
        <w:ind w:firstLine="420"/>
        <w:rPr>
          <w:lang w:val="zh-TW" w:eastAsia="zh-TW"/>
        </w:rPr>
      </w:pPr>
      <w:r>
        <w:rPr>
          <w:rFonts w:hint="eastAsia"/>
          <w:lang w:val="zh-TW" w:eastAsia="zh-TW"/>
        </w:rPr>
        <w:t>训、辅导咨询、确认效果的咨询方式，不仅帮助企业进行现场改善，更帮助企业提升观察现场问题、分析现场问题、解决员工对现场问题的意识与解决能力。</w:t>
      </w:r>
    </w:p>
    <w:p>
      <w:pPr>
        <w:pStyle w:val="18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400" w:lineRule="exact"/>
        <w:ind w:firstLine="420"/>
        <w:rPr>
          <w:rFonts w:ascii="Arial Black" w:hAnsi="Arial Black" w:cs="Arial Black"/>
          <w:kern w:val="0"/>
        </w:rPr>
      </w:pPr>
    </w:p>
    <w:p>
      <w:pPr>
        <w:pStyle w:val="18"/>
        <w:numPr>
          <w:ilvl w:val="0"/>
          <w:numId w:val="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uto"/>
        <w:jc w:val="left"/>
        <w:rPr>
          <w:sz w:val="28"/>
          <w:szCs w:val="28"/>
          <w:lang w:val="zh-TW" w:eastAsia="zh-TW"/>
        </w:rPr>
      </w:pPr>
      <w:r>
        <w:rPr>
          <w:rFonts w:hint="eastAsia"/>
          <w:sz w:val="28"/>
          <w:szCs w:val="28"/>
          <w:lang w:val="zh-TW" w:eastAsia="zh-TW"/>
        </w:rPr>
        <w:t>入厂培训与辅导咨询项目的部分客户：</w:t>
      </w:r>
    </w:p>
    <w:tbl>
      <w:tblPr>
        <w:tblStyle w:val="9"/>
        <w:tblW w:w="9396" w:type="dxa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8748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9" w:hRule="atLeast"/>
        </w:trPr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4"/>
              <w:framePr w:wrap="auto" w:vAnchor="margin" w:hAnchor="text" w:yAlign="inline"/>
              <w:widowControl w:val="0"/>
              <w:tabs>
                <w:tab w:val="left" w:pos="6015"/>
              </w:tabs>
              <w:spacing w:line="300" w:lineRule="auto"/>
              <w:jc w:val="center"/>
            </w:pPr>
            <w:r>
              <w:rPr>
                <w:rFonts w:hint="eastAsia" w:ascii="宋体" w:hAnsi="宋体" w:cs="宋体"/>
                <w:kern w:val="2"/>
                <w:sz w:val="21"/>
                <w:szCs w:val="21"/>
              </w:rPr>
              <w:t>部分培训与辅导过的企业</w:t>
            </w:r>
          </w:p>
        </w:tc>
        <w:tc>
          <w:tcPr>
            <w:tcW w:w="8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8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6015"/>
              </w:tabs>
              <w:spacing w:line="300" w:lineRule="auto"/>
              <w:rPr>
                <w:rFonts w:ascii="Helvetica" w:hAnsi="Helvetica" w:cs="Helvetica"/>
              </w:rPr>
            </w:pPr>
            <w:r>
              <w:rPr>
                <w:rFonts w:hint="eastAsia"/>
                <w:color w:val="FE2500"/>
                <w:u w:color="FE2500"/>
                <w:lang w:val="zh-TW" w:eastAsia="zh-TW"/>
              </w:rPr>
              <w:t>汽车</w:t>
            </w:r>
            <w:r>
              <w:rPr>
                <w:rFonts w:hint="eastAsia"/>
                <w:lang w:val="zh-TW" w:eastAsia="zh-TW"/>
              </w:rPr>
              <w:t>：郑州优尼汽车、广州翔太盛冲压、广州白木汽车零部件，河北新华欧亚汽配，广州阿雷斯提汽车零部件，桂林皮尔金顿安全玻璃有限公司，</w:t>
            </w:r>
          </w:p>
          <w:p>
            <w:pPr>
              <w:pStyle w:val="18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6015"/>
              </w:tabs>
              <w:spacing w:line="300" w:lineRule="auto"/>
              <w:rPr>
                <w:rFonts w:ascii="Helvetica" w:hAnsi="Helvetica" w:cs="Helvetica"/>
              </w:rPr>
            </w:pPr>
            <w:r>
              <w:rPr>
                <w:rFonts w:hint="eastAsia"/>
                <w:color w:val="FF2600"/>
                <w:u w:color="FE2500"/>
                <w:lang w:val="zh-TW" w:eastAsia="zh-TW"/>
              </w:rPr>
              <w:t>电子</w:t>
            </w:r>
            <w:r>
              <w:rPr>
                <w:rFonts w:ascii="Helvetica Neue" w:hAnsi="Helvetica Neue"/>
                <w:b/>
                <w:bCs/>
                <w:color w:val="FF2600"/>
                <w:u w:color="FE2500"/>
                <w:lang w:val="zh-CN"/>
              </w:rPr>
              <w:t>/</w:t>
            </w:r>
            <w:r>
              <w:rPr>
                <w:rFonts w:hint="eastAsia"/>
                <w:color w:val="FF2600"/>
                <w:lang w:val="zh-CN"/>
              </w:rPr>
              <w:t>新材料</w:t>
            </w:r>
            <w:r>
              <w:rPr>
                <w:rFonts w:hint="eastAsia"/>
                <w:lang w:val="zh-TW" w:eastAsia="zh-TW"/>
              </w:rPr>
              <w:t>：三星（无锡）新材料，联想</w:t>
            </w:r>
            <w:r>
              <w:rPr>
                <w:rFonts w:ascii="Helvetica" w:hAnsi="Helvetica"/>
                <w:lang w:val="zh-TW" w:eastAsia="zh-TW"/>
              </w:rPr>
              <w:t>/</w:t>
            </w:r>
            <w:r>
              <w:rPr>
                <w:rFonts w:hint="eastAsia"/>
                <w:lang w:val="zh-TW" w:eastAsia="zh-TW"/>
              </w:rPr>
              <w:t>合肥联宝科技，长沙蓝思科技，深圳华为技术，深圳中兴通讯股份有限公司，深圳赛格股份有限公司，深圳华星光电有限公司，深圳三星，惠州龙旗电子股份有限公司，惠州比亚迪，深圳卓翼科技，深圳恒通伟业，惠州西顿照明，惠州住润</w:t>
            </w:r>
          </w:p>
          <w:p>
            <w:pPr>
              <w:pStyle w:val="18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6015"/>
              </w:tabs>
              <w:spacing w:line="300" w:lineRule="auto"/>
              <w:rPr>
                <w:rFonts w:ascii="Helvetica" w:hAnsi="Helvetica" w:cs="Helvetica"/>
              </w:rPr>
            </w:pPr>
            <w:r>
              <w:rPr>
                <w:rFonts w:hint="eastAsia"/>
                <w:color w:val="FF2600"/>
                <w:u w:color="FE2500"/>
                <w:lang w:val="zh-TW" w:eastAsia="zh-TW"/>
              </w:rPr>
              <w:t>医院</w:t>
            </w:r>
            <w:r>
              <w:rPr>
                <w:rFonts w:ascii="Helvetica Neue" w:hAnsi="Helvetica Neue"/>
                <w:b/>
                <w:bCs/>
                <w:color w:val="FF2600"/>
                <w:u w:color="FE2500"/>
                <w:lang w:val="zh-TW" w:eastAsia="zh-TW"/>
              </w:rPr>
              <w:t>/</w:t>
            </w:r>
            <w:r>
              <w:rPr>
                <w:rFonts w:hint="eastAsia"/>
                <w:color w:val="FF2600"/>
                <w:u w:color="FE2500"/>
                <w:lang w:val="zh-TW" w:eastAsia="zh-TW"/>
              </w:rPr>
              <w:t>食品</w:t>
            </w:r>
            <w:r>
              <w:rPr>
                <w:rFonts w:ascii="Helvetica Neue" w:hAnsi="Helvetica Neue"/>
                <w:b/>
                <w:bCs/>
                <w:color w:val="FF2600"/>
                <w:u w:color="FE2500"/>
                <w:lang w:val="zh-TW" w:eastAsia="zh-TW"/>
              </w:rPr>
              <w:t>/</w:t>
            </w:r>
            <w:r>
              <w:rPr>
                <w:rFonts w:hint="eastAsia"/>
                <w:color w:val="FF2600"/>
                <w:u w:color="FE2500"/>
                <w:lang w:val="zh-TW" w:eastAsia="zh-TW"/>
              </w:rPr>
              <w:t>制药</w:t>
            </w:r>
            <w:r>
              <w:rPr>
                <w:rFonts w:hint="eastAsia"/>
                <w:color w:val="FF2600"/>
                <w:lang w:val="zh-TW" w:eastAsia="zh-TW"/>
              </w:rPr>
              <w:t>：</w:t>
            </w:r>
            <w:r>
              <w:rPr>
                <w:rFonts w:hint="eastAsia"/>
                <w:lang w:val="zh-TW" w:eastAsia="zh-TW"/>
              </w:rPr>
              <w:t>香港大朗工业邨澳美制药，海南罗牛山集团、海口澳美华制药，海口中和制药，普利制药，三九制药，九新制药，河南羚锐制药、深圳药品研究院，竹溪中医院，竹溪妇幼保健院</w:t>
            </w:r>
          </w:p>
          <w:p>
            <w:pPr>
              <w:pStyle w:val="18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6015"/>
              </w:tabs>
              <w:spacing w:line="300" w:lineRule="auto"/>
              <w:rPr>
                <w:rFonts w:ascii="Helvetica" w:hAnsi="Helvetica" w:cs="Helvetica"/>
              </w:rPr>
            </w:pPr>
            <w:r>
              <w:rPr>
                <w:rFonts w:hint="eastAsia"/>
                <w:color w:val="FF2600"/>
                <w:u w:color="FE2500"/>
                <w:lang w:val="zh-TW" w:eastAsia="zh-TW"/>
              </w:rPr>
              <w:t>化工</w:t>
            </w:r>
            <w:r>
              <w:rPr>
                <w:rFonts w:ascii="Helvetica Neue" w:hAnsi="Helvetica Neue"/>
                <w:b/>
                <w:bCs/>
                <w:color w:val="FF2600"/>
                <w:u w:color="FE2500"/>
                <w:lang w:val="zh-TW" w:eastAsia="zh-TW"/>
              </w:rPr>
              <w:t>/</w:t>
            </w:r>
            <w:r>
              <w:rPr>
                <w:rFonts w:hint="eastAsia"/>
                <w:color w:val="FF2600"/>
                <w:u w:color="FE2500"/>
                <w:lang w:val="zh-TW" w:eastAsia="zh-TW"/>
              </w:rPr>
              <w:t>电力</w:t>
            </w:r>
            <w:r>
              <w:rPr>
                <w:rFonts w:hint="eastAsia"/>
                <w:color w:val="FF2600"/>
                <w:lang w:val="zh-TW" w:eastAsia="zh-TW"/>
              </w:rPr>
              <w:t>：</w:t>
            </w:r>
            <w:r>
              <w:rPr>
                <w:rFonts w:hint="eastAsia"/>
                <w:lang w:val="zh-TW" w:eastAsia="zh-TW"/>
              </w:rPr>
              <w:t>中广核湛江基地、中广核阳江基地，中广防城港基地，北京保利泰克，佛山华亮本生燃气设备，港华燃气、肇庆迪森股份，深圳特发信息股份有限公司，广东联新高性能纤维，菏泽玉皇化工，深圳石化、中海油珠海管道、中海油海南管道，中山嘉明电力、中海油广东天然气，重庆前卫克罗姆，四川飞球集团</w:t>
            </w:r>
          </w:p>
          <w:p>
            <w:pPr>
              <w:pStyle w:val="18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6015"/>
              </w:tabs>
              <w:spacing w:line="300" w:lineRule="auto"/>
              <w:rPr>
                <w:rFonts w:ascii="Helvetica" w:hAnsi="Helvetica" w:cs="Helvetica"/>
              </w:rPr>
            </w:pPr>
            <w:r>
              <w:rPr>
                <w:rFonts w:hint="eastAsia"/>
                <w:color w:val="FF2600"/>
                <w:u w:color="FE2500"/>
                <w:lang w:val="zh-TW" w:eastAsia="zh-TW"/>
              </w:rPr>
              <w:t>烟草</w:t>
            </w:r>
            <w:r>
              <w:rPr>
                <w:rFonts w:hint="eastAsia"/>
                <w:color w:val="FF2600"/>
                <w:lang w:val="zh-TW" w:eastAsia="zh-TW"/>
              </w:rPr>
              <w:t>：</w:t>
            </w:r>
            <w:r>
              <w:rPr>
                <w:rFonts w:hint="eastAsia"/>
                <w:lang w:val="zh-TW" w:eastAsia="zh-TW"/>
              </w:rPr>
              <w:t>江苏中烟工业有限责任公司淮阴卷烟厂，徐州卷烟厂，新疆卷烟厂</w:t>
            </w:r>
            <w:r>
              <w:rPr>
                <w:rFonts w:hint="eastAsia"/>
                <w:lang w:val="zh-CN"/>
              </w:rPr>
              <w:t>，湛江烟草印刷</w:t>
            </w:r>
          </w:p>
          <w:p>
            <w:pPr>
              <w:pStyle w:val="18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6015"/>
              </w:tabs>
              <w:spacing w:line="300" w:lineRule="auto"/>
              <w:rPr>
                <w:rFonts w:ascii="Helvetica" w:hAnsi="Helvetica" w:cs="Helvetica"/>
              </w:rPr>
            </w:pPr>
            <w:r>
              <w:rPr>
                <w:rFonts w:hint="eastAsia"/>
                <w:color w:val="FF2600"/>
                <w:u w:color="FE2500"/>
                <w:lang w:val="zh-TW" w:eastAsia="zh-TW"/>
              </w:rPr>
              <w:t>公共服务</w:t>
            </w:r>
            <w:r>
              <w:rPr>
                <w:rFonts w:ascii="Helvetica Neue" w:hAnsi="Helvetica Neue"/>
                <w:b/>
                <w:bCs/>
                <w:color w:val="FF2600"/>
                <w:u w:color="FE2500"/>
                <w:lang w:val="zh-TW" w:eastAsia="zh-TW"/>
              </w:rPr>
              <w:t>/</w:t>
            </w:r>
            <w:r>
              <w:rPr>
                <w:rFonts w:hint="eastAsia"/>
                <w:color w:val="FF2600"/>
                <w:u w:color="FE2500"/>
                <w:lang w:val="zh-TW" w:eastAsia="zh-TW"/>
              </w:rPr>
              <w:t>教育</w:t>
            </w:r>
            <w:r>
              <w:rPr>
                <w:rFonts w:hint="eastAsia"/>
                <w:color w:val="FF2600"/>
                <w:lang w:val="zh-TW" w:eastAsia="zh-TW"/>
              </w:rPr>
              <w:t>：</w:t>
            </w:r>
            <w:r>
              <w:rPr>
                <w:rFonts w:hint="eastAsia"/>
                <w:lang w:val="zh-TW" w:eastAsia="zh-TW"/>
              </w:rPr>
              <w:t>深圳地铁集团，广州公用技师学院，天津龙达水务，天津滨海旅游区水务，臻善国际教育集团、棕榈集团贵州云漫湖度假村，深圳兴源鼎新科技，深圳梅林街道</w:t>
            </w:r>
          </w:p>
          <w:p>
            <w:pPr>
              <w:pStyle w:val="18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6015"/>
              </w:tabs>
              <w:spacing w:line="300" w:lineRule="auto"/>
              <w:rPr>
                <w:rFonts w:ascii="Helvetica" w:hAnsi="Helvetica" w:cs="Helvetica"/>
              </w:rPr>
            </w:pPr>
            <w:r>
              <w:rPr>
                <w:rFonts w:hint="eastAsia"/>
                <w:color w:val="FF2600"/>
                <w:u w:color="FE2500"/>
                <w:lang w:val="zh-TW" w:eastAsia="zh-TW"/>
              </w:rPr>
              <w:t>服装</w:t>
            </w:r>
            <w:r>
              <w:rPr>
                <w:color w:val="FF2600"/>
                <w:u w:color="FE2500"/>
                <w:lang w:val="zh-TW" w:eastAsia="zh-TW"/>
              </w:rPr>
              <w:t>/</w:t>
            </w:r>
            <w:r>
              <w:rPr>
                <w:rFonts w:hint="eastAsia"/>
                <w:color w:val="FF2600"/>
                <w:u w:color="FE2500"/>
                <w:lang w:val="zh-TW" w:eastAsia="zh-TW"/>
              </w:rPr>
              <w:t>家具</w:t>
            </w:r>
            <w:r>
              <w:rPr>
                <w:rFonts w:hint="eastAsia"/>
                <w:color w:val="FF2600"/>
                <w:lang w:val="zh-TW" w:eastAsia="zh-TW"/>
              </w:rPr>
              <w:t>：</w:t>
            </w:r>
            <w:r>
              <w:rPr>
                <w:rFonts w:hint="eastAsia"/>
                <w:lang w:val="zh-TW" w:eastAsia="zh-TW"/>
              </w:rPr>
              <w:t>深圳富安娜股份有限公司，意大利互赢（惠州）机电有限公司，福建龙泰股份，东莞汉尊沙发</w:t>
            </w:r>
          </w:p>
          <w:p>
            <w:pPr>
              <w:pStyle w:val="18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6015"/>
              </w:tabs>
              <w:spacing w:line="300" w:lineRule="auto"/>
            </w:pPr>
            <w:r>
              <w:rPr>
                <w:rFonts w:hint="eastAsia"/>
                <w:color w:val="FF2600"/>
                <w:u w:color="FE2500"/>
                <w:lang w:val="zh-TW" w:eastAsia="zh-TW"/>
              </w:rPr>
              <w:t>商品</w:t>
            </w:r>
            <w:r>
              <w:rPr>
                <w:rFonts w:ascii="Helvetica Neue" w:hAnsi="Helvetica Neue"/>
                <w:b/>
                <w:bCs/>
                <w:color w:val="FF2600"/>
                <w:u w:color="FE2500"/>
                <w:lang w:val="zh-TW" w:eastAsia="zh-TW"/>
              </w:rPr>
              <w:t>/</w:t>
            </w:r>
            <w:r>
              <w:rPr>
                <w:rFonts w:hint="eastAsia"/>
                <w:color w:val="FF2600"/>
                <w:u w:color="FE2500"/>
                <w:lang w:val="zh-TW" w:eastAsia="zh-TW"/>
              </w:rPr>
              <w:t>物流：</w:t>
            </w:r>
            <w:r>
              <w:rPr>
                <w:rFonts w:hint="eastAsia"/>
                <w:lang w:val="zh-TW" w:eastAsia="zh-TW"/>
              </w:rPr>
              <w:t>香港雅俊眼镜、北京迪捷姆空运技术，连云港花茂日用品。。。</w:t>
            </w:r>
          </w:p>
        </w:tc>
      </w:tr>
    </w:tbl>
    <w:p>
      <w:pPr>
        <w:pStyle w:val="18"/>
        <w:numPr>
          <w:ilvl w:val="0"/>
          <w:numId w:val="1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lang w:val="zh-TW" w:eastAsia="zh-TW"/>
        </w:rPr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p>
      <w:pPr>
        <w:pStyle w:val="2"/>
        <w:spacing w:before="0" w:beforeAutospacing="0" w:after="0" w:afterAutospacing="0" w:line="240" w:lineRule="atLeast"/>
        <w:ind w:left="31680" w:hanging="2097" w:hangingChars="746"/>
        <w:jc w:val="center"/>
        <w:rPr>
          <w:sz w:val="28"/>
          <w:szCs w:val="28"/>
        </w:rPr>
      </w:pPr>
      <w:r>
        <w:rPr>
          <w:rFonts w:hint="eastAsia" w:cs="Arial"/>
          <w:kern w:val="0"/>
          <w:sz w:val="28"/>
          <w:szCs w:val="28"/>
        </w:rPr>
        <w:t>《精益</w:t>
      </w:r>
      <w:r>
        <w:rPr>
          <w:rFonts w:cs="Arial"/>
          <w:kern w:val="0"/>
          <w:sz w:val="28"/>
          <w:szCs w:val="28"/>
        </w:rPr>
        <w:t>5S</w:t>
      </w:r>
      <w:r>
        <w:rPr>
          <w:rFonts w:hint="eastAsia" w:cs="Arial"/>
          <w:kern w:val="0"/>
          <w:sz w:val="28"/>
          <w:szCs w:val="28"/>
        </w:rPr>
        <w:t>管理变革训练营》</w:t>
      </w:r>
      <w:r>
        <w:rPr>
          <w:rFonts w:hint="eastAsia"/>
          <w:sz w:val="28"/>
          <w:szCs w:val="28"/>
        </w:rPr>
        <w:t>报名回执</w:t>
      </w:r>
    </w:p>
    <w:p>
      <w:pPr>
        <w:framePr w:wrap="auto" w:vAnchor="margin" w:hAnchor="text" w:yAlign="inline"/>
        <w:spacing w:line="240" w:lineRule="atLeast"/>
        <w:ind w:left="-3" w:leftChars="-8" w:hanging="16" w:hangingChars="7"/>
        <w:jc w:val="center"/>
        <w:rPr>
          <w:rFonts w:ascii="黑体" w:hAnsi="宋体" w:eastAsia="黑体"/>
          <w:szCs w:val="21"/>
          <w:lang w:eastAsia="zh-CN"/>
        </w:rPr>
      </w:pPr>
      <w:r>
        <w:rPr>
          <w:lang w:eastAsia="zh-CN"/>
        </w:rPr>
        <w:t xml:space="preserve">  </w:t>
      </w:r>
    </w:p>
    <w:tbl>
      <w:tblPr>
        <w:tblStyle w:val="9"/>
        <w:tblW w:w="10728" w:type="dxa"/>
        <w:jc w:val="center"/>
        <w:tblInd w:w="237" w:type="dxa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8"/>
        <w:gridCol w:w="1610"/>
        <w:gridCol w:w="190"/>
        <w:gridCol w:w="900"/>
        <w:gridCol w:w="580"/>
        <w:gridCol w:w="1930"/>
        <w:gridCol w:w="730"/>
        <w:gridCol w:w="350"/>
        <w:gridCol w:w="3240"/>
      </w:tblGrid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9" w:hRule="exact"/>
          <w:jc w:val="center"/>
        </w:trPr>
        <w:tc>
          <w:tcPr>
            <w:tcW w:w="1198" w:type="dxa"/>
            <w:tcBorders>
              <w:top w:val="thinThickSmallGap" w:color="auto" w:sz="12" w:space="0"/>
            </w:tcBorders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rFonts w:ascii="宋体"/>
                <w:b w:val="0"/>
                <w:bCs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单位名称</w:t>
            </w:r>
          </w:p>
        </w:tc>
        <w:tc>
          <w:tcPr>
            <w:tcW w:w="9530" w:type="dxa"/>
            <w:gridSpan w:val="8"/>
            <w:tcBorders>
              <w:top w:val="thinThickSmallGap" w:color="auto" w:sz="12" w:space="0"/>
            </w:tcBorders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198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Style w:val="6"/>
                <w:rFonts w:hint="eastAsia"/>
                <w:b w:val="0"/>
                <w:bCs w:val="0"/>
                <w:szCs w:val="21"/>
              </w:rPr>
              <w:t>发票抬头</w:t>
            </w:r>
          </w:p>
        </w:tc>
        <w:tc>
          <w:tcPr>
            <w:tcW w:w="5940" w:type="dxa"/>
            <w:gridSpan w:val="6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3590" w:type="dxa"/>
            <w:gridSpan w:val="2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  <w:lang w:eastAsia="zh-CN"/>
              </w:rPr>
            </w:pP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发票内容：</w:t>
            </w:r>
            <w:r>
              <w:rPr>
                <w:rFonts w:hint="eastAsia"/>
                <w:bCs/>
                <w:szCs w:val="21"/>
                <w:lang w:eastAsia="zh-CN"/>
              </w:rPr>
              <w:t>□</w:t>
            </w:r>
            <w:r>
              <w:rPr>
                <w:bCs/>
                <w:szCs w:val="21"/>
                <w:lang w:eastAsia="zh-CN"/>
              </w:rPr>
              <w:t>1</w:t>
            </w:r>
            <w:r>
              <w:rPr>
                <w:rFonts w:hint="eastAsia"/>
                <w:bCs/>
                <w:szCs w:val="21"/>
                <w:lang w:eastAsia="zh-CN"/>
              </w:rPr>
              <w:t>、咨询费</w:t>
            </w:r>
            <w:r>
              <w:rPr>
                <w:bCs/>
                <w:szCs w:val="21"/>
                <w:lang w:eastAsia="zh-CN"/>
              </w:rPr>
              <w:t xml:space="preserve"> </w:t>
            </w:r>
            <w:r>
              <w:rPr>
                <w:rFonts w:hint="eastAsia"/>
                <w:bCs/>
                <w:szCs w:val="21"/>
                <w:lang w:eastAsia="zh-CN"/>
              </w:rPr>
              <w:t>□</w:t>
            </w:r>
            <w:r>
              <w:rPr>
                <w:bCs/>
                <w:szCs w:val="21"/>
                <w:lang w:eastAsia="zh-CN"/>
              </w:rPr>
              <w:t>2</w:t>
            </w:r>
            <w:r>
              <w:rPr>
                <w:rFonts w:hint="eastAsia"/>
                <w:bCs/>
                <w:szCs w:val="21"/>
                <w:lang w:eastAsia="zh-CN"/>
              </w:rPr>
              <w:t>、会务费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exact"/>
          <w:jc w:val="center"/>
        </w:trPr>
        <w:tc>
          <w:tcPr>
            <w:tcW w:w="1198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公司地址</w:t>
            </w:r>
          </w:p>
        </w:tc>
        <w:tc>
          <w:tcPr>
            <w:tcW w:w="9530" w:type="dxa"/>
            <w:gridSpan w:val="8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exact"/>
          <w:jc w:val="center"/>
        </w:trPr>
        <w:tc>
          <w:tcPr>
            <w:tcW w:w="1198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联系人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电话</w:t>
            </w:r>
          </w:p>
        </w:tc>
        <w:tc>
          <w:tcPr>
            <w:tcW w:w="2510" w:type="dxa"/>
            <w:gridSpan w:val="2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bCs/>
                <w:szCs w:val="21"/>
              </w:rPr>
            </w:pPr>
          </w:p>
        </w:tc>
        <w:tc>
          <w:tcPr>
            <w:tcW w:w="1080" w:type="dxa"/>
            <w:gridSpan w:val="2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</w:t>
            </w:r>
          </w:p>
        </w:tc>
        <w:tc>
          <w:tcPr>
            <w:tcW w:w="324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exact"/>
          <w:jc w:val="center"/>
        </w:trPr>
        <w:tc>
          <w:tcPr>
            <w:tcW w:w="1198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  <w:r>
              <w:rPr>
                <w:rStyle w:val="6"/>
                <w:rFonts w:hint="eastAsia"/>
                <w:b w:val="0"/>
                <w:bCs w:val="0"/>
                <w:szCs w:val="21"/>
              </w:rPr>
              <w:t>传真</w:t>
            </w:r>
          </w:p>
        </w:tc>
        <w:tc>
          <w:tcPr>
            <w:tcW w:w="2510" w:type="dxa"/>
            <w:gridSpan w:val="2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1080" w:type="dxa"/>
            <w:gridSpan w:val="2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  <w:r>
              <w:rPr>
                <w:rStyle w:val="6"/>
                <w:b w:val="0"/>
                <w:bCs w:val="0"/>
                <w:szCs w:val="21"/>
              </w:rPr>
              <w:t>E-mail</w:t>
            </w:r>
          </w:p>
        </w:tc>
        <w:tc>
          <w:tcPr>
            <w:tcW w:w="324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2" w:hRule="exact"/>
          <w:jc w:val="center"/>
        </w:trPr>
        <w:tc>
          <w:tcPr>
            <w:tcW w:w="1198" w:type="dxa"/>
            <w:vMerge w:val="restart"/>
            <w:vAlign w:val="center"/>
          </w:tcPr>
          <w:p>
            <w:pPr>
              <w:framePr w:wrap="auto" w:vAnchor="margin" w:hAnchor="text" w:yAlign="inline"/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</w:p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参加</w:t>
            </w:r>
          </w:p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学员</w:t>
            </w:r>
          </w:p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名单</w:t>
            </w:r>
          </w:p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szCs w:val="21"/>
              </w:rPr>
            </w:pPr>
          </w:p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szCs w:val="21"/>
              </w:rPr>
            </w:pPr>
          </w:p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szCs w:val="21"/>
              </w:rPr>
            </w:pPr>
          </w:p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szCs w:val="21"/>
              </w:rPr>
            </w:pPr>
          </w:p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szCs w:val="21"/>
              </w:rPr>
            </w:pPr>
          </w:p>
        </w:tc>
        <w:tc>
          <w:tcPr>
            <w:tcW w:w="1610" w:type="dxa"/>
            <w:shd w:val="clear" w:color="auto" w:fill="E6E6E6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  <w:r>
              <w:rPr>
                <w:rStyle w:val="6"/>
                <w:rFonts w:hint="eastAsia"/>
                <w:b w:val="0"/>
                <w:bCs w:val="0"/>
                <w:szCs w:val="21"/>
              </w:rPr>
              <w:t>姓名</w:t>
            </w:r>
          </w:p>
        </w:tc>
        <w:tc>
          <w:tcPr>
            <w:tcW w:w="1670" w:type="dxa"/>
            <w:gridSpan w:val="3"/>
            <w:shd w:val="clear" w:color="auto" w:fill="E6E6E6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  <w:r>
              <w:rPr>
                <w:rStyle w:val="6"/>
                <w:rFonts w:hint="eastAsia"/>
                <w:b w:val="0"/>
                <w:bCs w:val="0"/>
                <w:szCs w:val="21"/>
              </w:rPr>
              <w:t>职务</w:t>
            </w:r>
          </w:p>
        </w:tc>
        <w:tc>
          <w:tcPr>
            <w:tcW w:w="1930" w:type="dxa"/>
            <w:shd w:val="clear" w:color="auto" w:fill="E6E6E6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  <w:r>
              <w:rPr>
                <w:rStyle w:val="6"/>
                <w:rFonts w:hint="eastAsia"/>
                <w:b w:val="0"/>
                <w:bCs w:val="0"/>
                <w:szCs w:val="21"/>
              </w:rPr>
              <w:t>手</w:t>
            </w:r>
            <w:r>
              <w:rPr>
                <w:rStyle w:val="6"/>
                <w:b w:val="0"/>
                <w:bCs w:val="0"/>
                <w:szCs w:val="21"/>
              </w:rPr>
              <w:t xml:space="preserve"> </w:t>
            </w:r>
            <w:r>
              <w:rPr>
                <w:rStyle w:val="6"/>
                <w:rFonts w:hint="eastAsia"/>
                <w:b w:val="0"/>
                <w:bCs w:val="0"/>
                <w:szCs w:val="21"/>
              </w:rPr>
              <w:t>机</w:t>
            </w:r>
          </w:p>
        </w:tc>
        <w:tc>
          <w:tcPr>
            <w:tcW w:w="4320" w:type="dxa"/>
            <w:gridSpan w:val="3"/>
            <w:shd w:val="clear" w:color="auto" w:fill="E6E6E6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  <w:r>
              <w:rPr>
                <w:rStyle w:val="6"/>
                <w:b w:val="0"/>
                <w:bCs w:val="0"/>
                <w:szCs w:val="21"/>
              </w:rPr>
              <w:t>E-mail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198" w:type="dxa"/>
            <w:vMerge w:val="continue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161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1670" w:type="dxa"/>
            <w:gridSpan w:val="3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193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4320" w:type="dxa"/>
            <w:gridSpan w:val="3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198" w:type="dxa"/>
            <w:vMerge w:val="continue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szCs w:val="21"/>
              </w:rPr>
            </w:pPr>
          </w:p>
        </w:tc>
        <w:tc>
          <w:tcPr>
            <w:tcW w:w="1610" w:type="dxa"/>
            <w:vAlign w:val="center"/>
          </w:tcPr>
          <w:p>
            <w:pPr>
              <w:pStyle w:val="20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</w:rPr>
            </w:pPr>
          </w:p>
        </w:tc>
        <w:tc>
          <w:tcPr>
            <w:tcW w:w="1670" w:type="dxa"/>
            <w:gridSpan w:val="3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193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4320" w:type="dxa"/>
            <w:gridSpan w:val="3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198" w:type="dxa"/>
            <w:vMerge w:val="continue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szCs w:val="21"/>
              </w:rPr>
            </w:pPr>
          </w:p>
        </w:tc>
        <w:tc>
          <w:tcPr>
            <w:tcW w:w="161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1670" w:type="dxa"/>
            <w:gridSpan w:val="3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193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4320" w:type="dxa"/>
            <w:gridSpan w:val="3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198" w:type="dxa"/>
            <w:vMerge w:val="continue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szCs w:val="21"/>
              </w:rPr>
            </w:pPr>
          </w:p>
        </w:tc>
        <w:tc>
          <w:tcPr>
            <w:tcW w:w="161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1670" w:type="dxa"/>
            <w:gridSpan w:val="3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1930" w:type="dxa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jc w:val="center"/>
              <w:rPr>
                <w:rStyle w:val="6"/>
                <w:b w:val="0"/>
                <w:bCs w:val="0"/>
                <w:szCs w:val="21"/>
              </w:rPr>
            </w:pPr>
          </w:p>
        </w:tc>
        <w:tc>
          <w:tcPr>
            <w:tcW w:w="4320" w:type="dxa"/>
            <w:gridSpan w:val="3"/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7" w:hRule="exact"/>
          <w:jc w:val="center"/>
        </w:trPr>
        <w:tc>
          <w:tcPr>
            <w:tcW w:w="10728" w:type="dxa"/>
            <w:gridSpan w:val="9"/>
            <w:tcBorders>
              <w:bottom w:val="thickThinSmallGap" w:color="auto" w:sz="12" w:space="0"/>
            </w:tcBorders>
            <w:vAlign w:val="center"/>
          </w:tcPr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  <w:lang w:eastAsia="zh-CN"/>
              </w:rPr>
            </w:pP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参会人数：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>_________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人，费用合计：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>_________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元；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 xml:space="preserve"> 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付款方式：□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 xml:space="preserve"> 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转帐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 xml:space="preserve"> 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□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 xml:space="preserve"> 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现金</w:t>
            </w:r>
          </w:p>
          <w:p>
            <w:pPr>
              <w:framePr w:wrap="auto" w:vAnchor="margin" w:hAnchor="text" w:yAlign="inline"/>
              <w:spacing w:before="100" w:beforeAutospacing="1" w:after="100" w:afterAutospacing="1" w:line="280" w:lineRule="exact"/>
              <w:rPr>
                <w:rStyle w:val="6"/>
                <w:b w:val="0"/>
                <w:bCs w:val="0"/>
                <w:szCs w:val="21"/>
                <w:lang w:eastAsia="zh-CN"/>
              </w:rPr>
            </w:pP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发票类别：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 xml:space="preserve"> 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□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 xml:space="preserve"> 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增值税普通发票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 xml:space="preserve">  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□</w:t>
            </w:r>
            <w:r>
              <w:rPr>
                <w:rStyle w:val="6"/>
                <w:b w:val="0"/>
                <w:bCs w:val="0"/>
                <w:szCs w:val="21"/>
                <w:lang w:eastAsia="zh-CN"/>
              </w:rPr>
              <w:t xml:space="preserve"> </w:t>
            </w:r>
            <w:r>
              <w:rPr>
                <w:rStyle w:val="6"/>
                <w:rFonts w:hint="eastAsia"/>
                <w:b w:val="0"/>
                <w:bCs w:val="0"/>
                <w:szCs w:val="21"/>
                <w:lang w:eastAsia="zh-CN"/>
              </w:rPr>
              <w:t>增值税专用发票（需提供一般纳税人开票资料）</w:t>
            </w:r>
          </w:p>
        </w:tc>
      </w:tr>
    </w:tbl>
    <w:p>
      <w:pPr>
        <w:framePr w:wrap="auto" w:vAnchor="margin" w:hAnchor="text" w:yAlign="inline"/>
        <w:spacing w:line="240" w:lineRule="exact"/>
        <w:ind w:left="-1234" w:leftChars="-514" w:firstLine="381" w:firstLineChars="159"/>
        <w:jc w:val="center"/>
        <w:rPr>
          <w:rFonts w:ascii="宋体"/>
          <w:color w:val="808080"/>
          <w:szCs w:val="21"/>
          <w:lang w:eastAsia="zh-CN"/>
        </w:rPr>
      </w:pPr>
    </w:p>
    <w:p>
      <w:pPr>
        <w:framePr w:wrap="auto" w:vAnchor="margin" w:hAnchor="text" w:yAlign="inline"/>
        <w:tabs>
          <w:tab w:val="left" w:pos="5235"/>
        </w:tabs>
        <w:spacing w:line="240" w:lineRule="exact"/>
      </w:pPr>
    </w:p>
    <w:p>
      <w:pPr>
        <w:pStyle w:val="14"/>
        <w:framePr w:wrap="auto" w:vAnchor="margin" w:hAnchor="text" w:yAlign="inline"/>
        <w:widowControl w:val="0"/>
        <w:spacing w:line="360" w:lineRule="auto"/>
        <w:jc w:val="both"/>
      </w:pPr>
    </w:p>
    <w:sectPr>
      <w:headerReference r:id="rId3" w:type="default"/>
      <w:footerReference r:id="rId4" w:type="default"/>
      <w:pgSz w:w="16840" w:h="11900" w:orient="landscape"/>
      <w:pgMar w:top="1134" w:right="1247" w:bottom="707" w:left="567" w:header="426" w:footer="579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vAnchor="text" w:hAnchor="margin" w:xAlign="right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1</w:t>
    </w:r>
    <w:r>
      <w:rPr>
        <w:rStyle w:val="7"/>
      </w:rPr>
      <w:fldChar w:fldCharType="end"/>
    </w:r>
  </w:p>
  <w:p>
    <w:pPr>
      <w:pStyle w:val="3"/>
      <w:rPr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after="12"/>
      <w:jc w:val="right"/>
      <w:rPr>
        <w:lang w:eastAsia="zh-CN"/>
      </w:rPr>
    </w:pPr>
    <w:r>
      <w:rPr>
        <w:rFonts w:eastAsia="Times New Roman"/>
        <w:lang w:eastAsia="zh-CN"/>
      </w:rP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5px" o:bullet="t">
        <v:imagedata r:id="rId1" o:title=""/>
      </v:shape>
    </w:pict>
  </w:numPicBullet>
  <w:numPicBullet w:numPicBulletId="1">
    <w:pict>
      <v:shape id="1" type="#_x0000_t75" style="width:15px;height:15px" o:bullet="t">
        <v:imagedata r:id="rId2" o:title=""/>
      </v:shape>
    </w:pict>
  </w:numPicBullet>
  <w:numPicBullet w:numPicBulletId="2">
    <w:pict>
      <v:shape id="2" type="#_x0000_t75" style="width:15px;height:15px" o:bullet="t">
        <v:imagedata r:id="rId3" o:title=""/>
      </v:shape>
    </w:pict>
  </w:numPicBullet>
  <w:numPicBullet w:numPicBulletId="3">
    <w:pict>
      <v:shape id="3" type="#_x0000_t75" style="width:15px;height:15px" o:bullet="t">
        <v:imagedata r:id="rId4" o:title=""/>
      </v:shape>
    </w:pict>
  </w:numPicBullet>
  <w:numPicBullet w:numPicBulletId="4">
    <w:pict>
      <v:shape id="4" type="#_x0000_t75" style="width:15px;height:15px" o:bullet="t">
        <v:imagedata r:id="rId5" o:title=""/>
      </v:shape>
    </w:pict>
  </w:numPicBullet>
  <w:numPicBullet w:numPicBulletId="5">
    <w:pict>
      <v:shape id="5" type="#_x0000_t75" style="width:15px;height:15px" o:bullet="t">
        <v:imagedata r:id="rId6" o:title=""/>
      </v:shape>
    </w:pict>
  </w:numPicBullet>
  <w:numPicBullet w:numPicBulletId="6">
    <w:pict>
      <v:shape id="6" type="#_x0000_t75" style="width:15px;height:15px" o:bullet="t">
        <v:imagedata r:id="rId7" o:title=""/>
      </v:shape>
    </w:pict>
  </w:numPicBullet>
  <w:numPicBullet w:numPicBulletId="7">
    <w:pict>
      <v:shape id="7" type="#_x0000_t75" style="width:15px;height:15px" o:bullet="t">
        <v:imagedata r:id="rId8" o:title=""/>
      </v:shape>
    </w:pict>
  </w:numPicBullet>
  <w:numPicBullet w:numPicBulletId="8">
    <w:pict>
      <v:shape id="8" type="#_x0000_t75" style="width:15px;height:15px" o:bullet="t">
        <v:imagedata r:id="rId9" o:title=""/>
      </v:shape>
    </w:pict>
  </w:numPicBullet>
  <w:numPicBullet w:numPicBulletId="9">
    <w:pict>
      <v:shape id="9" type="#_x0000_t75" style="width:240px;height:288px" o:bullet="t">
        <v:imagedata r:id="rId10" o:title=""/>
      </v:shape>
    </w:pict>
  </w:numPicBullet>
  <w:numPicBullet w:numPicBulletId="10">
    <w:pict>
      <v:shape id="10" type="#_x0000_t75" style="width:240px;height:288px" o:bullet="t">
        <v:imagedata r:id="rId11" o:title=""/>
      </v:shape>
    </w:pict>
  </w:numPicBullet>
  <w:numPicBullet w:numPicBulletId="11">
    <w:pict>
      <v:shape id="11" type="#_x0000_t75" style="width:240px;height:288px" o:bullet="t">
        <v:imagedata r:id="rId12" o:title=""/>
      </v:shape>
    </w:pict>
  </w:numPicBullet>
  <w:numPicBullet w:numPicBulletId="12">
    <w:pict>
      <v:shape id="12" type="#_x0000_t75" style="width:240px;height:288px" o:bullet="t">
        <v:imagedata r:id="rId13" o:title=""/>
      </v:shape>
    </w:pict>
  </w:numPicBullet>
  <w:numPicBullet w:numPicBulletId="13">
    <w:pict>
      <v:shape id="13" type="#_x0000_t75" style="width:240px;height:288px" o:bullet="t">
        <v:imagedata r:id="rId14" o:title=""/>
      </v:shape>
    </w:pict>
  </w:numPicBullet>
  <w:numPicBullet w:numPicBulletId="14">
    <w:pict>
      <v:shape id="14" type="#_x0000_t75" style="width:240px;height:288px" o:bullet="t">
        <v:imagedata r:id="rId15" o:title=""/>
      </v:shape>
    </w:pict>
  </w:numPicBullet>
  <w:numPicBullet w:numPicBulletId="15">
    <w:pict>
      <v:shape id="15" type="#_x0000_t75" style="width:240px;height:288px" o:bullet="t">
        <v:imagedata r:id="rId16" o:title=""/>
      </v:shape>
    </w:pict>
  </w:numPicBullet>
  <w:numPicBullet w:numPicBulletId="16">
    <w:pict>
      <v:shape id="16" type="#_x0000_t75" style="width:240px;height:288px" o:bullet="t">
        <v:imagedata r:id="rId17" o:title=""/>
      </v:shape>
    </w:pict>
  </w:numPicBullet>
  <w:numPicBullet w:numPicBulletId="17">
    <w:pict>
      <v:shape id="17" type="#_x0000_t75" style="width:240px;height:288px" o:bullet="t">
        <v:imagedata r:id="rId18" o:title=""/>
      </v:shape>
    </w:pict>
  </w:numPicBullet>
  <w:numPicBullet w:numPicBulletId="18">
    <w:pict>
      <v:shape id="18" type="#_x0000_t75" style="width:104px;height:106px" o:bullet="t">
        <v:imagedata r:id="rId19" o:title=""/>
      </v:shape>
    </w:pict>
  </w:numPicBullet>
  <w:numPicBullet w:numPicBulletId="19">
    <w:pict>
      <v:shape id="19" type="#_x0000_t75" style="width:104px;height:106px" o:bullet="t">
        <v:imagedata r:id="rId20" o:title=""/>
      </v:shape>
    </w:pict>
  </w:numPicBullet>
  <w:numPicBullet w:numPicBulletId="20">
    <w:pict>
      <v:shape id="20" type="#_x0000_t75" style="width:104px;height:106px" o:bullet="t">
        <v:imagedata r:id="rId21" o:title=""/>
      </v:shape>
    </w:pict>
  </w:numPicBullet>
  <w:numPicBullet w:numPicBulletId="21">
    <w:pict>
      <v:shape id="21" type="#_x0000_t75" style="width:104px;height:106px" o:bullet="t">
        <v:imagedata r:id="rId22" o:title=""/>
      </v:shape>
    </w:pict>
  </w:numPicBullet>
  <w:numPicBullet w:numPicBulletId="22">
    <w:pict>
      <v:shape id="22" type="#_x0000_t75" style="width:104px;height:106px" o:bullet="t">
        <v:imagedata r:id="rId23" o:title=""/>
      </v:shape>
    </w:pict>
  </w:numPicBullet>
  <w:numPicBullet w:numPicBulletId="23">
    <w:pict>
      <v:shape id="23" type="#_x0000_t75" style="width:104px;height:106px" o:bullet="t">
        <v:imagedata r:id="rId24" o:title=""/>
      </v:shape>
    </w:pict>
  </w:numPicBullet>
  <w:numPicBullet w:numPicBulletId="24">
    <w:pict>
      <v:shape id="24" type="#_x0000_t75" style="width:104px;height:106px" o:bullet="t">
        <v:imagedata r:id="rId25" o:title=""/>
      </v:shape>
    </w:pict>
  </w:numPicBullet>
  <w:numPicBullet w:numPicBulletId="25">
    <w:pict>
      <v:shape id="25" type="#_x0000_t75" style="width:104px;height:106px" o:bullet="t">
        <v:imagedata r:id="rId26" o:title=""/>
      </v:shape>
    </w:pict>
  </w:numPicBullet>
  <w:numPicBullet w:numPicBulletId="26">
    <w:pict>
      <v:shape id="26" type="#_x0000_t75" style="width:104px;height:106px" o:bullet="t">
        <v:imagedata r:id="rId27" o:title=""/>
      </v:shape>
    </w:pict>
  </w:numPicBullet>
  <w:numPicBullet w:numPicBulletId="27">
    <w:pict>
      <v:shape id="27" type="#_x0000_t75" style="width:104px;height:106px" o:bullet="t">
        <v:imagedata r:id="rId28" o:title=""/>
      </v:shape>
    </w:pict>
  </w:numPicBullet>
  <w:numPicBullet w:numPicBulletId="28">
    <w:pict>
      <v:shape id="28" type="#_x0000_t75" style="width:104px;height:106px" o:bullet="t">
        <v:imagedata r:id="rId29" o:title=""/>
      </v:shape>
    </w:pict>
  </w:numPicBullet>
  <w:numPicBullet w:numPicBulletId="29">
    <w:pict>
      <v:shape id="29" type="#_x0000_t75" style="width:104px;height:106px" o:bullet="t">
        <v:imagedata r:id="rId30" o:title=""/>
      </v:shape>
    </w:pict>
  </w:numPicBullet>
  <w:numPicBullet w:numPicBulletId="30">
    <w:pict>
      <v:shape id="30" type="#_x0000_t75" style="width:104px;height:106px" o:bullet="t">
        <v:imagedata r:id="rId31" o:title=""/>
      </v:shape>
    </w:pict>
  </w:numPicBullet>
  <w:numPicBullet w:numPicBulletId="31">
    <w:pict>
      <v:shape id="31" type="#_x0000_t75" style="width:104px;height:106px" o:bullet="t">
        <v:imagedata r:id="rId32" o:title=""/>
      </v:shape>
    </w:pict>
  </w:numPicBullet>
  <w:numPicBullet w:numPicBulletId="32">
    <w:pict>
      <v:shape id="32" type="#_x0000_t75" style="width:104px;height:106px" o:bullet="t">
        <v:imagedata r:id="rId33" o:title=""/>
      </v:shape>
    </w:pict>
  </w:numPicBullet>
  <w:numPicBullet w:numPicBulletId="33">
    <w:pict>
      <v:shape id="33" type="#_x0000_t75" style="width:104px;height:106px" o:bullet="t">
        <v:imagedata r:id="rId34" o:title=""/>
      </v:shape>
    </w:pict>
  </w:numPicBullet>
  <w:numPicBullet w:numPicBulletId="34">
    <w:pict>
      <v:shape id="34" type="#_x0000_t75" style="width:104px;height:106px" o:bullet="t">
        <v:imagedata r:id="rId35" o:title=""/>
      </v:shape>
    </w:pict>
  </w:numPicBullet>
  <w:numPicBullet w:numPicBulletId="35">
    <w:pict>
      <v:shape id="35" type="#_x0000_t75" style="width:104px;height:106px" o:bullet="t">
        <v:imagedata r:id="rId36" o:title=""/>
      </v:shape>
    </w:pict>
  </w:numPicBullet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entative="0">
      <w:start w:val="1"/>
      <w:numFmt w:val="lowerRoman"/>
      <w:lvlText w:val="%3."/>
      <w:lvlJc w:val="left"/>
      <w:pPr>
        <w:ind w:left="1260" w:hanging="54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entative="0">
      <w:start w:val="1"/>
      <w:numFmt w:val="lowerRoman"/>
      <w:lvlText w:val="%6."/>
      <w:lvlJc w:val="left"/>
      <w:pPr>
        <w:ind w:left="2520" w:hanging="54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entative="0">
      <w:start w:val="1"/>
      <w:numFmt w:val="lowerRoman"/>
      <w:lvlText w:val="%9."/>
      <w:lvlJc w:val="left"/>
      <w:pPr>
        <w:ind w:left="3780" w:hanging="54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•"/>
      <w:lvlPicBulletId w:val="0"/>
      <w:lvlJc w:val="left"/>
      <w:pPr>
        <w:ind w:left="31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color w:val="0D0D0D"/>
        <w:spacing w:val="0"/>
        <w:w w:val="100"/>
        <w:kern w:val="0"/>
        <w:position w:val="0"/>
        <w:sz w:val="19"/>
        <w:vertAlign w:val="baseline"/>
      </w:rPr>
    </w:lvl>
    <w:lvl w:ilvl="1" w:tentative="0">
      <w:start w:val="1"/>
      <w:numFmt w:val="bullet"/>
      <w:lvlText w:val="•"/>
      <w:lvlPicBulletId w:val="1"/>
      <w:lvlJc w:val="left"/>
      <w:pPr>
        <w:ind w:left="103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color w:val="0D0D0D"/>
        <w:spacing w:val="0"/>
        <w:w w:val="100"/>
        <w:kern w:val="0"/>
        <w:position w:val="0"/>
        <w:sz w:val="19"/>
        <w:vertAlign w:val="baseline"/>
      </w:rPr>
    </w:lvl>
    <w:lvl w:ilvl="2" w:tentative="0">
      <w:start w:val="1"/>
      <w:numFmt w:val="bullet"/>
      <w:lvlText w:val="•"/>
      <w:lvlPicBulletId w:val="2"/>
      <w:lvlJc w:val="left"/>
      <w:pPr>
        <w:ind w:left="175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color w:val="0D0D0D"/>
        <w:spacing w:val="0"/>
        <w:w w:val="100"/>
        <w:kern w:val="0"/>
        <w:position w:val="0"/>
        <w:sz w:val="19"/>
        <w:vertAlign w:val="baseline"/>
      </w:rPr>
    </w:lvl>
    <w:lvl w:ilvl="3" w:tentative="0">
      <w:start w:val="1"/>
      <w:numFmt w:val="bullet"/>
      <w:lvlText w:val="•"/>
      <w:lvlPicBulletId w:val="3"/>
      <w:lvlJc w:val="left"/>
      <w:pPr>
        <w:ind w:left="247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color w:val="0D0D0D"/>
        <w:spacing w:val="0"/>
        <w:w w:val="100"/>
        <w:kern w:val="0"/>
        <w:position w:val="0"/>
        <w:sz w:val="19"/>
        <w:vertAlign w:val="baseline"/>
      </w:rPr>
    </w:lvl>
    <w:lvl w:ilvl="4" w:tentative="0">
      <w:start w:val="1"/>
      <w:numFmt w:val="bullet"/>
      <w:lvlText w:val="•"/>
      <w:lvlPicBulletId w:val="4"/>
      <w:lvlJc w:val="left"/>
      <w:pPr>
        <w:ind w:left="319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color w:val="0D0D0D"/>
        <w:spacing w:val="0"/>
        <w:w w:val="100"/>
        <w:kern w:val="0"/>
        <w:position w:val="0"/>
        <w:sz w:val="19"/>
        <w:vertAlign w:val="baseline"/>
      </w:rPr>
    </w:lvl>
    <w:lvl w:ilvl="5" w:tentative="0">
      <w:start w:val="1"/>
      <w:numFmt w:val="bullet"/>
      <w:lvlText w:val="•"/>
      <w:lvlPicBulletId w:val="5"/>
      <w:lvlJc w:val="left"/>
      <w:pPr>
        <w:ind w:left="391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color w:val="0D0D0D"/>
        <w:spacing w:val="0"/>
        <w:w w:val="100"/>
        <w:kern w:val="0"/>
        <w:position w:val="0"/>
        <w:sz w:val="19"/>
        <w:vertAlign w:val="baseline"/>
      </w:rPr>
    </w:lvl>
    <w:lvl w:ilvl="6" w:tentative="0">
      <w:start w:val="1"/>
      <w:numFmt w:val="bullet"/>
      <w:lvlText w:val="•"/>
      <w:lvlPicBulletId w:val="6"/>
      <w:lvlJc w:val="left"/>
      <w:pPr>
        <w:ind w:left="463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color w:val="0D0D0D"/>
        <w:spacing w:val="0"/>
        <w:w w:val="100"/>
        <w:kern w:val="0"/>
        <w:position w:val="0"/>
        <w:sz w:val="19"/>
        <w:vertAlign w:val="baseline"/>
      </w:rPr>
    </w:lvl>
    <w:lvl w:ilvl="7" w:tentative="0">
      <w:start w:val="1"/>
      <w:numFmt w:val="bullet"/>
      <w:lvlText w:val="•"/>
      <w:lvlPicBulletId w:val="7"/>
      <w:lvlJc w:val="left"/>
      <w:pPr>
        <w:ind w:left="535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color w:val="0D0D0D"/>
        <w:spacing w:val="0"/>
        <w:w w:val="100"/>
        <w:kern w:val="0"/>
        <w:position w:val="0"/>
        <w:sz w:val="19"/>
        <w:vertAlign w:val="baseline"/>
      </w:rPr>
    </w:lvl>
    <w:lvl w:ilvl="8" w:tentative="0">
      <w:start w:val="1"/>
      <w:numFmt w:val="bullet"/>
      <w:lvlText w:val="•"/>
      <w:lvlPicBulletId w:val="8"/>
      <w:lvlJc w:val="left"/>
      <w:pPr>
        <w:ind w:left="607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color w:val="0D0D0D"/>
        <w:spacing w:val="0"/>
        <w:w w:val="100"/>
        <w:kern w:val="0"/>
        <w:position w:val="0"/>
        <w:sz w:val="19"/>
        <w:vertAlign w:val="baseline"/>
      </w:rPr>
    </w:lvl>
  </w:abstractNum>
  <w:abstractNum w:abstractNumId="2">
    <w:nsid w:val="03D62ECE"/>
    <w:multiLevelType w:val="multilevel"/>
    <w:tmpl w:val="03D62ECE"/>
    <w:lvl w:ilvl="0" w:tentative="0">
      <w:start w:val="1"/>
      <w:numFmt w:val="bullet"/>
      <w:suff w:val="nothing"/>
      <w:lvlText w:val="➢"/>
      <w:lvlJc w:val="left"/>
      <w:pPr>
        <w:ind w:left="420" w:hanging="136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entative="0">
      <w:start w:val="1"/>
      <w:numFmt w:val="bullet"/>
      <w:lvlText w:val="■"/>
      <w:lvlJc w:val="left"/>
      <w:pPr>
        <w:ind w:left="859" w:hanging="15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entative="0">
      <w:start w:val="1"/>
      <w:numFmt w:val="bullet"/>
      <w:lvlText w:val="◆"/>
      <w:lvlJc w:val="left"/>
      <w:pPr>
        <w:ind w:left="1279" w:hanging="15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entative="0">
      <w:start w:val="1"/>
      <w:numFmt w:val="bullet"/>
      <w:lvlText w:val="●"/>
      <w:lvlJc w:val="left"/>
      <w:pPr>
        <w:ind w:left="1699" w:hanging="15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entative="0">
      <w:start w:val="1"/>
      <w:numFmt w:val="bullet"/>
      <w:lvlText w:val="■"/>
      <w:lvlJc w:val="left"/>
      <w:pPr>
        <w:ind w:left="2119" w:hanging="15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entative="0">
      <w:start w:val="1"/>
      <w:numFmt w:val="bullet"/>
      <w:lvlText w:val="◆"/>
      <w:lvlJc w:val="left"/>
      <w:pPr>
        <w:ind w:left="2539" w:hanging="15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entative="0">
      <w:start w:val="1"/>
      <w:numFmt w:val="bullet"/>
      <w:lvlText w:val="●"/>
      <w:lvlJc w:val="left"/>
      <w:pPr>
        <w:ind w:left="2959" w:hanging="15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entative="0">
      <w:start w:val="1"/>
      <w:numFmt w:val="bullet"/>
      <w:lvlText w:val="■"/>
      <w:lvlJc w:val="left"/>
      <w:pPr>
        <w:ind w:left="3379" w:hanging="15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entative="0">
      <w:start w:val="1"/>
      <w:numFmt w:val="bullet"/>
      <w:lvlText w:val="◆"/>
      <w:lvlJc w:val="left"/>
      <w:pPr>
        <w:ind w:left="3799" w:hanging="15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">
    <w:nsid w:val="21630CDA"/>
    <w:multiLevelType w:val="multilevel"/>
    <w:tmpl w:val="21630CDA"/>
    <w:lvl w:ilvl="0" w:tentative="0">
      <w:start w:val="1"/>
      <w:numFmt w:val="bullet"/>
      <w:lvlText w:val="■"/>
      <w:lvlJc w:val="left"/>
      <w:pPr>
        <w:ind w:left="315" w:hanging="315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entative="0">
      <w:start w:val="1"/>
      <w:numFmt w:val="bullet"/>
      <w:lvlText w:val="■"/>
      <w:lvlJc w:val="left"/>
      <w:pPr>
        <w:ind w:left="690" w:hanging="270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entative="0">
      <w:start w:val="1"/>
      <w:numFmt w:val="bullet"/>
      <w:lvlText w:val="◆"/>
      <w:lvlJc w:val="left"/>
      <w:pPr>
        <w:ind w:left="1110" w:hanging="270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entative="0">
      <w:start w:val="1"/>
      <w:numFmt w:val="bullet"/>
      <w:lvlText w:val="●"/>
      <w:lvlJc w:val="left"/>
      <w:pPr>
        <w:ind w:left="1530" w:hanging="270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entative="0">
      <w:start w:val="1"/>
      <w:numFmt w:val="bullet"/>
      <w:lvlText w:val="■"/>
      <w:lvlJc w:val="left"/>
      <w:pPr>
        <w:ind w:left="1950" w:hanging="270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entative="0">
      <w:start w:val="1"/>
      <w:numFmt w:val="bullet"/>
      <w:lvlText w:val="◆"/>
      <w:lvlJc w:val="left"/>
      <w:pPr>
        <w:ind w:left="2370" w:hanging="270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entative="0">
      <w:start w:val="1"/>
      <w:numFmt w:val="bullet"/>
      <w:lvlText w:val="●"/>
      <w:lvlJc w:val="left"/>
      <w:pPr>
        <w:ind w:left="2790" w:hanging="270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entative="0">
      <w:start w:val="1"/>
      <w:numFmt w:val="bullet"/>
      <w:lvlText w:val="■"/>
      <w:lvlJc w:val="left"/>
      <w:pPr>
        <w:ind w:left="3210" w:hanging="270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entative="0">
      <w:start w:val="1"/>
      <w:numFmt w:val="bullet"/>
      <w:lvlText w:val="◆"/>
      <w:lvlJc w:val="left"/>
      <w:pPr>
        <w:ind w:left="3630" w:hanging="270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bullet"/>
      <w:lvlText w:val="•"/>
      <w:lvlPicBulletId w:val="18"/>
      <w:lvlJc w:val="left"/>
      <w:pPr>
        <w:ind w:left="31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vertAlign w:val="baseline"/>
      </w:rPr>
    </w:lvl>
    <w:lvl w:ilvl="1" w:tentative="0">
      <w:start w:val="1"/>
      <w:numFmt w:val="bullet"/>
      <w:lvlText w:val="•"/>
      <w:lvlPicBulletId w:val="19"/>
      <w:lvlJc w:val="left"/>
      <w:pPr>
        <w:ind w:left="103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vertAlign w:val="baseline"/>
      </w:rPr>
    </w:lvl>
    <w:lvl w:ilvl="2" w:tentative="0">
      <w:start w:val="1"/>
      <w:numFmt w:val="bullet"/>
      <w:lvlText w:val="•"/>
      <w:lvlPicBulletId w:val="20"/>
      <w:lvlJc w:val="left"/>
      <w:pPr>
        <w:ind w:left="175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vertAlign w:val="baseline"/>
      </w:rPr>
    </w:lvl>
    <w:lvl w:ilvl="3" w:tentative="0">
      <w:start w:val="1"/>
      <w:numFmt w:val="bullet"/>
      <w:lvlText w:val="•"/>
      <w:lvlPicBulletId w:val="21"/>
      <w:lvlJc w:val="left"/>
      <w:pPr>
        <w:ind w:left="247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vertAlign w:val="baseline"/>
      </w:rPr>
    </w:lvl>
    <w:lvl w:ilvl="4" w:tentative="0">
      <w:start w:val="1"/>
      <w:numFmt w:val="bullet"/>
      <w:lvlText w:val="•"/>
      <w:lvlPicBulletId w:val="22"/>
      <w:lvlJc w:val="left"/>
      <w:pPr>
        <w:ind w:left="319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vertAlign w:val="baseline"/>
      </w:rPr>
    </w:lvl>
    <w:lvl w:ilvl="5" w:tentative="0">
      <w:start w:val="1"/>
      <w:numFmt w:val="bullet"/>
      <w:lvlText w:val="•"/>
      <w:lvlPicBulletId w:val="23"/>
      <w:lvlJc w:val="left"/>
      <w:pPr>
        <w:ind w:left="391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vertAlign w:val="baseline"/>
      </w:rPr>
    </w:lvl>
    <w:lvl w:ilvl="6" w:tentative="0">
      <w:start w:val="1"/>
      <w:numFmt w:val="bullet"/>
      <w:lvlText w:val="•"/>
      <w:lvlPicBulletId w:val="24"/>
      <w:lvlJc w:val="left"/>
      <w:pPr>
        <w:ind w:left="463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vertAlign w:val="baseline"/>
      </w:rPr>
    </w:lvl>
    <w:lvl w:ilvl="7" w:tentative="0">
      <w:start w:val="1"/>
      <w:numFmt w:val="bullet"/>
      <w:lvlText w:val="•"/>
      <w:lvlPicBulletId w:val="25"/>
      <w:lvlJc w:val="left"/>
      <w:pPr>
        <w:ind w:left="535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vertAlign w:val="baseline"/>
      </w:rPr>
    </w:lvl>
    <w:lvl w:ilvl="8" w:tentative="0">
      <w:start w:val="1"/>
      <w:numFmt w:val="bullet"/>
      <w:lvlText w:val="•"/>
      <w:lvlPicBulletId w:val="26"/>
      <w:lvlJc w:val="left"/>
      <w:pPr>
        <w:ind w:left="6075" w:hanging="315"/>
      </w:pPr>
      <w:rPr>
        <w:rFonts w:hAnsi="Arial Unicode MS"/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vertAlign w:val="baseline"/>
      </w:rPr>
    </w:lvl>
  </w:abstractNum>
  <w:abstractNum w:abstractNumId="5">
    <w:nsid w:val="76A16024"/>
    <w:multiLevelType w:val="multilevel"/>
    <w:tmpl w:val="76A16024"/>
    <w:lvl w:ilvl="0" w:tentative="0">
      <w:start w:val="1"/>
      <w:numFmt w:val="bullet"/>
      <w:lvlText w:val="■"/>
      <w:lvlJc w:val="left"/>
      <w:pPr>
        <w:ind w:left="315" w:hanging="315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entative="0">
      <w:start w:val="1"/>
      <w:numFmt w:val="bullet"/>
      <w:lvlText w:val="■"/>
      <w:lvlJc w:val="left"/>
      <w:pPr>
        <w:ind w:left="735" w:hanging="315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entative="0">
      <w:start w:val="1"/>
      <w:numFmt w:val="bullet"/>
      <w:lvlText w:val="◆"/>
      <w:lvlJc w:val="left"/>
      <w:pPr>
        <w:ind w:left="1155" w:hanging="31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entative="0">
      <w:start w:val="1"/>
      <w:numFmt w:val="bullet"/>
      <w:lvlText w:val="●"/>
      <w:lvlJc w:val="left"/>
      <w:pPr>
        <w:ind w:left="1575" w:hanging="315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entative="0">
      <w:start w:val="1"/>
      <w:numFmt w:val="bullet"/>
      <w:lvlText w:val="■"/>
      <w:lvlJc w:val="left"/>
      <w:pPr>
        <w:ind w:left="1995" w:hanging="315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entative="0">
      <w:start w:val="1"/>
      <w:numFmt w:val="bullet"/>
      <w:lvlText w:val="◆"/>
      <w:lvlJc w:val="left"/>
      <w:pPr>
        <w:ind w:left="2415" w:hanging="31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entative="0">
      <w:start w:val="1"/>
      <w:numFmt w:val="bullet"/>
      <w:lvlText w:val="●"/>
      <w:lvlJc w:val="left"/>
      <w:pPr>
        <w:ind w:left="2835" w:hanging="315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entative="0">
      <w:start w:val="1"/>
      <w:numFmt w:val="bullet"/>
      <w:lvlText w:val="■"/>
      <w:lvlJc w:val="left"/>
      <w:pPr>
        <w:ind w:left="3255" w:hanging="315"/>
      </w:pPr>
      <w:rPr>
        <w:rFonts w:ascii="Arial Black" w:hAnsi="Arial Black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entative="0">
      <w:start w:val="1"/>
      <w:numFmt w:val="bullet"/>
      <w:lvlText w:val="◆"/>
      <w:lvlJc w:val="left"/>
      <w:pPr>
        <w:ind w:left="3675" w:hanging="315"/>
      </w:pPr>
      <w:rPr>
        <w:rFonts w:ascii="Arial Unicode MS" w:hAnsi="Arial Unicode MS" w:eastAsia="Times New Roman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num w:numId="1">
    <w:abstractNumId w:val="1"/>
  </w:num>
  <w:num w:numId="2">
    <w:abstractNumId w:val="1"/>
    <w:lvlOverride w:ilvl="0">
      <w:lvl w:ilvl="0" w:tentative="1">
        <w:start w:val="1"/>
        <w:numFmt w:val="bullet"/>
        <w:lvlText w:val="•"/>
        <w:lvlPicBulletId w:val="9"/>
        <w:lvlJc w:val="left"/>
        <w:pPr>
          <w:tabs>
            <w:tab w:val="left" w:pos="315"/>
          </w:tabs>
          <w:ind w:left="795" w:hanging="7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1">
      <w:lvl w:ilvl="1" w:tentative="1">
        <w:start w:val="1"/>
        <w:numFmt w:val="bullet"/>
        <w:lvlText w:val="•"/>
        <w:lvlPicBulletId w:val="10"/>
        <w:lvlJc w:val="left"/>
        <w:pPr>
          <w:tabs>
            <w:tab w:val="left" w:pos="315"/>
            <w:tab w:val="left" w:pos="1035"/>
          </w:tabs>
          <w:ind w:left="1515" w:hanging="7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2">
      <w:lvl w:ilvl="2" w:tentative="1">
        <w:start w:val="1"/>
        <w:numFmt w:val="bullet"/>
        <w:lvlText w:val="•"/>
        <w:lvlPicBulletId w:val="11"/>
        <w:lvlJc w:val="left"/>
        <w:pPr>
          <w:tabs>
            <w:tab w:val="left" w:pos="315"/>
            <w:tab w:val="left" w:pos="1755"/>
          </w:tabs>
          <w:ind w:left="2235" w:hanging="7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3">
      <w:lvl w:ilvl="3" w:tentative="1">
        <w:start w:val="1"/>
        <w:numFmt w:val="bullet"/>
        <w:lvlText w:val="•"/>
        <w:lvlPicBulletId w:val="12"/>
        <w:lvlJc w:val="left"/>
        <w:pPr>
          <w:tabs>
            <w:tab w:val="left" w:pos="315"/>
            <w:tab w:val="left" w:pos="2475"/>
          </w:tabs>
          <w:ind w:left="2955" w:hanging="7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4">
      <w:lvl w:ilvl="4" w:tentative="1">
        <w:start w:val="1"/>
        <w:numFmt w:val="bullet"/>
        <w:lvlText w:val="•"/>
        <w:lvlPicBulletId w:val="13"/>
        <w:lvlJc w:val="left"/>
        <w:pPr>
          <w:tabs>
            <w:tab w:val="left" w:pos="315"/>
            <w:tab w:val="left" w:pos="3195"/>
          </w:tabs>
          <w:ind w:left="3675" w:hanging="7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5">
      <w:lvl w:ilvl="5" w:tentative="1">
        <w:start w:val="1"/>
        <w:numFmt w:val="bullet"/>
        <w:lvlText w:val="•"/>
        <w:lvlPicBulletId w:val="14"/>
        <w:lvlJc w:val="left"/>
        <w:pPr>
          <w:tabs>
            <w:tab w:val="left" w:pos="315"/>
            <w:tab w:val="left" w:pos="3915"/>
          </w:tabs>
          <w:ind w:left="4395" w:hanging="7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6">
      <w:lvl w:ilvl="6" w:tentative="1">
        <w:start w:val="1"/>
        <w:numFmt w:val="bullet"/>
        <w:lvlText w:val="•"/>
        <w:lvlPicBulletId w:val="15"/>
        <w:lvlJc w:val="left"/>
        <w:pPr>
          <w:tabs>
            <w:tab w:val="left" w:pos="315"/>
            <w:tab w:val="left" w:pos="4635"/>
          </w:tabs>
          <w:ind w:left="5115" w:hanging="7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7">
      <w:lvl w:ilvl="7" w:tentative="1">
        <w:start w:val="1"/>
        <w:numFmt w:val="bullet"/>
        <w:lvlText w:val="•"/>
        <w:lvlPicBulletId w:val="16"/>
        <w:lvlJc w:val="left"/>
        <w:pPr>
          <w:tabs>
            <w:tab w:val="left" w:pos="315"/>
            <w:tab w:val="left" w:pos="5355"/>
          </w:tabs>
          <w:ind w:left="5835" w:hanging="7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8">
      <w:lvl w:ilvl="8" w:tentative="1">
        <w:start w:val="1"/>
        <w:numFmt w:val="bullet"/>
        <w:lvlText w:val="•"/>
        <w:lvlPicBulletId w:val="17"/>
        <w:lvlJc w:val="left"/>
        <w:pPr>
          <w:tabs>
            <w:tab w:val="left" w:pos="315"/>
            <w:tab w:val="left" w:pos="6075"/>
          </w:tabs>
          <w:ind w:left="6555" w:hanging="7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</w:num>
  <w:num w:numId="3">
    <w:abstractNumId w:val="4"/>
  </w:num>
  <w:num w:numId="4">
    <w:abstractNumId w:val="1"/>
    <w:lvlOverride w:ilvl="0">
      <w:lvl w:ilvl="0" w:tentative="1">
        <w:start w:val="1"/>
        <w:numFmt w:val="bullet"/>
        <w:lvlText w:val="•"/>
        <w:lvlPicBulletId w:val="27"/>
        <w:lvlJc w:val="left"/>
        <w:pPr>
          <w:ind w:left="315" w:hanging="315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1">
      <w:lvl w:ilvl="1" w:tentative="1">
        <w:start w:val="1"/>
        <w:numFmt w:val="bullet"/>
        <w:lvlText w:val="•"/>
        <w:lvlPicBulletId w:val="28"/>
        <w:lvlJc w:val="left"/>
        <w:pPr>
          <w:ind w:left="1035" w:hanging="315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2">
      <w:lvl w:ilvl="2" w:tentative="1">
        <w:start w:val="1"/>
        <w:numFmt w:val="bullet"/>
        <w:lvlText w:val="•"/>
        <w:lvlPicBulletId w:val="29"/>
        <w:lvlJc w:val="left"/>
        <w:pPr>
          <w:ind w:left="1755" w:hanging="315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3">
      <w:lvl w:ilvl="3" w:tentative="1">
        <w:start w:val="1"/>
        <w:numFmt w:val="bullet"/>
        <w:lvlText w:val="•"/>
        <w:lvlPicBulletId w:val="30"/>
        <w:lvlJc w:val="left"/>
        <w:pPr>
          <w:ind w:left="2475" w:hanging="315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4">
      <w:lvl w:ilvl="4" w:tentative="1">
        <w:start w:val="1"/>
        <w:numFmt w:val="bullet"/>
        <w:lvlText w:val="•"/>
        <w:lvlPicBulletId w:val="31"/>
        <w:lvlJc w:val="left"/>
        <w:pPr>
          <w:ind w:left="3195" w:hanging="315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5">
      <w:lvl w:ilvl="5" w:tentative="1">
        <w:start w:val="1"/>
        <w:numFmt w:val="bullet"/>
        <w:lvlText w:val="•"/>
        <w:lvlPicBulletId w:val="32"/>
        <w:lvlJc w:val="left"/>
        <w:pPr>
          <w:ind w:left="3915" w:hanging="315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6">
      <w:lvl w:ilvl="6" w:tentative="1">
        <w:start w:val="1"/>
        <w:numFmt w:val="bullet"/>
        <w:lvlText w:val="•"/>
        <w:lvlPicBulletId w:val="33"/>
        <w:lvlJc w:val="left"/>
        <w:pPr>
          <w:ind w:left="4635" w:hanging="315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7">
      <w:lvl w:ilvl="7" w:tentative="1">
        <w:start w:val="1"/>
        <w:numFmt w:val="bullet"/>
        <w:lvlText w:val="•"/>
        <w:lvlPicBulletId w:val="34"/>
        <w:lvlJc w:val="left"/>
        <w:pPr>
          <w:ind w:left="5355" w:hanging="315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  <w:lvlOverride w:ilvl="8">
      <w:lvl w:ilvl="8" w:tentative="1">
        <w:start w:val="1"/>
        <w:numFmt w:val="bullet"/>
        <w:lvlText w:val="•"/>
        <w:lvlPicBulletId w:val="35"/>
        <w:lvlJc w:val="left"/>
        <w:pPr>
          <w:ind w:left="6075" w:hanging="315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color w:val="0D0D0D"/>
          <w:spacing w:val="0"/>
          <w:w w:val="100"/>
          <w:kern w:val="0"/>
          <w:position w:val="0"/>
          <w:sz w:val="19"/>
          <w:vertAlign w:val="baseline"/>
        </w:rPr>
      </w:lvl>
    </w:lvlOverride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 w:numId="9">
    <w:abstractNumId w:val="3"/>
    <w:lvlOverride w:ilvl="0">
      <w:lvl w:ilvl="0" w:tentative="1">
        <w:start w:val="1"/>
        <w:numFmt w:val="bullet"/>
        <w:lvlText w:val="■"/>
        <w:lvlJc w:val="left"/>
        <w:pPr>
          <w:ind w:left="315" w:hanging="315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entative="1">
        <w:start w:val="1"/>
        <w:numFmt w:val="bullet"/>
        <w:lvlText w:val="■"/>
        <w:lvlJc w:val="left"/>
        <w:pPr>
          <w:ind w:left="735" w:hanging="315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entative="1">
        <w:start w:val="1"/>
        <w:numFmt w:val="bullet"/>
        <w:lvlText w:val="◆"/>
        <w:lvlJc w:val="left"/>
        <w:pPr>
          <w:ind w:left="1155" w:hanging="315"/>
        </w:pPr>
        <w:rPr>
          <w:rFonts w:ascii="Arial Unicode MS" w:hAnsi="Arial Unicode MS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entative="1">
        <w:start w:val="1"/>
        <w:numFmt w:val="bullet"/>
        <w:lvlText w:val="●"/>
        <w:lvlJc w:val="left"/>
        <w:pPr>
          <w:ind w:left="1575" w:hanging="315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entative="1">
        <w:start w:val="1"/>
        <w:numFmt w:val="bullet"/>
        <w:lvlText w:val="■"/>
        <w:lvlJc w:val="left"/>
        <w:pPr>
          <w:ind w:left="1995" w:hanging="315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entative="1">
        <w:start w:val="1"/>
        <w:numFmt w:val="bullet"/>
        <w:lvlText w:val="◆"/>
        <w:lvlJc w:val="left"/>
        <w:pPr>
          <w:ind w:left="2415" w:hanging="315"/>
        </w:pPr>
        <w:rPr>
          <w:rFonts w:ascii="Arial Unicode MS" w:hAnsi="Arial Unicode MS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entative="1">
        <w:start w:val="1"/>
        <w:numFmt w:val="bullet"/>
        <w:lvlText w:val="●"/>
        <w:lvlJc w:val="left"/>
        <w:pPr>
          <w:ind w:left="2835" w:hanging="315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entative="1">
        <w:start w:val="1"/>
        <w:numFmt w:val="bullet"/>
        <w:lvlText w:val="■"/>
        <w:lvlJc w:val="left"/>
        <w:pPr>
          <w:ind w:left="3255" w:hanging="315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entative="1">
        <w:start w:val="1"/>
        <w:numFmt w:val="bullet"/>
        <w:lvlText w:val="◆"/>
        <w:lvlJc w:val="left"/>
        <w:pPr>
          <w:ind w:left="3675" w:hanging="315"/>
        </w:pPr>
        <w:rPr>
          <w:rFonts w:ascii="Arial Unicode MS" w:hAnsi="Arial Unicode MS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10">
    <w:abstractNumId w:val="3"/>
    <w:lvlOverride w:ilvl="0">
      <w:lvl w:ilvl="0" w:tentative="1">
        <w:start w:val="1"/>
        <w:numFmt w:val="bullet"/>
        <w:lvlText w:val="■"/>
        <w:lvlJc w:val="left"/>
        <w:pPr>
          <w:tabs>
            <w:tab w:val="left" w:pos="236"/>
          </w:tabs>
          <w:ind w:left="1208" w:hanging="1208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entative="1">
        <w:start w:val="1"/>
        <w:numFmt w:val="bullet"/>
        <w:lvlText w:val="■"/>
        <w:lvlJc w:val="left"/>
        <w:pPr>
          <w:tabs>
            <w:tab w:val="left" w:pos="656"/>
          </w:tabs>
          <w:ind w:left="1628" w:hanging="1208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entative="1">
        <w:start w:val="1"/>
        <w:numFmt w:val="bullet"/>
        <w:lvlText w:val="◆"/>
        <w:lvlJc w:val="left"/>
        <w:pPr>
          <w:tabs>
            <w:tab w:val="left" w:pos="1076"/>
          </w:tabs>
          <w:ind w:left="2048" w:hanging="1208"/>
        </w:pPr>
        <w:rPr>
          <w:rFonts w:ascii="Arial Unicode MS" w:hAnsi="Arial Unicode MS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entative="1">
        <w:start w:val="1"/>
        <w:numFmt w:val="bullet"/>
        <w:lvlText w:val="●"/>
        <w:lvlJc w:val="left"/>
        <w:pPr>
          <w:tabs>
            <w:tab w:val="left" w:pos="1496"/>
          </w:tabs>
          <w:ind w:left="2468" w:hanging="1208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entative="1">
        <w:start w:val="1"/>
        <w:numFmt w:val="bullet"/>
        <w:lvlText w:val="■"/>
        <w:lvlJc w:val="left"/>
        <w:pPr>
          <w:tabs>
            <w:tab w:val="left" w:pos="1916"/>
          </w:tabs>
          <w:ind w:left="2888" w:hanging="1208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entative="1">
        <w:start w:val="1"/>
        <w:numFmt w:val="bullet"/>
        <w:lvlText w:val="◆"/>
        <w:lvlJc w:val="left"/>
        <w:pPr>
          <w:tabs>
            <w:tab w:val="left" w:pos="2336"/>
          </w:tabs>
          <w:ind w:left="3308" w:hanging="1208"/>
        </w:pPr>
        <w:rPr>
          <w:rFonts w:ascii="Arial Unicode MS" w:hAnsi="Arial Unicode MS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entative="1">
        <w:start w:val="1"/>
        <w:numFmt w:val="bullet"/>
        <w:lvlText w:val="●"/>
        <w:lvlJc w:val="left"/>
        <w:pPr>
          <w:tabs>
            <w:tab w:val="left" w:pos="2756"/>
          </w:tabs>
          <w:ind w:left="3728" w:hanging="1208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entative="1">
        <w:start w:val="1"/>
        <w:numFmt w:val="bullet"/>
        <w:lvlText w:val="■"/>
        <w:lvlJc w:val="left"/>
        <w:pPr>
          <w:tabs>
            <w:tab w:val="left" w:pos="3176"/>
          </w:tabs>
          <w:ind w:left="4148" w:hanging="1208"/>
        </w:pPr>
        <w:rPr>
          <w:rFonts w:ascii="Arial Black" w:hAnsi="Arial Black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entative="1">
        <w:start w:val="1"/>
        <w:numFmt w:val="bullet"/>
        <w:lvlText w:val="◆"/>
        <w:lvlJc w:val="left"/>
        <w:pPr>
          <w:tabs>
            <w:tab w:val="left" w:pos="3596"/>
          </w:tabs>
          <w:ind w:left="4568" w:hanging="1208"/>
        </w:pPr>
        <w:rPr>
          <w:rFonts w:ascii="Arial Unicode MS" w:hAnsi="Arial Unicode MS" w:eastAsia="Times New Roman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displayBackgroundShape w:val="1"/>
  <w:bordersDoNotSurroundHeader w:val="1"/>
  <w:bordersDoNotSurroundFooter w:val="1"/>
  <w:documentProtection w:enforcement="0"/>
  <w:defaultTabStop w:val="420"/>
  <w:autoHyphenation/>
  <w:characterSpacingControl w:val="doNotCompress"/>
  <w:noLineBreaksAfter w:lang="zh-CN" w:val="([{«‘“⦅〈《「『【〔〖〘〝︵︷︹︻︽︿﹁﹃﹇﹙﹛﹝｢"/>
  <w:noLineBreaksBefore w:lang="zh-CN" w:val=")&gt;?]}¨°·ˇˉ―‖’”…‰′″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092E"/>
    <w:rsid w:val="00015324"/>
    <w:rsid w:val="00091C6C"/>
    <w:rsid w:val="001B187F"/>
    <w:rsid w:val="00260A26"/>
    <w:rsid w:val="002A2597"/>
    <w:rsid w:val="002F5B23"/>
    <w:rsid w:val="003848E9"/>
    <w:rsid w:val="005E1CD4"/>
    <w:rsid w:val="00693246"/>
    <w:rsid w:val="006D620B"/>
    <w:rsid w:val="007D37DC"/>
    <w:rsid w:val="007F15D9"/>
    <w:rsid w:val="0085263E"/>
    <w:rsid w:val="008B4611"/>
    <w:rsid w:val="00A00D6B"/>
    <w:rsid w:val="00AB5DBC"/>
    <w:rsid w:val="00B06212"/>
    <w:rsid w:val="00B96B2A"/>
    <w:rsid w:val="00BF4DE7"/>
    <w:rsid w:val="00C21A93"/>
    <w:rsid w:val="00D12F11"/>
    <w:rsid w:val="00D7092E"/>
    <w:rsid w:val="00EF7730"/>
    <w:rsid w:val="00F401BD"/>
    <w:rsid w:val="00FF3800"/>
    <w:rsid w:val="10A80FFE"/>
    <w:rsid w:val="5F0D271F"/>
    <w:rsid w:val="64B7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framePr w:wrap="around" w:vAnchor="margin" w:hAnchor="text" w:y="1"/>
    </w:pPr>
    <w:rPr>
      <w:rFonts w:ascii="Times New Roman" w:hAnsi="Times New Roman" w:eastAsia="宋体" w:cs="Times New Roman"/>
      <w:kern w:val="0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9"/>
    <w:qFormat/>
    <w:locked/>
    <w:uiPriority w:val="99"/>
    <w:pPr>
      <w:spacing w:before="100" w:beforeAutospacing="1" w:after="100" w:afterAutospacing="1"/>
      <w:outlineLvl w:val="0"/>
    </w:pPr>
    <w:rPr>
      <w:rFonts w:ascii="宋体" w:hAnsi="宋体" w:cs="宋体"/>
      <w:b/>
      <w:bCs/>
      <w:kern w:val="36"/>
      <w:sz w:val="48"/>
      <w:szCs w:val="48"/>
      <w:lang w:eastAsia="zh-CN"/>
    </w:rPr>
  </w:style>
  <w:style w:type="character" w:default="1" w:styleId="5">
    <w:name w:val="Default Paragraph Font"/>
    <w:semiHidden/>
    <w:uiPriority w:val="99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locked/>
    <w:uiPriority w:val="99"/>
    <w:rPr>
      <w:rFonts w:cs="Times New Roman"/>
      <w:b/>
      <w:bCs/>
    </w:rPr>
  </w:style>
  <w:style w:type="character" w:styleId="7">
    <w:name w:val="page number"/>
    <w:basedOn w:val="5"/>
    <w:qFormat/>
    <w:uiPriority w:val="99"/>
    <w:rPr>
      <w:rFonts w:cs="Times New Roman"/>
    </w:rPr>
  </w:style>
  <w:style w:type="character" w:styleId="8">
    <w:name w:val="Hyperlink"/>
    <w:basedOn w:val="5"/>
    <w:qFormat/>
    <w:uiPriority w:val="99"/>
    <w:rPr>
      <w:rFonts w:cs="Times New Roman"/>
      <w:u w:val="single"/>
    </w:rPr>
  </w:style>
  <w:style w:type="character" w:customStyle="1" w:styleId="10">
    <w:name w:val="Heading 1 Char"/>
    <w:basedOn w:val="5"/>
    <w:link w:val="2"/>
    <w:qFormat/>
    <w:locked/>
    <w:uiPriority w:val="99"/>
    <w:rPr>
      <w:rFonts w:cs="Times New Roman"/>
      <w:b/>
      <w:bCs/>
      <w:kern w:val="44"/>
      <w:sz w:val="44"/>
      <w:szCs w:val="44"/>
      <w:lang w:eastAsia="en-US"/>
    </w:rPr>
  </w:style>
  <w:style w:type="table" w:customStyle="1" w:styleId="11">
    <w:name w:val="Table Normal1"/>
    <w:qFormat/>
    <w:uiPriority w:val="99"/>
    <w:rPr>
      <w:kern w:val="0"/>
      <w:sz w:val="20"/>
      <w:szCs w:val="20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页眉1"/>
    <w:qFormat/>
    <w:uiPriority w:val="99"/>
    <w:pPr>
      <w:framePr w:wrap="around" w:vAnchor="margin" w:hAnchor="text" w:y="1"/>
      <w:widowControl w:val="0"/>
      <w:pBdr>
        <w:bottom w:val="single" w:color="000000" w:sz="6" w:space="0"/>
      </w:pBdr>
      <w:tabs>
        <w:tab w:val="center" w:pos="4153"/>
        <w:tab w:val="right" w:pos="8306"/>
      </w:tabs>
      <w:jc w:val="center"/>
    </w:pPr>
    <w:rPr>
      <w:rFonts w:ascii="Times New Roman" w:hAnsi="Times New Roman" w:eastAsia="宋体" w:cs="Arial Unicode MS"/>
      <w:color w:val="000000"/>
      <w:kern w:val="2"/>
      <w:sz w:val="18"/>
      <w:szCs w:val="18"/>
      <w:u w:color="000000"/>
      <w:lang w:val="en-US" w:eastAsia="zh-CN" w:bidi="ar-SA"/>
    </w:rPr>
  </w:style>
  <w:style w:type="paragraph" w:customStyle="1" w:styleId="13">
    <w:name w:val="页脚1"/>
    <w:qFormat/>
    <w:uiPriority w:val="99"/>
    <w:pPr>
      <w:framePr w:wrap="around" w:vAnchor="margin" w:hAnchor="text" w:y="1"/>
      <w:widowControl w:val="0"/>
      <w:tabs>
        <w:tab w:val="center" w:pos="4153"/>
        <w:tab w:val="right" w:pos="8306"/>
      </w:tabs>
    </w:pPr>
    <w:rPr>
      <w:rFonts w:ascii="Arial Unicode MS" w:hAnsi="Arial Unicode MS" w:eastAsia="宋体" w:cs="Arial Unicode MS"/>
      <w:color w:val="000000"/>
      <w:kern w:val="2"/>
      <w:sz w:val="18"/>
      <w:szCs w:val="18"/>
      <w:u w:color="000000"/>
      <w:lang w:val="zh-TW" w:eastAsia="zh-TW" w:bidi="ar-SA"/>
    </w:rPr>
  </w:style>
  <w:style w:type="paragraph" w:customStyle="1" w:styleId="14">
    <w:name w:val="默认"/>
    <w:qFormat/>
    <w:uiPriority w:val="99"/>
    <w:pPr>
      <w:framePr w:wrap="around" w:vAnchor="margin" w:hAnchor="text" w:y="1"/>
    </w:pPr>
    <w:rPr>
      <w:rFonts w:ascii="Helvetica Neue" w:hAnsi="Helvetica Neue" w:eastAsia="宋体" w:cs="Arial Unicode MS"/>
      <w:color w:val="000000"/>
      <w:kern w:val="0"/>
      <w:sz w:val="22"/>
      <w:szCs w:val="22"/>
      <w:u w:color="000000"/>
      <w:lang w:val="en-US" w:eastAsia="zh-CN" w:bidi="ar-SA"/>
    </w:rPr>
  </w:style>
  <w:style w:type="character" w:customStyle="1" w:styleId="15">
    <w:name w:val="Header Char"/>
    <w:basedOn w:val="5"/>
    <w:link w:val="4"/>
    <w:semiHidden/>
    <w:qFormat/>
    <w:locked/>
    <w:uiPriority w:val="99"/>
    <w:rPr>
      <w:rFonts w:cs="Times New Roman"/>
      <w:kern w:val="0"/>
      <w:sz w:val="18"/>
      <w:szCs w:val="18"/>
      <w:lang w:eastAsia="en-US"/>
    </w:rPr>
  </w:style>
  <w:style w:type="character" w:customStyle="1" w:styleId="16">
    <w:name w:val="Footer Char"/>
    <w:basedOn w:val="5"/>
    <w:link w:val="3"/>
    <w:semiHidden/>
    <w:qFormat/>
    <w:locked/>
    <w:uiPriority w:val="99"/>
    <w:rPr>
      <w:rFonts w:cs="Times New Roman"/>
      <w:kern w:val="0"/>
      <w:sz w:val="18"/>
      <w:szCs w:val="18"/>
      <w:lang w:eastAsia="en-US"/>
    </w:rPr>
  </w:style>
  <w:style w:type="character" w:customStyle="1" w:styleId="17">
    <w:name w:val="Header Char1"/>
    <w:basedOn w:val="5"/>
    <w:link w:val="4"/>
    <w:qFormat/>
    <w:locked/>
    <w:uiPriority w:val="99"/>
    <w:rPr>
      <w:rFonts w:cs="Times New Roman"/>
      <w:sz w:val="18"/>
      <w:szCs w:val="18"/>
      <w:lang w:val="en-US" w:eastAsia="en-US" w:bidi="ar-SA"/>
    </w:rPr>
  </w:style>
  <w:style w:type="paragraph" w:customStyle="1" w:styleId="18">
    <w:name w:val="正文 A"/>
    <w:qFormat/>
    <w:uiPriority w:val="99"/>
    <w:pPr>
      <w:widowControl w:val="0"/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  <w:jc w:val="both"/>
    </w:pPr>
    <w:rPr>
      <w:rFonts w:ascii="Arial Unicode MS" w:hAnsi="Arial Unicode MS" w:eastAsia="宋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9">
    <w:name w:val="Heading 1 Char1"/>
    <w:basedOn w:val="5"/>
    <w:link w:val="2"/>
    <w:qFormat/>
    <w:locked/>
    <w:uiPriority w:val="99"/>
    <w:rPr>
      <w:rFonts w:ascii="宋体" w:hAnsi="宋体" w:eastAsia="宋体" w:cs="宋体"/>
      <w:b/>
      <w:bCs/>
      <w:kern w:val="36"/>
      <w:sz w:val="48"/>
      <w:szCs w:val="48"/>
      <w:lang w:val="en-US" w:eastAsia="zh-CN" w:bidi="ar-SA"/>
    </w:rPr>
  </w:style>
  <w:style w:type="paragraph" w:customStyle="1" w:styleId="20">
    <w:name w:val="默认段落字体 Para Char Char Char Char"/>
    <w:basedOn w:val="1"/>
    <w:qFormat/>
    <w:uiPriority w:val="99"/>
    <w:pPr>
      <w:widowControl w:val="0"/>
      <w:jc w:val="both"/>
    </w:pPr>
    <w:rPr>
      <w:kern w:val="2"/>
      <w:sz w:val="21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9" Type="http://schemas.openxmlformats.org/officeDocument/2006/relationships/image" Target="media/image10.png"/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36" Type="http://schemas.openxmlformats.org/officeDocument/2006/relationships/image" Target="media/image37.png"/><Relationship Id="rId35" Type="http://schemas.openxmlformats.org/officeDocument/2006/relationships/image" Target="media/image36.png"/><Relationship Id="rId34" Type="http://schemas.openxmlformats.org/officeDocument/2006/relationships/image" Target="media/image35.png"/><Relationship Id="rId33" Type="http://schemas.openxmlformats.org/officeDocument/2006/relationships/image" Target="media/image34.png"/><Relationship Id="rId32" Type="http://schemas.openxmlformats.org/officeDocument/2006/relationships/image" Target="media/image33.png"/><Relationship Id="rId31" Type="http://schemas.openxmlformats.org/officeDocument/2006/relationships/image" Target="media/image32.png"/><Relationship Id="rId30" Type="http://schemas.openxmlformats.org/officeDocument/2006/relationships/image" Target="media/image31.png"/><Relationship Id="rId3" Type="http://schemas.openxmlformats.org/officeDocument/2006/relationships/image" Target="media/image4.png"/><Relationship Id="rId29" Type="http://schemas.openxmlformats.org/officeDocument/2006/relationships/image" Target="media/image30.png"/><Relationship Id="rId28" Type="http://schemas.openxmlformats.org/officeDocument/2006/relationships/image" Target="media/image29.png"/><Relationship Id="rId27" Type="http://schemas.openxmlformats.org/officeDocument/2006/relationships/image" Target="media/image28.png"/><Relationship Id="rId26" Type="http://schemas.openxmlformats.org/officeDocument/2006/relationships/image" Target="media/image27.png"/><Relationship Id="rId25" Type="http://schemas.openxmlformats.org/officeDocument/2006/relationships/image" Target="media/image26.png"/><Relationship Id="rId24" Type="http://schemas.openxmlformats.org/officeDocument/2006/relationships/image" Target="media/image25.png"/><Relationship Id="rId23" Type="http://schemas.openxmlformats.org/officeDocument/2006/relationships/image" Target="media/image24.png"/><Relationship Id="rId22" Type="http://schemas.openxmlformats.org/officeDocument/2006/relationships/image" Target="media/image23.png"/><Relationship Id="rId21" Type="http://schemas.openxmlformats.org/officeDocument/2006/relationships/image" Target="media/image22.png"/><Relationship Id="rId20" Type="http://schemas.openxmlformats.org/officeDocument/2006/relationships/image" Target="media/image21.png"/><Relationship Id="rId2" Type="http://schemas.openxmlformats.org/officeDocument/2006/relationships/image" Target="media/image3.png"/><Relationship Id="rId19" Type="http://schemas.openxmlformats.org/officeDocument/2006/relationships/image" Target="media/image20.png"/><Relationship Id="rId18" Type="http://schemas.openxmlformats.org/officeDocument/2006/relationships/image" Target="media/image19.png"/><Relationship Id="rId17" Type="http://schemas.openxmlformats.org/officeDocument/2006/relationships/image" Target="media/image18.png"/><Relationship Id="rId16" Type="http://schemas.openxmlformats.org/officeDocument/2006/relationships/image" Target="media/image17.png"/><Relationship Id="rId15" Type="http://schemas.openxmlformats.org/officeDocument/2006/relationships/image" Target="media/image16.png"/><Relationship Id="rId14" Type="http://schemas.openxmlformats.org/officeDocument/2006/relationships/image" Target="media/image15.png"/><Relationship Id="rId13" Type="http://schemas.openxmlformats.org/officeDocument/2006/relationships/image" Target="media/image14.png"/><Relationship Id="rId12" Type="http://schemas.openxmlformats.org/officeDocument/2006/relationships/image" Target="media/image13.png"/><Relationship Id="rId11" Type="http://schemas.openxmlformats.org/officeDocument/2006/relationships/image" Target="media/image12.png"/><Relationship Id="rId10" Type="http://schemas.openxmlformats.org/officeDocument/2006/relationships/image" Target="media/image1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6</Pages>
  <Words>607</Words>
  <Characters>3462</Characters>
  <Lines>0</Lines>
  <Paragraphs>0</Paragraphs>
  <TotalTime>12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2018-11-08T07:01:00Z</dcterms:created>
  <dc:creator>Administrator</dc:creator>
  <cp:lastModifiedBy>19152</cp:lastModifiedBy>
  <dcterms:modified xsi:type="dcterms:W3CDTF">2018-12-17T05:08:04Z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