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b w:val="0"/>
          <w:sz w:val="20"/>
        </w:rPr>
      </w:pPr>
    </w:p>
    <w:p>
      <w:pPr>
        <w:pStyle w:val="BodyText"/>
        <w:rPr>
          <w:rFonts w:ascii="Times New Roman"/>
          <w:b w:val="0"/>
          <w:sz w:val="20"/>
        </w:rPr>
      </w:pPr>
    </w:p>
    <w:p>
      <w:pPr>
        <w:pStyle w:val="BodyText"/>
        <w:spacing w:before="7"/>
        <w:rPr>
          <w:rFonts w:ascii="Times New Roman"/>
          <w:b w:val="0"/>
          <w:sz w:val="18"/>
        </w:rPr>
      </w:pPr>
    </w:p>
    <w:p>
      <w:pPr>
        <w:pStyle w:val="Heading1"/>
        <w:spacing w:line="758" w:lineRule="exact"/>
        <w:ind w:right="1196"/>
      </w:pPr>
      <w:r>
        <w:rPr>
          <w:color w:val="0B6A75"/>
        </w:rPr>
        <w:t>比利时列日大学 HEC 列日高商管理学院</w:t>
      </w:r>
    </w:p>
    <w:p>
      <w:pPr>
        <w:spacing w:before="127"/>
        <w:ind w:left="566" w:right="1182" w:firstLine="0"/>
        <w:jc w:val="center"/>
        <w:rPr>
          <w:b/>
          <w:sz w:val="44"/>
        </w:rPr>
      </w:pPr>
      <w:r>
        <w:rPr>
          <w:b/>
          <w:color w:val="0B6A75"/>
          <w:w w:val="90"/>
          <w:sz w:val="44"/>
        </w:rPr>
        <w:t>Executive Master in Finance</w:t>
      </w:r>
    </w:p>
    <w:p>
      <w:pPr>
        <w:spacing w:line="278" w:lineRule="auto" w:before="126"/>
        <w:ind w:left="2233" w:right="2869" w:firstLine="0"/>
        <w:jc w:val="center"/>
        <w:rPr>
          <w:b/>
          <w:sz w:val="44"/>
        </w:rPr>
      </w:pPr>
      <w:r>
        <w:rPr>
          <w:b/>
          <w:color w:val="0B6A75"/>
          <w:w w:val="95"/>
          <w:sz w:val="44"/>
        </w:rPr>
        <w:t>（EMF 金融管理硕士） </w:t>
      </w:r>
      <w:r>
        <w:rPr>
          <w:b/>
          <w:color w:val="0B6A75"/>
          <w:sz w:val="44"/>
        </w:rPr>
        <w:t>招生简章</w:t>
      </w:r>
    </w:p>
    <w:p>
      <w:pPr>
        <w:pStyle w:val="BodyText"/>
        <w:rPr>
          <w:sz w:val="20"/>
        </w:rPr>
      </w:pPr>
    </w:p>
    <w:p>
      <w:pPr>
        <w:pStyle w:val="BodyText"/>
        <w:rPr>
          <w:sz w:val="20"/>
        </w:rPr>
      </w:pPr>
    </w:p>
    <w:p>
      <w:pPr>
        <w:pStyle w:val="BodyText"/>
        <w:spacing w:before="14"/>
        <w:rPr>
          <w:sz w:val="26"/>
        </w:rPr>
      </w:pPr>
      <w:r>
        <w:rPr/>
        <w:drawing>
          <wp:anchor distT="0" distB="0" distL="0" distR="0" allowOverlap="1" layoutInCell="1" locked="0" behindDoc="0" simplePos="0" relativeHeight="0">
            <wp:simplePos x="0" y="0"/>
            <wp:positionH relativeFrom="page">
              <wp:posOffset>1031239</wp:posOffset>
            </wp:positionH>
            <wp:positionV relativeFrom="paragraph">
              <wp:posOffset>337545</wp:posOffset>
            </wp:positionV>
            <wp:extent cx="5891554" cy="4331208"/>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5891554" cy="4331208"/>
                    </a:xfrm>
                    <a:prstGeom prst="rect">
                      <a:avLst/>
                    </a:prstGeom>
                  </pic:spPr>
                </pic:pic>
              </a:graphicData>
            </a:graphic>
          </wp:anchor>
        </w:drawing>
      </w:r>
    </w:p>
    <w:p>
      <w:pPr>
        <w:pStyle w:val="BodyText"/>
        <w:spacing w:before="2"/>
        <w:rPr>
          <w:sz w:val="6"/>
        </w:rPr>
      </w:pPr>
    </w:p>
    <w:p>
      <w:pPr>
        <w:spacing w:line="938" w:lineRule="exact" w:before="0"/>
        <w:ind w:left="566" w:right="968" w:firstLine="0"/>
        <w:jc w:val="center"/>
        <w:rPr>
          <w:b/>
          <w:sz w:val="56"/>
        </w:rPr>
      </w:pPr>
      <w:r>
        <w:rPr>
          <w:b/>
          <w:color w:val="0B6A75"/>
          <w:sz w:val="56"/>
        </w:rPr>
        <w:t>2019 金融类硕士热门专业</w:t>
      </w:r>
    </w:p>
    <w:p>
      <w:pPr>
        <w:spacing w:after="0" w:line="938" w:lineRule="exact"/>
        <w:jc w:val="center"/>
        <w:rPr>
          <w:sz w:val="56"/>
        </w:rPr>
        <w:sectPr>
          <w:headerReference w:type="default" r:id="rId5"/>
          <w:type w:val="continuous"/>
          <w:pgSz w:w="11910" w:h="16840"/>
          <w:pgMar w:header="890" w:top="1820" w:bottom="280" w:left="1520" w:right="880"/>
        </w:sectPr>
      </w:pPr>
    </w:p>
    <w:p>
      <w:pPr>
        <w:pStyle w:val="BodyText"/>
        <w:spacing w:before="16"/>
        <w:rPr>
          <w:sz w:val="20"/>
        </w:rPr>
      </w:pPr>
    </w:p>
    <w:p>
      <w:pPr>
        <w:pStyle w:val="Heading2"/>
      </w:pPr>
      <w:r>
        <w:rPr>
          <w:color w:val="0B6A75"/>
        </w:rPr>
        <w:t>【学校介绍】</w:t>
      </w:r>
    </w:p>
    <w:p>
      <w:pPr>
        <w:pStyle w:val="BodyText"/>
        <w:spacing w:before="17"/>
        <w:rPr>
          <w:sz w:val="16"/>
        </w:rPr>
      </w:pPr>
    </w:p>
    <w:p>
      <w:pPr>
        <w:pStyle w:val="BodyText"/>
        <w:spacing w:line="288" w:lineRule="auto"/>
        <w:ind w:left="280" w:right="801" w:firstLine="372"/>
      </w:pPr>
      <w:r>
        <w:rPr>
          <w:color w:val="0B6A75"/>
          <w:spacing w:val="-1"/>
        </w:rPr>
        <w:t>比利时国立列日大学建于 </w:t>
      </w:r>
      <w:r>
        <w:rPr>
          <w:color w:val="0B6A75"/>
        </w:rPr>
        <w:t>1817</w:t>
      </w:r>
      <w:r>
        <w:rPr>
          <w:color w:val="0B6A75"/>
          <w:spacing w:val="-3"/>
        </w:rPr>
        <w:t> 年，历史悠久，是欧洲最早成立的、公立高等学府之一。在人类经济文化发达的欧洲，被视作镶嵌在欧洲心脏的瑰宝，积 </w:t>
      </w:r>
      <w:r>
        <w:rPr>
          <w:color w:val="0B6A75"/>
          <w:spacing w:val="-4"/>
        </w:rPr>
        <w:t>淀丰沛，人才辈出。二百年的发展历程，为欧洲和全世界培养了无数优秀人才， </w:t>
      </w:r>
      <w:r>
        <w:rPr>
          <w:color w:val="0B6A75"/>
        </w:rPr>
        <w:t>产生过数位诺贝尔奖获得者，使其成为人文丰富、教学水平高超、科研实力超 一流的世界级综合大学。</w:t>
      </w:r>
    </w:p>
    <w:p>
      <w:pPr>
        <w:pStyle w:val="BodyText"/>
        <w:spacing w:line="285" w:lineRule="auto"/>
        <w:ind w:left="280" w:right="920" w:firstLine="480"/>
      </w:pPr>
      <w:r>
        <w:rPr>
          <w:color w:val="0B6A75"/>
        </w:rPr>
        <w:t>列日大学是比利时“瓦隆-欧洲大学院”的联盟成员，参与欧洲和国际多项重大研究计划，尤其在生物医学、太空航天、天文学、管理学、经济学、心理学、哲学等领域，研究成果举世瞩目。列日大学也是欧洲顶尖工科大学联盟（ Top Industrial Managers for Europe, 简称：T.I.M.E 联盟）重要成员之一。</w:t>
      </w:r>
    </w:p>
    <w:p>
      <w:pPr>
        <w:pStyle w:val="BodyText"/>
        <w:spacing w:line="288" w:lineRule="auto"/>
        <w:ind w:left="760" w:right="1090" w:hanging="10"/>
      </w:pPr>
      <w:r>
        <w:rPr>
          <w:color w:val="0B6A75"/>
        </w:rPr>
        <w:t>列日大学孔子学院是中国国务院汉办最早于欧洲成立的孔子学院之一。 </w:t>
      </w:r>
      <w:r>
        <w:rPr>
          <w:color w:val="0B6A75"/>
          <w:w w:val="95"/>
        </w:rPr>
        <w:t>大学现有在校生 20,000 多人，4000 多位教职成员。仅学位课程，就有 38</w:t>
      </w:r>
    </w:p>
    <w:p>
      <w:pPr>
        <w:pStyle w:val="BodyText"/>
        <w:spacing w:line="436" w:lineRule="exact"/>
        <w:ind w:left="280"/>
      </w:pPr>
      <w:r>
        <w:rPr>
          <w:color w:val="0B6A75"/>
        </w:rPr>
        <w:t>种学士，93 种硕士和 68 种进阶硕士，以及 18 种博士及博士后课程。</w:t>
      </w:r>
    </w:p>
    <w:p>
      <w:pPr>
        <w:pStyle w:val="BodyText"/>
        <w:spacing w:before="12"/>
        <w:rPr>
          <w:sz w:val="26"/>
        </w:rPr>
      </w:pPr>
      <w:r>
        <w:rPr/>
        <w:drawing>
          <wp:anchor distT="0" distB="0" distL="0" distR="0" allowOverlap="1" layoutInCell="1" locked="0" behindDoc="0" simplePos="0" relativeHeight="1">
            <wp:simplePos x="0" y="0"/>
            <wp:positionH relativeFrom="page">
              <wp:posOffset>1157605</wp:posOffset>
            </wp:positionH>
            <wp:positionV relativeFrom="paragraph">
              <wp:posOffset>336477</wp:posOffset>
            </wp:positionV>
            <wp:extent cx="5603552" cy="3389376"/>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5603552" cy="3389376"/>
                    </a:xfrm>
                    <a:prstGeom prst="rect">
                      <a:avLst/>
                    </a:prstGeom>
                  </pic:spPr>
                </pic:pic>
              </a:graphicData>
            </a:graphic>
          </wp:anchor>
        </w:drawing>
      </w:r>
    </w:p>
    <w:p>
      <w:pPr>
        <w:spacing w:after="0"/>
        <w:rPr>
          <w:sz w:val="26"/>
        </w:rPr>
        <w:sectPr>
          <w:pgSz w:w="11910" w:h="16840"/>
          <w:pgMar w:header="890" w:footer="0" w:top="1820" w:bottom="280" w:left="1520" w:right="880"/>
        </w:sectPr>
      </w:pPr>
    </w:p>
    <w:p>
      <w:pPr>
        <w:pStyle w:val="BodyText"/>
        <w:spacing w:line="285" w:lineRule="auto" w:before="104"/>
        <w:ind w:left="280" w:right="801" w:firstLine="480"/>
        <w:jc w:val="both"/>
      </w:pPr>
      <w:r>
        <w:rPr>
          <w:color w:val="0B6A75"/>
          <w:w w:val="95"/>
        </w:rPr>
        <w:t>“列日大学HEC 列日高商管理学院”前身系成立于 1898 年的HEC 列日高商， </w:t>
      </w:r>
      <w:r>
        <w:rPr>
          <w:color w:val="0B6A75"/>
        </w:rPr>
        <w:t>经过一百多年的发展，于本世纪初与比利时公立列日大学合并。</w:t>
      </w:r>
    </w:p>
    <w:p>
      <w:pPr>
        <w:pStyle w:val="BodyText"/>
        <w:spacing w:line="288" w:lineRule="auto" w:before="3"/>
        <w:ind w:left="280" w:right="921" w:firstLine="480"/>
        <w:jc w:val="both"/>
      </w:pPr>
      <w:r>
        <w:rPr/>
        <w:drawing>
          <wp:anchor distT="0" distB="0" distL="0" distR="0" allowOverlap="1" layoutInCell="1" locked="0" behindDoc="0" simplePos="0" relativeHeight="2">
            <wp:simplePos x="0" y="0"/>
            <wp:positionH relativeFrom="page">
              <wp:posOffset>1224069</wp:posOffset>
            </wp:positionH>
            <wp:positionV relativeFrom="paragraph">
              <wp:posOffset>1705425</wp:posOffset>
            </wp:positionV>
            <wp:extent cx="5517472" cy="3745991"/>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5517472" cy="3745991"/>
                    </a:xfrm>
                    <a:prstGeom prst="rect">
                      <a:avLst/>
                    </a:prstGeom>
                  </pic:spPr>
                </pic:pic>
              </a:graphicData>
            </a:graphic>
          </wp:anchor>
        </w:drawing>
      </w:r>
      <w:r>
        <w:rPr>
          <w:color w:val="0B6A75"/>
          <w:spacing w:val="-3"/>
        </w:rPr>
        <w:t>如今，列日大学 </w:t>
      </w:r>
      <w:r>
        <w:rPr>
          <w:color w:val="0B6A75"/>
        </w:rPr>
        <w:t>HEC</w:t>
      </w:r>
      <w:r>
        <w:rPr>
          <w:color w:val="0B6A75"/>
          <w:spacing w:val="-4"/>
        </w:rPr>
        <w:t> 列日高商管理学院已成为列日大学独立核算的最大学院之一。学院本部位于列日市市中心，教学与科研实力领先欧洲，师资力量雄</w:t>
      </w:r>
      <w:r>
        <w:rPr>
          <w:color w:val="0B6A75"/>
          <w:spacing w:val="-8"/>
        </w:rPr>
        <w:t>厚，管理严格，是全球罕有、连续多年获得欧洲最严格质量认证体系 </w:t>
      </w:r>
      <w:r>
        <w:rPr>
          <w:color w:val="0B6A75"/>
        </w:rPr>
        <w:t>EPAS</w:t>
      </w:r>
      <w:r>
        <w:rPr>
          <w:color w:val="0B6A75"/>
          <w:spacing w:val="-12"/>
        </w:rPr>
        <w:t> 国际</w:t>
      </w:r>
      <w:r>
        <w:rPr>
          <w:color w:val="0B6A75"/>
          <w:spacing w:val="-2"/>
          <w:w w:val="95"/>
        </w:rPr>
        <w:t>认证的高等管理学院之一，是“欧洲管理发展基金会”</w:t>
      </w:r>
      <w:r>
        <w:rPr>
          <w:color w:val="0B6A75"/>
          <w:w w:val="95"/>
        </w:rPr>
        <w:t>（EQUIS）</w:t>
      </w:r>
      <w:r>
        <w:rPr>
          <w:color w:val="0B6A75"/>
          <w:spacing w:val="-3"/>
          <w:w w:val="95"/>
        </w:rPr>
        <w:t>认证院校，并   </w:t>
      </w:r>
      <w:r>
        <w:rPr>
          <w:color w:val="0B6A75"/>
          <w:spacing w:val="-1"/>
        </w:rPr>
        <w:t>同时获得最负盛名的国际高等商学院协会 </w:t>
      </w:r>
      <w:r>
        <w:rPr>
          <w:color w:val="0B6A75"/>
        </w:rPr>
        <w:t>AACSB</w:t>
      </w:r>
      <w:r>
        <w:rPr>
          <w:color w:val="0B6A75"/>
          <w:spacing w:val="-2"/>
        </w:rPr>
        <w:t> 认证。</w:t>
      </w:r>
    </w:p>
    <w:p>
      <w:pPr>
        <w:pStyle w:val="Heading2"/>
        <w:spacing w:before="88"/>
      </w:pPr>
      <w:r>
        <w:rPr>
          <w:color w:val="0B6A75"/>
        </w:rPr>
        <w:t>【列日大学排名】</w:t>
      </w:r>
    </w:p>
    <w:p>
      <w:pPr>
        <w:pStyle w:val="ListParagraph"/>
        <w:numPr>
          <w:ilvl w:val="0"/>
          <w:numId w:val="1"/>
        </w:numPr>
        <w:tabs>
          <w:tab w:pos="699" w:val="left" w:leader="none"/>
          <w:tab w:pos="700" w:val="left" w:leader="none"/>
        </w:tabs>
        <w:spacing w:line="285" w:lineRule="auto" w:before="107" w:after="0"/>
        <w:ind w:left="700" w:right="921" w:hanging="420"/>
        <w:jc w:val="left"/>
        <w:rPr>
          <w:b/>
          <w:sz w:val="24"/>
        </w:rPr>
      </w:pPr>
      <w:r>
        <w:rPr>
          <w:b/>
          <w:color w:val="0B6A75"/>
          <w:w w:val="95"/>
          <w:sz w:val="24"/>
        </w:rPr>
        <w:t>超前世界排名——2018-2019</w:t>
      </w:r>
      <w:r>
        <w:rPr>
          <w:b/>
          <w:color w:val="0B6A75"/>
          <w:spacing w:val="1"/>
          <w:w w:val="95"/>
          <w:sz w:val="24"/>
        </w:rPr>
        <w:t> 世界大学排名中心 </w:t>
      </w:r>
      <w:r>
        <w:rPr>
          <w:b/>
          <w:color w:val="0B6A75"/>
          <w:w w:val="95"/>
          <w:sz w:val="24"/>
        </w:rPr>
        <w:t>CWUR</w:t>
      </w:r>
      <w:r>
        <w:rPr>
          <w:b/>
          <w:color w:val="0B6A75"/>
          <w:spacing w:val="2"/>
          <w:w w:val="95"/>
          <w:sz w:val="24"/>
        </w:rPr>
        <w:t> 排名第 </w:t>
      </w:r>
      <w:r>
        <w:rPr>
          <w:b/>
          <w:color w:val="0B6A75"/>
          <w:w w:val="95"/>
          <w:sz w:val="24"/>
        </w:rPr>
        <w:t>206</w:t>
      </w:r>
      <w:r>
        <w:rPr>
          <w:b/>
          <w:color w:val="0B6A75"/>
          <w:spacing w:val="-7"/>
          <w:w w:val="95"/>
          <w:sz w:val="24"/>
        </w:rPr>
        <w:t> 位，排在</w:t>
      </w:r>
      <w:r>
        <w:rPr>
          <w:b/>
          <w:color w:val="0B6A75"/>
          <w:spacing w:val="-9"/>
          <w:sz w:val="24"/>
        </w:rPr>
        <w:t>其前面的中国大学仅有 </w:t>
      </w:r>
      <w:r>
        <w:rPr>
          <w:b/>
          <w:color w:val="0B6A75"/>
          <w:sz w:val="24"/>
        </w:rPr>
        <w:t>8</w:t>
      </w:r>
      <w:r>
        <w:rPr>
          <w:b/>
          <w:color w:val="0B6A75"/>
          <w:spacing w:val="-7"/>
          <w:sz w:val="24"/>
        </w:rPr>
        <w:t> 所；</w:t>
      </w:r>
      <w:hyperlink r:id="rId9">
        <w:r>
          <w:rPr>
            <w:b/>
            <w:color w:val="0B6A75"/>
            <w:sz w:val="24"/>
            <w:u w:val="single" w:color="0B6A75"/>
          </w:rPr>
          <w:t>https://cwur.org/2018-19.php</w:t>
        </w:r>
      </w:hyperlink>
    </w:p>
    <w:p>
      <w:pPr>
        <w:pStyle w:val="ListParagraph"/>
        <w:numPr>
          <w:ilvl w:val="0"/>
          <w:numId w:val="1"/>
        </w:numPr>
        <w:tabs>
          <w:tab w:pos="699" w:val="left" w:leader="none"/>
          <w:tab w:pos="700" w:val="left" w:leader="none"/>
        </w:tabs>
        <w:spacing w:line="288" w:lineRule="auto" w:before="4" w:after="0"/>
        <w:ind w:left="700" w:right="1113" w:hanging="420"/>
        <w:jc w:val="left"/>
        <w:rPr>
          <w:b/>
          <w:sz w:val="24"/>
        </w:rPr>
      </w:pPr>
      <w:r>
        <w:rPr>
          <w:b/>
          <w:color w:val="0B6A75"/>
          <w:w w:val="95"/>
          <w:sz w:val="24"/>
        </w:rPr>
        <w:t>2018</w:t>
      </w:r>
      <w:r>
        <w:rPr>
          <w:b/>
          <w:color w:val="0B6A75"/>
          <w:spacing w:val="8"/>
          <w:w w:val="95"/>
          <w:sz w:val="24"/>
        </w:rPr>
        <w:t> 年“</w:t>
      </w:r>
      <w:r>
        <w:rPr>
          <w:b/>
          <w:color w:val="0B6A75"/>
          <w:w w:val="95"/>
          <w:sz w:val="24"/>
        </w:rPr>
        <w:t>QS</w:t>
      </w:r>
      <w:r>
        <w:rPr>
          <w:b/>
          <w:color w:val="0B6A75"/>
          <w:spacing w:val="3"/>
          <w:w w:val="95"/>
          <w:sz w:val="24"/>
        </w:rPr>
        <w:t> 世界大学综合排名 </w:t>
      </w:r>
      <w:r>
        <w:rPr>
          <w:b/>
          <w:color w:val="0B6A75"/>
          <w:w w:val="95"/>
          <w:sz w:val="24"/>
        </w:rPr>
        <w:t>319</w:t>
      </w:r>
      <w:r>
        <w:rPr>
          <w:b/>
          <w:color w:val="0B6A75"/>
          <w:spacing w:val="1"/>
          <w:w w:val="95"/>
          <w:sz w:val="24"/>
        </w:rPr>
        <w:t> 位”，排在其前面的中国大学只有 </w:t>
      </w:r>
      <w:r>
        <w:rPr>
          <w:b/>
          <w:color w:val="0B6A75"/>
          <w:spacing w:val="-6"/>
          <w:w w:val="95"/>
          <w:sz w:val="24"/>
        </w:rPr>
        <w:t>22 </w:t>
      </w:r>
      <w:r>
        <w:rPr>
          <w:b/>
          <w:color w:val="0B6A75"/>
          <w:sz w:val="24"/>
        </w:rPr>
        <w:t>所；QS</w:t>
      </w:r>
      <w:r>
        <w:rPr>
          <w:b/>
          <w:color w:val="0B6A75"/>
          <w:spacing w:val="-1"/>
          <w:sz w:val="24"/>
        </w:rPr>
        <w:t> 世界 </w:t>
      </w:r>
      <w:r>
        <w:rPr>
          <w:b/>
          <w:color w:val="0B6A75"/>
          <w:sz w:val="24"/>
        </w:rPr>
        <w:t>500</w:t>
      </w:r>
      <w:r>
        <w:rPr>
          <w:b/>
          <w:color w:val="0B6A75"/>
          <w:spacing w:val="-3"/>
          <w:sz w:val="24"/>
        </w:rPr>
        <w:t> 强大学，中国仅有 </w:t>
      </w:r>
      <w:r>
        <w:rPr>
          <w:b/>
          <w:color w:val="0B6A75"/>
          <w:sz w:val="24"/>
        </w:rPr>
        <w:t>38</w:t>
      </w:r>
      <w:r>
        <w:rPr>
          <w:b/>
          <w:color w:val="0B6A75"/>
          <w:spacing w:val="-2"/>
          <w:sz w:val="24"/>
        </w:rPr>
        <w:t> 所；</w:t>
      </w:r>
    </w:p>
    <w:p>
      <w:pPr>
        <w:pStyle w:val="ListParagraph"/>
        <w:numPr>
          <w:ilvl w:val="0"/>
          <w:numId w:val="1"/>
        </w:numPr>
        <w:tabs>
          <w:tab w:pos="699" w:val="left" w:leader="none"/>
          <w:tab w:pos="700" w:val="left" w:leader="none"/>
        </w:tabs>
        <w:spacing w:line="288" w:lineRule="auto" w:before="0" w:after="0"/>
        <w:ind w:left="700" w:right="1113" w:hanging="420"/>
        <w:jc w:val="left"/>
        <w:rPr>
          <w:b/>
          <w:sz w:val="24"/>
        </w:rPr>
      </w:pPr>
      <w:r>
        <w:rPr>
          <w:b/>
          <w:color w:val="0B6A75"/>
          <w:w w:val="95"/>
          <w:sz w:val="24"/>
        </w:rPr>
        <w:t>2017</w:t>
      </w:r>
      <w:r>
        <w:rPr>
          <w:b/>
          <w:color w:val="0B6A75"/>
          <w:spacing w:val="8"/>
          <w:w w:val="95"/>
          <w:sz w:val="24"/>
        </w:rPr>
        <w:t> 年“</w:t>
      </w:r>
      <w:r>
        <w:rPr>
          <w:b/>
          <w:color w:val="0B6A75"/>
          <w:w w:val="95"/>
          <w:sz w:val="24"/>
        </w:rPr>
        <w:t>QS</w:t>
      </w:r>
      <w:r>
        <w:rPr>
          <w:b/>
          <w:color w:val="0B6A75"/>
          <w:spacing w:val="3"/>
          <w:w w:val="95"/>
          <w:sz w:val="24"/>
        </w:rPr>
        <w:t> 世界大学综合排名 </w:t>
      </w:r>
      <w:r>
        <w:rPr>
          <w:b/>
          <w:color w:val="0B6A75"/>
          <w:w w:val="95"/>
          <w:sz w:val="24"/>
        </w:rPr>
        <w:t>315</w:t>
      </w:r>
      <w:r>
        <w:rPr>
          <w:b/>
          <w:color w:val="0B6A75"/>
          <w:spacing w:val="1"/>
          <w:w w:val="95"/>
          <w:sz w:val="24"/>
        </w:rPr>
        <w:t> 位”，排在其前面的中国大学只有 </w:t>
      </w:r>
      <w:r>
        <w:rPr>
          <w:b/>
          <w:color w:val="0B6A75"/>
          <w:spacing w:val="-6"/>
          <w:w w:val="95"/>
          <w:sz w:val="24"/>
        </w:rPr>
        <w:t>24 </w:t>
      </w:r>
      <w:r>
        <w:rPr>
          <w:b/>
          <w:color w:val="0B6A75"/>
          <w:sz w:val="24"/>
        </w:rPr>
        <w:t>所；QS</w:t>
      </w:r>
      <w:r>
        <w:rPr>
          <w:b/>
          <w:color w:val="0B6A75"/>
          <w:spacing w:val="-1"/>
          <w:sz w:val="24"/>
        </w:rPr>
        <w:t> 世界 </w:t>
      </w:r>
      <w:r>
        <w:rPr>
          <w:b/>
          <w:color w:val="0B6A75"/>
          <w:sz w:val="24"/>
        </w:rPr>
        <w:t>500</w:t>
      </w:r>
      <w:r>
        <w:rPr>
          <w:b/>
          <w:color w:val="0B6A75"/>
          <w:spacing w:val="-3"/>
          <w:sz w:val="24"/>
        </w:rPr>
        <w:t> 强大学，中国仅有 </w:t>
      </w:r>
      <w:r>
        <w:rPr>
          <w:b/>
          <w:color w:val="0B6A75"/>
          <w:sz w:val="24"/>
        </w:rPr>
        <w:t>39</w:t>
      </w:r>
      <w:r>
        <w:rPr>
          <w:b/>
          <w:color w:val="0B6A75"/>
          <w:spacing w:val="-2"/>
          <w:sz w:val="24"/>
        </w:rPr>
        <w:t> 所；</w:t>
      </w:r>
    </w:p>
    <w:p>
      <w:pPr>
        <w:spacing w:after="0" w:line="288" w:lineRule="auto"/>
        <w:jc w:val="left"/>
        <w:rPr>
          <w:sz w:val="24"/>
        </w:rPr>
        <w:sectPr>
          <w:pgSz w:w="11910" w:h="16840"/>
          <w:pgMar w:header="890" w:footer="0" w:top="1820" w:bottom="280" w:left="1520" w:right="880"/>
        </w:sectPr>
      </w:pPr>
    </w:p>
    <w:p>
      <w:pPr>
        <w:pStyle w:val="BodyText"/>
        <w:rPr>
          <w:sz w:val="28"/>
        </w:rPr>
      </w:pPr>
    </w:p>
    <w:p>
      <w:pPr>
        <w:pStyle w:val="BodyText"/>
        <w:ind w:left="293"/>
        <w:rPr>
          <w:b w:val="0"/>
          <w:sz w:val="20"/>
        </w:rPr>
      </w:pPr>
      <w:r>
        <w:rPr>
          <w:b w:val="0"/>
          <w:sz w:val="20"/>
        </w:rPr>
        <w:drawing>
          <wp:inline distT="0" distB="0" distL="0" distR="0">
            <wp:extent cx="5679628" cy="2566416"/>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5679628" cy="2566416"/>
                    </a:xfrm>
                    <a:prstGeom prst="rect">
                      <a:avLst/>
                    </a:prstGeom>
                  </pic:spPr>
                </pic:pic>
              </a:graphicData>
            </a:graphic>
          </wp:inline>
        </w:drawing>
      </w:r>
      <w:r>
        <w:rPr>
          <w:b w:val="0"/>
          <w:sz w:val="20"/>
        </w:rPr>
      </w:r>
    </w:p>
    <w:p>
      <w:pPr>
        <w:pStyle w:val="BodyText"/>
        <w:spacing w:before="11"/>
        <w:rPr>
          <w:sz w:val="29"/>
        </w:rPr>
      </w:pPr>
    </w:p>
    <w:p>
      <w:pPr>
        <w:pStyle w:val="Heading2"/>
        <w:spacing w:before="6"/>
      </w:pPr>
      <w:r>
        <w:rPr>
          <w:color w:val="0B6A75"/>
        </w:rPr>
        <w:t>【HEC 列日高商管理学院资质】</w:t>
      </w:r>
    </w:p>
    <w:p>
      <w:pPr>
        <w:pStyle w:val="BodyText"/>
        <w:spacing w:before="16"/>
        <w:rPr>
          <w:sz w:val="16"/>
        </w:rPr>
      </w:pPr>
    </w:p>
    <w:p>
      <w:pPr>
        <w:pStyle w:val="BodyText"/>
        <w:spacing w:before="1"/>
        <w:ind w:left="1180"/>
      </w:pPr>
      <w:r>
        <w:rPr>
          <w:rFonts w:ascii="宋体" w:hAnsi="宋体" w:eastAsia="宋体" w:hint="eastAsia"/>
          <w:b w:val="0"/>
          <w:color w:val="0B6A75"/>
        </w:rPr>
        <w:t>★ </w:t>
      </w:r>
      <w:r>
        <w:rPr>
          <w:color w:val="0B6A75"/>
        </w:rPr>
        <w:t>获得世界最负盛名的国际高等商学院协会 AACSB 认证；</w:t>
      </w:r>
    </w:p>
    <w:p>
      <w:pPr>
        <w:pStyle w:val="BodyText"/>
        <w:spacing w:before="4"/>
        <w:rPr>
          <w:sz w:val="14"/>
        </w:rPr>
      </w:pPr>
    </w:p>
    <w:p>
      <w:pPr>
        <w:pStyle w:val="BodyText"/>
        <w:ind w:left="1180"/>
      </w:pPr>
      <w:r>
        <w:rPr>
          <w:rFonts w:ascii="宋体" w:hAnsi="宋体" w:eastAsia="宋体" w:hint="eastAsia"/>
          <w:b w:val="0"/>
          <w:color w:val="0B6A75"/>
        </w:rPr>
        <w:t>★ </w:t>
      </w:r>
      <w:r>
        <w:rPr>
          <w:color w:val="0B6A75"/>
        </w:rPr>
        <w:t>获得欧洲管理发展基金会 EQUIS 认证；</w:t>
      </w:r>
    </w:p>
    <w:p>
      <w:pPr>
        <w:pStyle w:val="BodyText"/>
        <w:spacing w:before="4"/>
        <w:rPr>
          <w:sz w:val="14"/>
        </w:rPr>
      </w:pPr>
    </w:p>
    <w:p>
      <w:pPr>
        <w:pStyle w:val="BodyText"/>
        <w:ind w:left="1180"/>
      </w:pPr>
      <w:r>
        <w:rPr>
          <w:rFonts w:ascii="宋体" w:hAnsi="宋体" w:eastAsia="宋体" w:hint="eastAsia"/>
          <w:b w:val="0"/>
          <w:color w:val="0B6A75"/>
        </w:rPr>
        <w:t>★ </w:t>
      </w:r>
      <w:r>
        <w:rPr>
          <w:color w:val="0B6A75"/>
        </w:rPr>
        <w:t>获得欧洲管理发展基金会 EPAS 全体系教学质量认证；</w:t>
      </w:r>
    </w:p>
    <w:p>
      <w:pPr>
        <w:pStyle w:val="BodyText"/>
        <w:spacing w:before="5"/>
        <w:rPr>
          <w:sz w:val="14"/>
        </w:rPr>
      </w:pPr>
    </w:p>
    <w:p>
      <w:pPr>
        <w:pStyle w:val="BodyText"/>
        <w:ind w:left="1180"/>
      </w:pPr>
      <w:r>
        <w:rPr>
          <w:rFonts w:ascii="宋体" w:hAnsi="宋体" w:eastAsia="宋体" w:hint="eastAsia"/>
          <w:b w:val="0"/>
          <w:color w:val="0B6A75"/>
        </w:rPr>
        <w:t>★ </w:t>
      </w:r>
      <w:r>
        <w:rPr>
          <w:color w:val="0B6A75"/>
        </w:rPr>
        <w:t>获得比利时瓦隆地区国际质量认证；</w:t>
      </w:r>
    </w:p>
    <w:p>
      <w:pPr>
        <w:pStyle w:val="BodyText"/>
        <w:spacing w:before="4"/>
        <w:rPr>
          <w:sz w:val="14"/>
        </w:rPr>
      </w:pPr>
    </w:p>
    <w:p>
      <w:pPr>
        <w:pStyle w:val="BodyText"/>
        <w:ind w:left="1180"/>
      </w:pPr>
      <w:r>
        <w:rPr>
          <w:rFonts w:ascii="宋体" w:hAnsi="宋体" w:eastAsia="宋体" w:hint="eastAsia"/>
          <w:b w:val="0"/>
          <w:color w:val="0B6A75"/>
        </w:rPr>
        <w:t>★ </w:t>
      </w:r>
      <w:r>
        <w:rPr>
          <w:color w:val="0B6A75"/>
        </w:rPr>
        <w:t>唯一一所不在法国境内而获得法语区高等大学校认证的优质名校；</w:t>
      </w:r>
    </w:p>
    <w:p>
      <w:pPr>
        <w:pStyle w:val="BodyText"/>
        <w:spacing w:before="5"/>
        <w:rPr>
          <w:sz w:val="14"/>
        </w:rPr>
      </w:pPr>
    </w:p>
    <w:p>
      <w:pPr>
        <w:pStyle w:val="BodyText"/>
        <w:spacing w:line="381" w:lineRule="auto"/>
        <w:ind w:left="700" w:right="855" w:firstLine="480"/>
      </w:pPr>
      <w:r>
        <w:rPr>
          <w:rFonts w:ascii="宋体" w:hAnsi="宋体" w:eastAsia="宋体" w:hint="eastAsia"/>
          <w:b w:val="0"/>
          <w:color w:val="0B6A75"/>
          <w:spacing w:val="-21"/>
          <w:w w:val="95"/>
        </w:rPr>
        <w:t>★ </w:t>
      </w:r>
      <w:r>
        <w:rPr>
          <w:color w:val="0B6A75"/>
          <w:w w:val="95"/>
        </w:rPr>
        <w:t>HEC Pairs（巴黎高商</w:t>
      </w:r>
      <w:r>
        <w:rPr>
          <w:color w:val="0B6A75"/>
          <w:spacing w:val="-12"/>
          <w:w w:val="95"/>
        </w:rPr>
        <w:t>）</w:t>
      </w:r>
      <w:r>
        <w:rPr>
          <w:color w:val="0B6A75"/>
          <w:spacing w:val="-3"/>
          <w:w w:val="95"/>
        </w:rPr>
        <w:t>是欧洲最早获得 </w:t>
      </w:r>
      <w:r>
        <w:rPr>
          <w:color w:val="0B6A75"/>
          <w:w w:val="95"/>
        </w:rPr>
        <w:t>AACSB</w:t>
      </w:r>
      <w:r>
        <w:rPr>
          <w:color w:val="0B6A75"/>
          <w:spacing w:val="-12"/>
          <w:w w:val="95"/>
        </w:rPr>
        <w:t>、</w:t>
      </w:r>
      <w:r>
        <w:rPr>
          <w:color w:val="0B6A75"/>
          <w:w w:val="95"/>
        </w:rPr>
        <w:t>EQUIS</w:t>
      </w:r>
      <w:r>
        <w:rPr>
          <w:color w:val="0B6A75"/>
          <w:spacing w:val="-12"/>
          <w:w w:val="95"/>
        </w:rPr>
        <w:t>、</w:t>
      </w:r>
      <w:r>
        <w:rPr>
          <w:color w:val="0B6A75"/>
          <w:w w:val="95"/>
        </w:rPr>
        <w:t>AMBA</w:t>
      </w:r>
      <w:r>
        <w:rPr>
          <w:color w:val="0B6A75"/>
          <w:spacing w:val="-8"/>
          <w:w w:val="95"/>
        </w:rPr>
        <w:t> 三个</w:t>
      </w:r>
      <w:r>
        <w:rPr>
          <w:color w:val="0B6A75"/>
          <w:spacing w:val="-10"/>
        </w:rPr>
        <w:t>认证的商学院。列日大学 </w:t>
      </w:r>
      <w:r>
        <w:rPr>
          <w:color w:val="0B6A75"/>
        </w:rPr>
        <w:t>HEC</w:t>
      </w:r>
      <w:r>
        <w:rPr>
          <w:color w:val="0B6A75"/>
          <w:spacing w:val="-9"/>
        </w:rPr>
        <w:t> 列日高商冠有 </w:t>
      </w:r>
      <w:r>
        <w:rPr>
          <w:color w:val="0B6A75"/>
        </w:rPr>
        <w:t>HEC</w:t>
      </w:r>
      <w:r>
        <w:rPr>
          <w:color w:val="0B6A75"/>
          <w:spacing w:val="-10"/>
        </w:rPr>
        <w:t> 的品牌，与 </w:t>
      </w:r>
      <w:r>
        <w:rPr>
          <w:color w:val="0B6A75"/>
        </w:rPr>
        <w:t>HEC</w:t>
      </w:r>
      <w:r>
        <w:rPr>
          <w:color w:val="0B6A75"/>
          <w:spacing w:val="-7"/>
        </w:rPr>
        <w:t> 的其它法</w:t>
      </w:r>
      <w:r>
        <w:rPr>
          <w:color w:val="0B6A75"/>
          <w:spacing w:val="-7"/>
          <w:w w:val="95"/>
        </w:rPr>
        <w:t>语区校区（</w:t>
      </w:r>
      <w:r>
        <w:rPr>
          <w:color w:val="0B6A75"/>
          <w:spacing w:val="2"/>
          <w:w w:val="95"/>
        </w:rPr>
        <w:t>瑞士洛桑 </w:t>
      </w:r>
      <w:r>
        <w:rPr>
          <w:color w:val="0B6A75"/>
          <w:w w:val="95"/>
        </w:rPr>
        <w:t>HEC</w:t>
      </w:r>
      <w:r>
        <w:rPr>
          <w:color w:val="0B6A75"/>
          <w:spacing w:val="4"/>
          <w:w w:val="95"/>
        </w:rPr>
        <w:t>、加拿大蒙特利尔 </w:t>
      </w:r>
      <w:r>
        <w:rPr>
          <w:color w:val="0B6A75"/>
          <w:w w:val="95"/>
        </w:rPr>
        <w:t>HEC</w:t>
      </w:r>
      <w:r>
        <w:rPr>
          <w:color w:val="0B6A75"/>
          <w:spacing w:val="4"/>
          <w:w w:val="95"/>
        </w:rPr>
        <w:t>、北非卡莎布兰卡 </w:t>
      </w:r>
      <w:r>
        <w:rPr>
          <w:color w:val="0B6A75"/>
          <w:w w:val="95"/>
        </w:rPr>
        <w:t>HEC</w:t>
      </w:r>
      <w:r>
        <w:rPr>
          <w:color w:val="0B6A75"/>
          <w:spacing w:val="19"/>
          <w:w w:val="95"/>
        </w:rPr>
        <w:t> 等</w:t>
      </w:r>
      <w:r>
        <w:rPr>
          <w:color w:val="0B6A75"/>
          <w:spacing w:val="-12"/>
          <w:w w:val="95"/>
        </w:rPr>
        <w:t>） </w:t>
      </w:r>
      <w:r>
        <w:rPr>
          <w:color w:val="0B6A75"/>
          <w:spacing w:val="-6"/>
        </w:rPr>
        <w:t>同属于 </w:t>
      </w:r>
      <w:r>
        <w:rPr>
          <w:color w:val="0B6A75"/>
        </w:rPr>
        <w:t>HEC</w:t>
      </w:r>
      <w:r>
        <w:rPr>
          <w:color w:val="0B6A75"/>
          <w:spacing w:val="-6"/>
        </w:rPr>
        <w:t> 在世界各地网络中的一部分，各校区均可分享 </w:t>
      </w:r>
      <w:r>
        <w:rPr>
          <w:color w:val="0B6A75"/>
        </w:rPr>
        <w:t>HEC</w:t>
      </w:r>
      <w:r>
        <w:rPr>
          <w:color w:val="0B6A75"/>
          <w:spacing w:val="-5"/>
        </w:rPr>
        <w:t> 的荣耀，同</w:t>
      </w:r>
      <w:r>
        <w:rPr>
          <w:color w:val="0B6A75"/>
          <w:spacing w:val="10"/>
        </w:rPr>
        <w:t>时共享 </w:t>
      </w:r>
      <w:r>
        <w:rPr>
          <w:color w:val="0B6A75"/>
        </w:rPr>
        <w:t>HEC 五大校区的校友资源；</w:t>
      </w:r>
    </w:p>
    <w:p>
      <w:pPr>
        <w:pStyle w:val="BodyText"/>
        <w:spacing w:before="7"/>
        <w:ind w:left="1180"/>
      </w:pPr>
      <w:r>
        <w:rPr>
          <w:rFonts w:ascii="宋体" w:hAnsi="宋体" w:eastAsia="宋体" w:hint="eastAsia"/>
          <w:b w:val="0"/>
          <w:color w:val="0B6A75"/>
        </w:rPr>
        <w:t>★ </w:t>
      </w:r>
      <w:r>
        <w:rPr>
          <w:color w:val="0B6A75"/>
        </w:rPr>
        <w:t>中国教育部涉外监管网首批承认并推荐的海外院校。</w:t>
      </w:r>
    </w:p>
    <w:p>
      <w:pPr>
        <w:spacing w:after="0"/>
        <w:sectPr>
          <w:pgSz w:w="11910" w:h="16840"/>
          <w:pgMar w:header="890" w:footer="0" w:top="1820" w:bottom="280" w:left="1520" w:right="880"/>
        </w:sectPr>
      </w:pPr>
    </w:p>
    <w:p>
      <w:pPr>
        <w:pStyle w:val="BodyText"/>
        <w:spacing w:before="9"/>
        <w:rPr>
          <w:sz w:val="14"/>
        </w:rPr>
      </w:pPr>
    </w:p>
    <w:p>
      <w:pPr>
        <w:pStyle w:val="Heading2"/>
      </w:pPr>
      <w:r>
        <w:rPr/>
        <w:drawing>
          <wp:anchor distT="0" distB="0" distL="0" distR="0" allowOverlap="1" layoutInCell="1" locked="0" behindDoc="1" simplePos="0" relativeHeight="251483136">
            <wp:simplePos x="0" y="0"/>
            <wp:positionH relativeFrom="page">
              <wp:posOffset>1655064</wp:posOffset>
            </wp:positionH>
            <wp:positionV relativeFrom="paragraph">
              <wp:posOffset>271031</wp:posOffset>
            </wp:positionV>
            <wp:extent cx="4384548" cy="3048"/>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4384548" cy="3048"/>
                    </a:xfrm>
                    <a:prstGeom prst="rect">
                      <a:avLst/>
                    </a:prstGeom>
                  </pic:spPr>
                </pic:pic>
              </a:graphicData>
            </a:graphic>
          </wp:anchor>
        </w:drawing>
      </w:r>
      <w:r>
        <w:rPr>
          <w:color w:val="0B6A75"/>
        </w:rPr>
        <w:t>【项目特色】</w:t>
      </w:r>
    </w:p>
    <w:p>
      <w:pPr>
        <w:pStyle w:val="ListParagraph"/>
        <w:numPr>
          <w:ilvl w:val="1"/>
          <w:numId w:val="1"/>
        </w:numPr>
        <w:tabs>
          <w:tab w:pos="1540" w:val="left" w:leader="none"/>
        </w:tabs>
        <w:spacing w:line="240" w:lineRule="auto" w:before="107" w:after="0"/>
        <w:ind w:left="1540" w:right="0" w:hanging="360"/>
        <w:jc w:val="left"/>
        <w:rPr>
          <w:b/>
          <w:sz w:val="24"/>
        </w:rPr>
      </w:pPr>
      <w:r>
        <w:rPr>
          <w:b/>
          <w:color w:val="0B6A75"/>
          <w:sz w:val="24"/>
        </w:rPr>
        <w:t>所有课程均由校本部资深金融教授团队精心设计并指导授课；</w:t>
      </w:r>
    </w:p>
    <w:p>
      <w:pPr>
        <w:pStyle w:val="BodyText"/>
        <w:spacing w:before="4"/>
        <w:rPr>
          <w:sz w:val="14"/>
        </w:rPr>
      </w:pPr>
    </w:p>
    <w:p>
      <w:pPr>
        <w:pStyle w:val="ListParagraph"/>
        <w:numPr>
          <w:ilvl w:val="1"/>
          <w:numId w:val="1"/>
        </w:numPr>
        <w:tabs>
          <w:tab w:pos="1540" w:val="left" w:leader="none"/>
        </w:tabs>
        <w:spacing w:line="240" w:lineRule="auto" w:before="1" w:after="0"/>
        <w:ind w:left="1540" w:right="0" w:hanging="360"/>
        <w:jc w:val="left"/>
        <w:rPr>
          <w:b/>
          <w:sz w:val="24"/>
        </w:rPr>
      </w:pPr>
      <w:r>
        <w:rPr>
          <w:b/>
          <w:color w:val="0B6A75"/>
          <w:spacing w:val="-3"/>
          <w:sz w:val="24"/>
        </w:rPr>
        <w:t>国内金融专业重点院校资深名师结合中国金融实际上课、面授机宜；</w:t>
      </w:r>
    </w:p>
    <w:p>
      <w:pPr>
        <w:pStyle w:val="BodyText"/>
        <w:spacing w:before="4"/>
        <w:rPr>
          <w:sz w:val="14"/>
        </w:rPr>
      </w:pPr>
    </w:p>
    <w:p>
      <w:pPr>
        <w:pStyle w:val="ListParagraph"/>
        <w:numPr>
          <w:ilvl w:val="1"/>
          <w:numId w:val="1"/>
        </w:numPr>
        <w:tabs>
          <w:tab w:pos="1540" w:val="left" w:leader="none"/>
        </w:tabs>
        <w:spacing w:line="381" w:lineRule="auto" w:before="0" w:after="0"/>
        <w:ind w:left="700" w:right="999" w:firstLine="480"/>
        <w:jc w:val="left"/>
        <w:rPr>
          <w:b/>
          <w:sz w:val="24"/>
        </w:rPr>
      </w:pPr>
      <w:r>
        <w:rPr>
          <w:b/>
          <w:color w:val="0B6A75"/>
          <w:w w:val="95"/>
          <w:sz w:val="24"/>
        </w:rPr>
        <w:t>HEC</w:t>
      </w:r>
      <w:r>
        <w:rPr>
          <w:b/>
          <w:color w:val="0B6A75"/>
          <w:spacing w:val="-1"/>
          <w:w w:val="95"/>
          <w:sz w:val="24"/>
        </w:rPr>
        <w:t>  列日高商管理学院权威专家教授亲临中国课堂进行商业实战模</w:t>
      </w:r>
      <w:r>
        <w:rPr>
          <w:b/>
          <w:color w:val="0B6A75"/>
          <w:sz w:val="24"/>
        </w:rPr>
        <w:t>拟推演；</w:t>
      </w:r>
    </w:p>
    <w:p>
      <w:pPr>
        <w:pStyle w:val="ListParagraph"/>
        <w:numPr>
          <w:ilvl w:val="1"/>
          <w:numId w:val="1"/>
        </w:numPr>
        <w:tabs>
          <w:tab w:pos="1540" w:val="left" w:leader="none"/>
        </w:tabs>
        <w:spacing w:line="240" w:lineRule="auto" w:before="3" w:after="0"/>
        <w:ind w:left="1540" w:right="0" w:hanging="360"/>
        <w:jc w:val="left"/>
        <w:rPr>
          <w:b/>
          <w:sz w:val="24"/>
        </w:rPr>
      </w:pPr>
      <w:r>
        <w:rPr>
          <w:b/>
          <w:color w:val="0B6A75"/>
          <w:sz w:val="24"/>
        </w:rPr>
        <w:t>紧扣时代，深入探讨国际金融前沿理念和实用新知；</w:t>
      </w:r>
    </w:p>
    <w:p>
      <w:pPr>
        <w:pStyle w:val="BodyText"/>
        <w:spacing w:before="4"/>
        <w:rPr>
          <w:sz w:val="14"/>
        </w:rPr>
      </w:pPr>
    </w:p>
    <w:p>
      <w:pPr>
        <w:pStyle w:val="ListParagraph"/>
        <w:numPr>
          <w:ilvl w:val="1"/>
          <w:numId w:val="1"/>
        </w:numPr>
        <w:tabs>
          <w:tab w:pos="1540" w:val="left" w:leader="none"/>
        </w:tabs>
        <w:spacing w:line="240" w:lineRule="auto" w:before="0" w:after="0"/>
        <w:ind w:left="1540" w:right="0" w:hanging="360"/>
        <w:jc w:val="left"/>
        <w:rPr>
          <w:b/>
          <w:sz w:val="24"/>
        </w:rPr>
      </w:pPr>
      <w:r>
        <w:rPr>
          <w:b/>
          <w:color w:val="0B6A75"/>
          <w:sz w:val="24"/>
        </w:rPr>
        <w:t>紧贴国内外经济发展实际，多角度分析金融领域的热点课题；</w:t>
      </w:r>
    </w:p>
    <w:p>
      <w:pPr>
        <w:pStyle w:val="BodyText"/>
        <w:spacing w:before="5"/>
        <w:rPr>
          <w:sz w:val="14"/>
        </w:rPr>
      </w:pPr>
    </w:p>
    <w:p>
      <w:pPr>
        <w:pStyle w:val="ListParagraph"/>
        <w:numPr>
          <w:ilvl w:val="1"/>
          <w:numId w:val="1"/>
        </w:numPr>
        <w:tabs>
          <w:tab w:pos="1540" w:val="left" w:leader="none"/>
        </w:tabs>
        <w:spacing w:line="240" w:lineRule="auto" w:before="0" w:after="0"/>
        <w:ind w:left="1540" w:right="0" w:hanging="360"/>
        <w:jc w:val="left"/>
        <w:rPr>
          <w:b/>
          <w:sz w:val="24"/>
        </w:rPr>
      </w:pPr>
      <w:r>
        <w:rPr>
          <w:b/>
          <w:color w:val="0B6A75"/>
          <w:sz w:val="24"/>
        </w:rPr>
        <w:t>从金融知识，了解财务知识广度，掌握公司战略管理高度；</w:t>
      </w:r>
    </w:p>
    <w:p>
      <w:pPr>
        <w:pStyle w:val="BodyText"/>
        <w:spacing w:before="4"/>
        <w:rPr>
          <w:sz w:val="14"/>
        </w:rPr>
      </w:pPr>
    </w:p>
    <w:p>
      <w:pPr>
        <w:pStyle w:val="ListParagraph"/>
        <w:numPr>
          <w:ilvl w:val="1"/>
          <w:numId w:val="1"/>
        </w:numPr>
        <w:tabs>
          <w:tab w:pos="1540" w:val="left" w:leader="none"/>
        </w:tabs>
        <w:spacing w:line="240" w:lineRule="auto" w:before="0" w:after="0"/>
        <w:ind w:left="1540" w:right="0" w:hanging="360"/>
        <w:jc w:val="left"/>
        <w:rPr>
          <w:b/>
          <w:sz w:val="24"/>
        </w:rPr>
      </w:pPr>
      <w:r>
        <w:rPr>
          <w:b/>
          <w:color w:val="0B6A75"/>
          <w:sz w:val="24"/>
        </w:rPr>
        <w:t>基于战略高度，针对金融及财务领域的深度和广度提升管理格局；</w:t>
      </w:r>
    </w:p>
    <w:p>
      <w:pPr>
        <w:pStyle w:val="BodyText"/>
        <w:spacing w:before="5"/>
        <w:rPr>
          <w:sz w:val="14"/>
        </w:rPr>
      </w:pPr>
    </w:p>
    <w:p>
      <w:pPr>
        <w:pStyle w:val="ListParagraph"/>
        <w:numPr>
          <w:ilvl w:val="1"/>
          <w:numId w:val="1"/>
        </w:numPr>
        <w:tabs>
          <w:tab w:pos="1540" w:val="left" w:leader="none"/>
        </w:tabs>
        <w:spacing w:line="240" w:lineRule="auto" w:before="0" w:after="0"/>
        <w:ind w:left="1540" w:right="0" w:hanging="360"/>
        <w:jc w:val="left"/>
        <w:rPr>
          <w:b/>
          <w:sz w:val="24"/>
        </w:rPr>
      </w:pPr>
      <w:r>
        <w:rPr>
          <w:b/>
          <w:color w:val="0B6A75"/>
          <w:sz w:val="24"/>
        </w:rPr>
        <w:t>国内外校友商圈，全方位拓展国际视野。</w:t>
      </w:r>
    </w:p>
    <w:p>
      <w:pPr>
        <w:pStyle w:val="BodyText"/>
        <w:spacing w:before="7"/>
        <w:rPr>
          <w:sz w:val="26"/>
        </w:rPr>
      </w:pPr>
      <w:r>
        <w:rPr/>
        <w:drawing>
          <wp:anchor distT="0" distB="0" distL="0" distR="0" allowOverlap="1" layoutInCell="1" locked="0" behindDoc="0" simplePos="0" relativeHeight="3">
            <wp:simplePos x="0" y="0"/>
            <wp:positionH relativeFrom="page">
              <wp:posOffset>1162811</wp:posOffset>
            </wp:positionH>
            <wp:positionV relativeFrom="paragraph">
              <wp:posOffset>333315</wp:posOffset>
            </wp:positionV>
            <wp:extent cx="5258813" cy="3943350"/>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5258813" cy="3943350"/>
                    </a:xfrm>
                    <a:prstGeom prst="rect">
                      <a:avLst/>
                    </a:prstGeom>
                  </pic:spPr>
                </pic:pic>
              </a:graphicData>
            </a:graphic>
          </wp:anchor>
        </w:drawing>
      </w:r>
    </w:p>
    <w:p>
      <w:pPr>
        <w:spacing w:after="0"/>
        <w:rPr>
          <w:sz w:val="26"/>
        </w:rPr>
        <w:sectPr>
          <w:pgSz w:w="11910" w:h="16840"/>
          <w:pgMar w:header="890" w:footer="0" w:top="1820" w:bottom="280" w:left="1520" w:right="880"/>
        </w:sectPr>
      </w:pPr>
    </w:p>
    <w:p>
      <w:pPr>
        <w:pStyle w:val="BodyText"/>
        <w:spacing w:before="10"/>
        <w:rPr>
          <w:sz w:val="7"/>
        </w:rPr>
      </w:pPr>
    </w:p>
    <w:p>
      <w:pPr>
        <w:pStyle w:val="Heading2"/>
        <w:spacing w:before="6"/>
      </w:pPr>
      <w:r>
        <w:rPr>
          <w:color w:val="0B6A75"/>
        </w:rPr>
        <w:t>【课程模块】</w:t>
      </w:r>
    </w:p>
    <w:p>
      <w:pPr>
        <w:pStyle w:val="BodyText"/>
        <w:spacing w:line="288" w:lineRule="auto" w:before="8"/>
        <w:ind w:left="280" w:right="7056"/>
      </w:pPr>
      <w:r>
        <w:rPr>
          <w:color w:val="0B6A75"/>
        </w:rPr>
        <w:t>第一模块：开学典礼第二模块：必修课</w:t>
      </w:r>
    </w:p>
    <w:p>
      <w:pPr>
        <w:pStyle w:val="BodyText"/>
        <w:tabs>
          <w:tab w:pos="4014" w:val="left" w:leader="none"/>
        </w:tabs>
        <w:spacing w:line="338" w:lineRule="auto" w:before="131"/>
        <w:ind w:left="280" w:right="2794"/>
        <w:jc w:val="both"/>
      </w:pPr>
      <w:r>
        <w:rPr>
          <w:color w:val="0B6A75"/>
        </w:rPr>
        <w:t>第一门课：《财务和会计基础》   </w:t>
      </w:r>
      <w:r>
        <w:rPr>
          <w:color w:val="0B6A75"/>
          <w:spacing w:val="5"/>
        </w:rPr>
        <w:t> </w:t>
      </w:r>
      <w:r>
        <w:rPr>
          <w:color w:val="0B6A75"/>
        </w:rPr>
        <w:t>第二门课：《公司财务</w:t>
      </w:r>
      <w:r>
        <w:rPr>
          <w:color w:val="0B6A75"/>
          <w:spacing w:val="-14"/>
        </w:rPr>
        <w:t>》</w:t>
      </w:r>
      <w:r>
        <w:rPr>
          <w:color w:val="0B6A75"/>
        </w:rPr>
        <w:t>第三门课：《金融市场》</w:t>
        <w:tab/>
        <w:t>第四门课：《管理会计》第五门课：《财务分析》</w:t>
        <w:tab/>
        <w:t>第六门课：《财务经济》第七门课：《金融风险管理》</w:t>
      </w:r>
    </w:p>
    <w:p>
      <w:pPr>
        <w:pStyle w:val="BodyText"/>
        <w:spacing w:before="7"/>
        <w:ind w:left="280"/>
        <w:jc w:val="both"/>
      </w:pPr>
      <w:r>
        <w:rPr>
          <w:color w:val="0B6A75"/>
        </w:rPr>
        <w:t>第三模块：实战课 《商业游戏》</w:t>
      </w:r>
    </w:p>
    <w:p>
      <w:pPr>
        <w:pStyle w:val="BodyText"/>
        <w:spacing w:line="338" w:lineRule="auto" w:before="183"/>
        <w:ind w:left="280" w:right="1515"/>
      </w:pPr>
      <w:r>
        <w:rPr>
          <w:color w:val="0B6A75"/>
        </w:rPr>
        <w:t>（校本部权威专家教授亲临中国课堂进行为期三天的商业实战模拟推演） 第四模块：选修课</w:t>
      </w:r>
    </w:p>
    <w:p>
      <w:pPr>
        <w:pStyle w:val="BodyText"/>
        <w:spacing w:before="4"/>
        <w:ind w:left="280"/>
      </w:pPr>
      <w:r>
        <w:rPr>
          <w:color w:val="0B6A75"/>
        </w:rPr>
        <w:t>第五模块：毕业论文（15000 汉字）</w:t>
      </w:r>
    </w:p>
    <w:p>
      <w:pPr>
        <w:pStyle w:val="BodyText"/>
        <w:rPr>
          <w:sz w:val="20"/>
        </w:rPr>
      </w:pPr>
    </w:p>
    <w:p>
      <w:pPr>
        <w:pStyle w:val="BodyText"/>
        <w:rPr>
          <w:sz w:val="20"/>
        </w:rPr>
      </w:pPr>
    </w:p>
    <w:p>
      <w:pPr>
        <w:pStyle w:val="BodyText"/>
        <w:rPr>
          <w:sz w:val="20"/>
        </w:rPr>
      </w:pPr>
    </w:p>
    <w:p>
      <w:pPr>
        <w:pStyle w:val="BodyText"/>
        <w:spacing w:before="5"/>
        <w:rPr>
          <w:sz w:val="11"/>
        </w:rPr>
      </w:pPr>
      <w:r>
        <w:rPr/>
        <w:drawing>
          <wp:anchor distT="0" distB="0" distL="0" distR="0" allowOverlap="1" layoutInCell="1" locked="0" behindDoc="0" simplePos="0" relativeHeight="5">
            <wp:simplePos x="0" y="0"/>
            <wp:positionH relativeFrom="page">
              <wp:posOffset>1554480</wp:posOffset>
            </wp:positionH>
            <wp:positionV relativeFrom="paragraph">
              <wp:posOffset>156842</wp:posOffset>
            </wp:positionV>
            <wp:extent cx="4438617" cy="2887503"/>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4438617" cy="2887503"/>
                    </a:xfrm>
                    <a:prstGeom prst="rect">
                      <a:avLst/>
                    </a:prstGeom>
                  </pic:spPr>
                </pic:pic>
              </a:graphicData>
            </a:graphic>
          </wp:anchor>
        </w:drawing>
      </w:r>
    </w:p>
    <w:p>
      <w:pPr>
        <w:spacing w:after="0"/>
        <w:rPr>
          <w:sz w:val="11"/>
        </w:rPr>
        <w:sectPr>
          <w:pgSz w:w="11910" w:h="16840"/>
          <w:pgMar w:header="890" w:footer="0" w:top="1820" w:bottom="280" w:left="1520" w:right="880"/>
        </w:sectPr>
      </w:pPr>
    </w:p>
    <w:p>
      <w:pPr>
        <w:pStyle w:val="BodyText"/>
        <w:spacing w:before="3"/>
        <w:rPr>
          <w:sz w:val="10"/>
        </w:rPr>
      </w:pPr>
    </w:p>
    <w:p>
      <w:pPr>
        <w:pStyle w:val="Heading2"/>
      </w:pPr>
      <w:r>
        <w:rPr>
          <w:color w:val="0B6A75"/>
        </w:rPr>
        <w:t>【修读方式】</w:t>
      </w:r>
    </w:p>
    <w:p>
      <w:pPr>
        <w:pStyle w:val="BodyText"/>
        <w:spacing w:before="17"/>
        <w:rPr>
          <w:sz w:val="16"/>
        </w:rPr>
      </w:pPr>
    </w:p>
    <w:p>
      <w:pPr>
        <w:pStyle w:val="ListParagraph"/>
        <w:numPr>
          <w:ilvl w:val="0"/>
          <w:numId w:val="2"/>
        </w:numPr>
        <w:tabs>
          <w:tab w:pos="699" w:val="left" w:leader="none"/>
          <w:tab w:pos="700" w:val="left" w:leader="none"/>
        </w:tabs>
        <w:spacing w:line="240" w:lineRule="auto" w:before="0" w:after="0"/>
        <w:ind w:left="700" w:right="0" w:hanging="420"/>
        <w:jc w:val="left"/>
        <w:rPr>
          <w:b/>
          <w:sz w:val="24"/>
        </w:rPr>
      </w:pPr>
      <w:r>
        <w:rPr>
          <w:b/>
          <w:color w:val="0B6A75"/>
          <w:sz w:val="24"/>
        </w:rPr>
        <w:t>非全日制，在职修读，周末上课；</w:t>
      </w:r>
    </w:p>
    <w:p>
      <w:pPr>
        <w:pStyle w:val="BodyText"/>
        <w:spacing w:before="5"/>
        <w:rPr>
          <w:sz w:val="14"/>
        </w:rPr>
      </w:pPr>
    </w:p>
    <w:p>
      <w:pPr>
        <w:pStyle w:val="ListParagraph"/>
        <w:numPr>
          <w:ilvl w:val="0"/>
          <w:numId w:val="2"/>
        </w:numPr>
        <w:tabs>
          <w:tab w:pos="699" w:val="left" w:leader="none"/>
          <w:tab w:pos="700" w:val="left" w:leader="none"/>
        </w:tabs>
        <w:spacing w:line="240" w:lineRule="auto" w:before="0" w:after="0"/>
        <w:ind w:left="700" w:right="0" w:hanging="420"/>
        <w:jc w:val="left"/>
        <w:rPr>
          <w:b/>
          <w:sz w:val="24"/>
        </w:rPr>
      </w:pPr>
      <w:r>
        <w:rPr>
          <w:b/>
          <w:color w:val="0B6A75"/>
          <w:sz w:val="24"/>
        </w:rPr>
        <w:t>免联考，入学资格严格审核，面试制入学；</w:t>
      </w:r>
    </w:p>
    <w:p>
      <w:pPr>
        <w:pStyle w:val="BodyText"/>
        <w:spacing w:before="4"/>
        <w:rPr>
          <w:sz w:val="14"/>
        </w:rPr>
      </w:pPr>
    </w:p>
    <w:p>
      <w:pPr>
        <w:pStyle w:val="ListParagraph"/>
        <w:numPr>
          <w:ilvl w:val="0"/>
          <w:numId w:val="2"/>
        </w:numPr>
        <w:tabs>
          <w:tab w:pos="699" w:val="left" w:leader="none"/>
          <w:tab w:pos="700" w:val="left" w:leader="none"/>
        </w:tabs>
        <w:spacing w:line="240" w:lineRule="auto" w:before="0" w:after="0"/>
        <w:ind w:left="700" w:right="0" w:hanging="420"/>
        <w:jc w:val="left"/>
        <w:rPr>
          <w:b/>
          <w:sz w:val="24"/>
        </w:rPr>
      </w:pPr>
      <w:r>
        <w:rPr>
          <w:b/>
          <w:color w:val="0B6A75"/>
          <w:spacing w:val="-1"/>
          <w:sz w:val="24"/>
        </w:rPr>
        <w:t>学制 </w:t>
      </w:r>
      <w:r>
        <w:rPr>
          <w:b/>
          <w:color w:val="0B6A75"/>
          <w:sz w:val="24"/>
        </w:rPr>
        <w:t>18-24</w:t>
      </w:r>
      <w:r>
        <w:rPr>
          <w:b/>
          <w:color w:val="0B6A75"/>
          <w:spacing w:val="-1"/>
          <w:sz w:val="24"/>
        </w:rPr>
        <w:t> 个月，修满学分，完成论文，获颁证书。</w:t>
      </w:r>
    </w:p>
    <w:p>
      <w:pPr>
        <w:pStyle w:val="BodyText"/>
        <w:spacing w:before="10"/>
        <w:rPr>
          <w:sz w:val="14"/>
        </w:rPr>
      </w:pPr>
      <w:r>
        <w:rPr/>
        <w:drawing>
          <wp:anchor distT="0" distB="0" distL="0" distR="0" allowOverlap="1" layoutInCell="1" locked="0" behindDoc="0" simplePos="0" relativeHeight="6">
            <wp:simplePos x="0" y="0"/>
            <wp:positionH relativeFrom="page">
              <wp:posOffset>1437132</wp:posOffset>
            </wp:positionH>
            <wp:positionV relativeFrom="paragraph">
              <wp:posOffset>194909</wp:posOffset>
            </wp:positionV>
            <wp:extent cx="4520750" cy="2657094"/>
            <wp:effectExtent l="0" t="0" r="0" b="0"/>
            <wp:wrapTopAndBottom/>
            <wp:docPr id="17" name="image9.jpeg"/>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4520750" cy="2657094"/>
                    </a:xfrm>
                    <a:prstGeom prst="rect">
                      <a:avLst/>
                    </a:prstGeom>
                  </pic:spPr>
                </pic:pic>
              </a:graphicData>
            </a:graphic>
          </wp:anchor>
        </w:drawing>
      </w:r>
      <w:r>
        <w:rPr/>
        <w:drawing>
          <wp:anchor distT="0" distB="0" distL="0" distR="0" allowOverlap="1" layoutInCell="1" locked="0" behindDoc="0" simplePos="0" relativeHeight="7">
            <wp:simplePos x="0" y="0"/>
            <wp:positionH relativeFrom="page">
              <wp:posOffset>1034796</wp:posOffset>
            </wp:positionH>
            <wp:positionV relativeFrom="paragraph">
              <wp:posOffset>3018881</wp:posOffset>
            </wp:positionV>
            <wp:extent cx="5236762" cy="3904869"/>
            <wp:effectExtent l="0" t="0" r="0" b="0"/>
            <wp:wrapTopAndBottom/>
            <wp:docPr id="19" name="image10.jpeg"/>
            <wp:cNvGraphicFramePr>
              <a:graphicFrameLocks noChangeAspect="1"/>
            </wp:cNvGraphicFramePr>
            <a:graphic>
              <a:graphicData uri="http://schemas.openxmlformats.org/drawingml/2006/picture">
                <pic:pic>
                  <pic:nvPicPr>
                    <pic:cNvPr id="20" name="image10.jpeg"/>
                    <pic:cNvPicPr/>
                  </pic:nvPicPr>
                  <pic:blipFill>
                    <a:blip r:embed="rId15" cstate="print"/>
                    <a:stretch>
                      <a:fillRect/>
                    </a:stretch>
                  </pic:blipFill>
                  <pic:spPr>
                    <a:xfrm>
                      <a:off x="0" y="0"/>
                      <a:ext cx="5236762" cy="3904869"/>
                    </a:xfrm>
                    <a:prstGeom prst="rect">
                      <a:avLst/>
                    </a:prstGeom>
                  </pic:spPr>
                </pic:pic>
              </a:graphicData>
            </a:graphic>
          </wp:anchor>
        </w:drawing>
      </w:r>
    </w:p>
    <w:p>
      <w:pPr>
        <w:pStyle w:val="BodyText"/>
        <w:spacing w:before="10"/>
        <w:rPr>
          <w:sz w:val="10"/>
        </w:rPr>
      </w:pPr>
    </w:p>
    <w:p>
      <w:pPr>
        <w:spacing w:after="0"/>
        <w:rPr>
          <w:sz w:val="10"/>
        </w:rPr>
        <w:sectPr>
          <w:pgSz w:w="11910" w:h="16840"/>
          <w:pgMar w:header="890" w:footer="0" w:top="1820" w:bottom="280" w:left="1520" w:right="880"/>
        </w:sectPr>
      </w:pPr>
    </w:p>
    <w:p>
      <w:pPr>
        <w:pStyle w:val="BodyText"/>
        <w:spacing w:before="5"/>
        <w:rPr>
          <w:sz w:val="15"/>
        </w:rPr>
      </w:pPr>
    </w:p>
    <w:p>
      <w:pPr>
        <w:pStyle w:val="Heading2"/>
      </w:pPr>
      <w:r>
        <w:rPr>
          <w:color w:val="0B6A75"/>
        </w:rPr>
        <w:t>【报读条件】</w:t>
      </w:r>
    </w:p>
    <w:p>
      <w:pPr>
        <w:pStyle w:val="BodyText"/>
        <w:spacing w:line="381" w:lineRule="auto" w:before="210"/>
        <w:ind w:left="280" w:right="886"/>
      </w:pPr>
      <w:r>
        <w:rPr>
          <w:color w:val="0B6A75"/>
        </w:rPr>
        <w:t>大专以上学历，具有三年以上相关行业（含金融、经济、管理、财务、贸易、风险管理等行业）工作经验者，均可报读。</w:t>
      </w:r>
    </w:p>
    <w:p>
      <w:pPr>
        <w:pStyle w:val="Heading2"/>
        <w:spacing w:line="510" w:lineRule="exact" w:before="0"/>
      </w:pPr>
      <w:r>
        <w:rPr>
          <w:color w:val="0B6A75"/>
        </w:rPr>
        <w:t>【费用说明】</w:t>
      </w:r>
    </w:p>
    <w:p>
      <w:pPr>
        <w:pStyle w:val="BodyText"/>
        <w:spacing w:before="1"/>
        <w:rPr>
          <w:sz w:val="17"/>
        </w:rPr>
      </w:pPr>
    </w:p>
    <w:p>
      <w:pPr>
        <w:pStyle w:val="BodyText"/>
        <w:tabs>
          <w:tab w:pos="1779" w:val="left" w:leader="none"/>
        </w:tabs>
        <w:spacing w:line="285" w:lineRule="auto"/>
        <w:ind w:left="280" w:right="6216"/>
      </w:pPr>
      <w:r>
        <w:rPr>
          <w:color w:val="0B6A75"/>
        </w:rPr>
        <w:t>报  名 </w:t>
      </w:r>
      <w:r>
        <w:rPr>
          <w:color w:val="0B6A75"/>
          <w:spacing w:val="2"/>
        </w:rPr>
        <w:t> </w:t>
      </w:r>
      <w:r>
        <w:rPr>
          <w:color w:val="0B6A75"/>
        </w:rPr>
        <w:t>费</w:t>
        <w:tab/>
      </w:r>
      <w:r>
        <w:rPr>
          <w:color w:val="0B6A75"/>
          <w:w w:val="95"/>
        </w:rPr>
        <w:t>2000</w:t>
      </w:r>
      <w:r>
        <w:rPr>
          <w:color w:val="0B6A75"/>
          <w:spacing w:val="-4"/>
          <w:w w:val="95"/>
        </w:rPr>
        <w:t> </w:t>
      </w:r>
      <w:r>
        <w:rPr>
          <w:color w:val="0B6A75"/>
          <w:w w:val="95"/>
        </w:rPr>
        <w:t>元人民</w:t>
      </w:r>
      <w:r>
        <w:rPr>
          <w:color w:val="0B6A75"/>
          <w:spacing w:val="-15"/>
          <w:w w:val="95"/>
        </w:rPr>
        <w:t>币</w:t>
      </w:r>
      <w:r>
        <w:rPr>
          <w:color w:val="0B6A75"/>
        </w:rPr>
        <w:t>注  册 </w:t>
      </w:r>
      <w:r>
        <w:rPr>
          <w:color w:val="0B6A75"/>
          <w:spacing w:val="2"/>
        </w:rPr>
        <w:t> </w:t>
      </w:r>
      <w:r>
        <w:rPr>
          <w:color w:val="0B6A75"/>
        </w:rPr>
        <w:t>费</w:t>
        <w:tab/>
        <w:t>200</w:t>
      </w:r>
      <w:r>
        <w:rPr>
          <w:color w:val="0B6A75"/>
          <w:spacing w:val="-6"/>
        </w:rPr>
        <w:t> </w:t>
      </w:r>
      <w:r>
        <w:rPr>
          <w:color w:val="0B6A75"/>
        </w:rPr>
        <w:t>欧元</w:t>
      </w:r>
    </w:p>
    <w:p>
      <w:pPr>
        <w:pStyle w:val="BodyText"/>
        <w:tabs>
          <w:tab w:pos="1002" w:val="left" w:leader="none"/>
          <w:tab w:pos="1779" w:val="left" w:leader="none"/>
        </w:tabs>
        <w:spacing w:before="4"/>
        <w:ind w:left="280"/>
      </w:pPr>
      <w:r>
        <w:rPr>
          <w:color w:val="0B6A75"/>
        </w:rPr>
        <w:t>学</w:t>
        <w:tab/>
        <w:t>费</w:t>
        <w:tab/>
        <w:t>123000</w:t>
      </w:r>
      <w:r>
        <w:rPr>
          <w:color w:val="0B6A75"/>
          <w:spacing w:val="-2"/>
        </w:rPr>
        <w:t> </w:t>
      </w:r>
      <w:r>
        <w:rPr>
          <w:color w:val="0B6A75"/>
        </w:rPr>
        <w:t>元人民币</w:t>
      </w:r>
    </w:p>
    <w:p>
      <w:pPr>
        <w:pStyle w:val="BodyText"/>
        <w:spacing w:before="86"/>
        <w:ind w:left="280"/>
      </w:pPr>
      <w:r>
        <w:rPr>
          <w:color w:val="0B6A75"/>
        </w:rPr>
        <w:t>学生毕业时，另缴纳毕业工本费 200 欧元。</w:t>
      </w:r>
    </w:p>
    <w:p>
      <w:pPr>
        <w:pStyle w:val="BodyText"/>
        <w:rPr>
          <w:sz w:val="20"/>
        </w:rPr>
      </w:pPr>
    </w:p>
    <w:p>
      <w:pPr>
        <w:pStyle w:val="BodyText"/>
        <w:spacing w:before="3"/>
        <w:rPr>
          <w:sz w:val="13"/>
        </w:rPr>
      </w:pPr>
      <w:r>
        <w:rPr/>
        <w:drawing>
          <wp:anchor distT="0" distB="0" distL="0" distR="0" allowOverlap="1" layoutInCell="1" locked="0" behindDoc="0" simplePos="0" relativeHeight="8">
            <wp:simplePos x="0" y="0"/>
            <wp:positionH relativeFrom="page">
              <wp:posOffset>1136640</wp:posOffset>
            </wp:positionH>
            <wp:positionV relativeFrom="paragraph">
              <wp:posOffset>179064</wp:posOffset>
            </wp:positionV>
            <wp:extent cx="5029447" cy="3419855"/>
            <wp:effectExtent l="0" t="0" r="0" b="0"/>
            <wp:wrapTopAndBottom/>
            <wp:docPr id="21" name="image11.jpeg"/>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5029447" cy="3419855"/>
                    </a:xfrm>
                    <a:prstGeom prst="rect">
                      <a:avLst/>
                    </a:prstGeom>
                  </pic:spPr>
                </pic:pic>
              </a:graphicData>
            </a:graphic>
          </wp:anchor>
        </w:drawing>
      </w:r>
    </w:p>
    <w:p>
      <w:pPr>
        <w:pStyle w:val="BodyText"/>
        <w:spacing w:before="6"/>
        <w:rPr>
          <w:sz w:val="23"/>
        </w:rPr>
      </w:pPr>
    </w:p>
    <w:p>
      <w:pPr>
        <w:pStyle w:val="BodyText"/>
        <w:spacing w:before="18"/>
        <w:ind w:left="2833"/>
      </w:pPr>
      <w:r>
        <w:rPr>
          <w:color w:val="0B6A75"/>
        </w:rPr>
        <w:t>往届 EMF 毕业证书样本</w:t>
      </w:r>
    </w:p>
    <w:p>
      <w:pPr>
        <w:spacing w:after="0"/>
        <w:sectPr>
          <w:pgSz w:w="11910" w:h="16840"/>
          <w:pgMar w:header="890" w:footer="0" w:top="1820" w:bottom="280" w:left="1520" w:right="880"/>
        </w:sectPr>
      </w:pPr>
    </w:p>
    <w:p>
      <w:pPr>
        <w:pStyle w:val="BodyText"/>
        <w:spacing w:before="14"/>
        <w:rPr>
          <w:sz w:val="9"/>
        </w:rPr>
      </w:pPr>
    </w:p>
    <w:p>
      <w:pPr>
        <w:pStyle w:val="Heading2"/>
        <w:spacing w:before="6"/>
      </w:pPr>
      <w:r>
        <w:rPr>
          <w:color w:val="0B6A75"/>
        </w:rPr>
        <w:t>【毕业典礼】</w:t>
      </w:r>
    </w:p>
    <w:p>
      <w:pPr>
        <w:pStyle w:val="BodyText"/>
        <w:spacing w:before="104"/>
        <w:ind w:left="760"/>
      </w:pPr>
      <w:r>
        <w:rPr>
          <w:color w:val="0B6A75"/>
        </w:rPr>
        <w:t>每年列日大学 HEC 列日高商管理学院都将举行隆重的毕业典礼。</w:t>
      </w:r>
    </w:p>
    <w:p>
      <w:pPr>
        <w:pStyle w:val="BodyText"/>
        <w:spacing w:line="288" w:lineRule="auto" w:before="87"/>
        <w:ind w:left="280" w:right="888" w:firstLine="480"/>
      </w:pPr>
      <w:r>
        <w:rPr>
          <w:color w:val="0B6A75"/>
        </w:rPr>
        <w:t>列日大学 HEC 列日高商管理学院、中国管理中心及万通教学中心欢迎所有毕业生前往校本部参加毕业典礼，享受喜悦和成功的美妙时刻。</w:t>
      </w:r>
    </w:p>
    <w:p>
      <w:pPr>
        <w:pStyle w:val="BodyText"/>
        <w:spacing w:before="10"/>
      </w:pPr>
      <w:r>
        <w:rPr/>
        <w:drawing>
          <wp:anchor distT="0" distB="0" distL="0" distR="0" allowOverlap="1" layoutInCell="1" locked="0" behindDoc="0" simplePos="0" relativeHeight="9">
            <wp:simplePos x="0" y="0"/>
            <wp:positionH relativeFrom="page">
              <wp:posOffset>1193291</wp:posOffset>
            </wp:positionH>
            <wp:positionV relativeFrom="paragraph">
              <wp:posOffset>311469</wp:posOffset>
            </wp:positionV>
            <wp:extent cx="5304241" cy="3886200"/>
            <wp:effectExtent l="0" t="0" r="0" b="0"/>
            <wp:wrapTopAndBottom/>
            <wp:docPr id="23" name="image12.jpeg"/>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5304241" cy="3886200"/>
                    </a:xfrm>
                    <a:prstGeom prst="rect">
                      <a:avLst/>
                    </a:prstGeom>
                  </pic:spPr>
                </pic:pic>
              </a:graphicData>
            </a:graphic>
          </wp:anchor>
        </w:drawing>
      </w:r>
    </w:p>
    <w:p>
      <w:pPr>
        <w:pStyle w:val="BodyText"/>
        <w:spacing w:before="14"/>
        <w:rPr>
          <w:sz w:val="38"/>
        </w:rPr>
      </w:pPr>
    </w:p>
    <w:p>
      <w:pPr>
        <w:pStyle w:val="BodyText"/>
        <w:spacing w:before="1"/>
        <w:ind w:left="566" w:right="1189"/>
        <w:jc w:val="center"/>
      </w:pPr>
      <w:r>
        <w:rPr>
          <w:color w:val="0B6A75"/>
        </w:rPr>
        <w:t>比利时列日大学 HEC 列日高商管理学院</w:t>
      </w:r>
    </w:p>
    <w:p>
      <w:pPr>
        <w:pStyle w:val="BodyText"/>
        <w:spacing w:before="48"/>
        <w:ind w:left="566" w:right="1172"/>
        <w:jc w:val="center"/>
      </w:pPr>
      <w:r>
        <w:rPr>
          <w:color w:val="0B6A75"/>
        </w:rPr>
        <w:t>Executive Master in Finance（EMF 金融管理硕士）项目教学中心</w:t>
      </w:r>
    </w:p>
    <w:sectPr>
      <w:pgSz w:w="11910" w:h="16840"/>
      <w:pgMar w:header="890" w:footer="0" w:top="1820" w:bottom="280" w:left="1520" w:right="8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icrosoft JhengHei">
    <w:altName w:val="Microsoft JhengHei"/>
    <w:charset w:val="0"/>
    <w:family w:val="swiss"/>
    <w:pitch w:val="variable"/>
  </w:font>
  <w:font w:name="Wingdings">
    <w:altName w:val="Wingdings"/>
    <w:charset w:val="2"/>
    <w:family w:val="auto"/>
    <w:pitch w:val="variable"/>
  </w:font>
  <w:font w:name="宋体">
    <w:altName w:val="宋体"/>
    <w:charset w:val="86"/>
    <w:family w:val="auto"/>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drawing>
        <wp:anchor distT="0" distB="0" distL="0" distR="0" allowOverlap="1" layoutInCell="1" locked="0" behindDoc="1" simplePos="0" relativeHeight="251479040">
          <wp:simplePos x="0" y="0"/>
          <wp:positionH relativeFrom="page">
            <wp:posOffset>1057655</wp:posOffset>
          </wp:positionH>
          <wp:positionV relativeFrom="page">
            <wp:posOffset>565384</wp:posOffset>
          </wp:positionV>
          <wp:extent cx="5867400" cy="591331"/>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1" cstate="print"/>
                  <a:stretch>
                    <a:fillRect/>
                  </a:stretch>
                </pic:blipFill>
                <pic:spPr>
                  <a:xfrm>
                    <a:off x="0" y="0"/>
                    <a:ext cx="5867400" cy="591331"/>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700" w:hanging="420"/>
      </w:pPr>
      <w:rPr>
        <w:rFonts w:hint="default" w:ascii="Wingdings" w:hAnsi="Wingdings" w:eastAsia="Wingdings" w:cs="Wingdings"/>
        <w:color w:val="0B6A75"/>
        <w:w w:val="100"/>
        <w:sz w:val="24"/>
        <w:szCs w:val="24"/>
        <w:lang w:val="zh-CN" w:eastAsia="zh-CN" w:bidi="zh-CN"/>
      </w:rPr>
    </w:lvl>
    <w:lvl w:ilvl="1">
      <w:start w:val="0"/>
      <w:numFmt w:val="bullet"/>
      <w:lvlText w:val="•"/>
      <w:lvlJc w:val="left"/>
      <w:pPr>
        <w:ind w:left="1580" w:hanging="420"/>
      </w:pPr>
      <w:rPr>
        <w:rFonts w:hint="default"/>
        <w:lang w:val="zh-CN" w:eastAsia="zh-CN" w:bidi="zh-CN"/>
      </w:rPr>
    </w:lvl>
    <w:lvl w:ilvl="2">
      <w:start w:val="0"/>
      <w:numFmt w:val="bullet"/>
      <w:lvlText w:val="•"/>
      <w:lvlJc w:val="left"/>
      <w:pPr>
        <w:ind w:left="2461" w:hanging="420"/>
      </w:pPr>
      <w:rPr>
        <w:rFonts w:hint="default"/>
        <w:lang w:val="zh-CN" w:eastAsia="zh-CN" w:bidi="zh-CN"/>
      </w:rPr>
    </w:lvl>
    <w:lvl w:ilvl="3">
      <w:start w:val="0"/>
      <w:numFmt w:val="bullet"/>
      <w:lvlText w:val="•"/>
      <w:lvlJc w:val="left"/>
      <w:pPr>
        <w:ind w:left="3341" w:hanging="420"/>
      </w:pPr>
      <w:rPr>
        <w:rFonts w:hint="default"/>
        <w:lang w:val="zh-CN" w:eastAsia="zh-CN" w:bidi="zh-CN"/>
      </w:rPr>
    </w:lvl>
    <w:lvl w:ilvl="4">
      <w:start w:val="0"/>
      <w:numFmt w:val="bullet"/>
      <w:lvlText w:val="•"/>
      <w:lvlJc w:val="left"/>
      <w:pPr>
        <w:ind w:left="4222" w:hanging="420"/>
      </w:pPr>
      <w:rPr>
        <w:rFonts w:hint="default"/>
        <w:lang w:val="zh-CN" w:eastAsia="zh-CN" w:bidi="zh-CN"/>
      </w:rPr>
    </w:lvl>
    <w:lvl w:ilvl="5">
      <w:start w:val="0"/>
      <w:numFmt w:val="bullet"/>
      <w:lvlText w:val="•"/>
      <w:lvlJc w:val="left"/>
      <w:pPr>
        <w:ind w:left="5103" w:hanging="420"/>
      </w:pPr>
      <w:rPr>
        <w:rFonts w:hint="default"/>
        <w:lang w:val="zh-CN" w:eastAsia="zh-CN" w:bidi="zh-CN"/>
      </w:rPr>
    </w:lvl>
    <w:lvl w:ilvl="6">
      <w:start w:val="0"/>
      <w:numFmt w:val="bullet"/>
      <w:lvlText w:val="•"/>
      <w:lvlJc w:val="left"/>
      <w:pPr>
        <w:ind w:left="5983" w:hanging="420"/>
      </w:pPr>
      <w:rPr>
        <w:rFonts w:hint="default"/>
        <w:lang w:val="zh-CN" w:eastAsia="zh-CN" w:bidi="zh-CN"/>
      </w:rPr>
    </w:lvl>
    <w:lvl w:ilvl="7">
      <w:start w:val="0"/>
      <w:numFmt w:val="bullet"/>
      <w:lvlText w:val="•"/>
      <w:lvlJc w:val="left"/>
      <w:pPr>
        <w:ind w:left="6864" w:hanging="420"/>
      </w:pPr>
      <w:rPr>
        <w:rFonts w:hint="default"/>
        <w:lang w:val="zh-CN" w:eastAsia="zh-CN" w:bidi="zh-CN"/>
      </w:rPr>
    </w:lvl>
    <w:lvl w:ilvl="8">
      <w:start w:val="0"/>
      <w:numFmt w:val="bullet"/>
      <w:lvlText w:val="•"/>
      <w:lvlJc w:val="left"/>
      <w:pPr>
        <w:ind w:left="7744" w:hanging="420"/>
      </w:pPr>
      <w:rPr>
        <w:rFonts w:hint="default"/>
        <w:lang w:val="zh-CN" w:eastAsia="zh-CN" w:bidi="zh-CN"/>
      </w:rPr>
    </w:lvl>
  </w:abstractNum>
  <w:abstractNum w:abstractNumId="0">
    <w:multiLevelType w:val="hybridMultilevel"/>
    <w:lvl w:ilvl="0">
      <w:start w:val="0"/>
      <w:numFmt w:val="bullet"/>
      <w:lvlText w:val=""/>
      <w:lvlJc w:val="left"/>
      <w:pPr>
        <w:ind w:left="700" w:hanging="420"/>
      </w:pPr>
      <w:rPr>
        <w:rFonts w:hint="default" w:ascii="Wingdings" w:hAnsi="Wingdings" w:eastAsia="Wingdings" w:cs="Wingdings"/>
        <w:color w:val="0B6A75"/>
        <w:w w:val="100"/>
        <w:sz w:val="24"/>
        <w:szCs w:val="24"/>
        <w:lang w:val="zh-CN" w:eastAsia="zh-CN" w:bidi="zh-CN"/>
      </w:rPr>
    </w:lvl>
    <w:lvl w:ilvl="1">
      <w:start w:val="0"/>
      <w:numFmt w:val="bullet"/>
      <w:lvlText w:val="►"/>
      <w:lvlJc w:val="left"/>
      <w:pPr>
        <w:ind w:left="700" w:hanging="360"/>
      </w:pPr>
      <w:rPr>
        <w:rFonts w:hint="default" w:ascii="Arial" w:hAnsi="Arial" w:eastAsia="Arial" w:cs="Arial"/>
        <w:color w:val="0B6A75"/>
        <w:spacing w:val="-11"/>
        <w:w w:val="100"/>
        <w:sz w:val="24"/>
        <w:szCs w:val="24"/>
        <w:lang w:val="zh-CN" w:eastAsia="zh-CN" w:bidi="zh-CN"/>
      </w:rPr>
    </w:lvl>
    <w:lvl w:ilvl="2">
      <w:start w:val="0"/>
      <w:numFmt w:val="bullet"/>
      <w:lvlText w:val="•"/>
      <w:lvlJc w:val="left"/>
      <w:pPr>
        <w:ind w:left="2461" w:hanging="360"/>
      </w:pPr>
      <w:rPr>
        <w:rFonts w:hint="default"/>
        <w:lang w:val="zh-CN" w:eastAsia="zh-CN" w:bidi="zh-CN"/>
      </w:rPr>
    </w:lvl>
    <w:lvl w:ilvl="3">
      <w:start w:val="0"/>
      <w:numFmt w:val="bullet"/>
      <w:lvlText w:val="•"/>
      <w:lvlJc w:val="left"/>
      <w:pPr>
        <w:ind w:left="3341" w:hanging="360"/>
      </w:pPr>
      <w:rPr>
        <w:rFonts w:hint="default"/>
        <w:lang w:val="zh-CN" w:eastAsia="zh-CN" w:bidi="zh-CN"/>
      </w:rPr>
    </w:lvl>
    <w:lvl w:ilvl="4">
      <w:start w:val="0"/>
      <w:numFmt w:val="bullet"/>
      <w:lvlText w:val="•"/>
      <w:lvlJc w:val="left"/>
      <w:pPr>
        <w:ind w:left="4222" w:hanging="360"/>
      </w:pPr>
      <w:rPr>
        <w:rFonts w:hint="default"/>
        <w:lang w:val="zh-CN" w:eastAsia="zh-CN" w:bidi="zh-CN"/>
      </w:rPr>
    </w:lvl>
    <w:lvl w:ilvl="5">
      <w:start w:val="0"/>
      <w:numFmt w:val="bullet"/>
      <w:lvlText w:val="•"/>
      <w:lvlJc w:val="left"/>
      <w:pPr>
        <w:ind w:left="5103" w:hanging="360"/>
      </w:pPr>
      <w:rPr>
        <w:rFonts w:hint="default"/>
        <w:lang w:val="zh-CN" w:eastAsia="zh-CN" w:bidi="zh-CN"/>
      </w:rPr>
    </w:lvl>
    <w:lvl w:ilvl="6">
      <w:start w:val="0"/>
      <w:numFmt w:val="bullet"/>
      <w:lvlText w:val="•"/>
      <w:lvlJc w:val="left"/>
      <w:pPr>
        <w:ind w:left="5983" w:hanging="360"/>
      </w:pPr>
      <w:rPr>
        <w:rFonts w:hint="default"/>
        <w:lang w:val="zh-CN" w:eastAsia="zh-CN" w:bidi="zh-CN"/>
      </w:rPr>
    </w:lvl>
    <w:lvl w:ilvl="7">
      <w:start w:val="0"/>
      <w:numFmt w:val="bullet"/>
      <w:lvlText w:val="•"/>
      <w:lvlJc w:val="left"/>
      <w:pPr>
        <w:ind w:left="6864" w:hanging="360"/>
      </w:pPr>
      <w:rPr>
        <w:rFonts w:hint="default"/>
        <w:lang w:val="zh-CN" w:eastAsia="zh-CN" w:bidi="zh-CN"/>
      </w:rPr>
    </w:lvl>
    <w:lvl w:ilvl="8">
      <w:start w:val="0"/>
      <w:numFmt w:val="bullet"/>
      <w:lvlText w:val="•"/>
      <w:lvlJc w:val="left"/>
      <w:pPr>
        <w:ind w:left="7744" w:hanging="360"/>
      </w:pPr>
      <w:rPr>
        <w:rFonts w:hint="default"/>
        <w:lang w:val="zh-CN" w:eastAsia="zh-CN" w:bidi="zh-CN"/>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JhengHei" w:hAnsi="Microsoft JhengHei" w:eastAsia="Microsoft JhengHei" w:cs="Microsoft JhengHei"/>
      <w:lang w:val="zh-CN" w:eastAsia="zh-CN" w:bidi="zh-CN"/>
    </w:rPr>
  </w:style>
  <w:style w:styleId="BodyText" w:type="paragraph">
    <w:name w:val="Body Text"/>
    <w:basedOn w:val="Normal"/>
    <w:uiPriority w:val="1"/>
    <w:qFormat/>
    <w:pPr/>
    <w:rPr>
      <w:rFonts w:ascii="Microsoft JhengHei" w:hAnsi="Microsoft JhengHei" w:eastAsia="Microsoft JhengHei" w:cs="Microsoft JhengHei"/>
      <w:b/>
      <w:bCs/>
      <w:sz w:val="24"/>
      <w:szCs w:val="24"/>
      <w:lang w:val="zh-CN" w:eastAsia="zh-CN" w:bidi="zh-CN"/>
    </w:rPr>
  </w:style>
  <w:style w:styleId="Heading1" w:type="paragraph">
    <w:name w:val="Heading 1"/>
    <w:basedOn w:val="Normal"/>
    <w:uiPriority w:val="1"/>
    <w:qFormat/>
    <w:pPr>
      <w:ind w:left="566" w:right="1182"/>
      <w:jc w:val="center"/>
      <w:outlineLvl w:val="1"/>
    </w:pPr>
    <w:rPr>
      <w:rFonts w:ascii="Microsoft JhengHei" w:hAnsi="Microsoft JhengHei" w:eastAsia="Microsoft JhengHei" w:cs="Microsoft JhengHei"/>
      <w:b/>
      <w:bCs/>
      <w:sz w:val="44"/>
      <w:szCs w:val="44"/>
      <w:lang w:val="zh-CN" w:eastAsia="zh-CN" w:bidi="zh-CN"/>
    </w:rPr>
  </w:style>
  <w:style w:styleId="Heading2" w:type="paragraph">
    <w:name w:val="Heading 2"/>
    <w:basedOn w:val="Normal"/>
    <w:uiPriority w:val="1"/>
    <w:qFormat/>
    <w:pPr>
      <w:spacing w:before="5"/>
      <w:ind w:left="280"/>
      <w:outlineLvl w:val="2"/>
    </w:pPr>
    <w:rPr>
      <w:rFonts w:ascii="Microsoft JhengHei" w:hAnsi="Microsoft JhengHei" w:eastAsia="Microsoft JhengHei" w:cs="Microsoft JhengHei"/>
      <w:b/>
      <w:bCs/>
      <w:sz w:val="28"/>
      <w:szCs w:val="28"/>
      <w:lang w:val="zh-CN" w:eastAsia="zh-CN" w:bidi="zh-CN"/>
    </w:rPr>
  </w:style>
  <w:style w:styleId="ListParagraph" w:type="paragraph">
    <w:name w:val="List Paragraph"/>
    <w:basedOn w:val="Normal"/>
    <w:uiPriority w:val="1"/>
    <w:qFormat/>
    <w:pPr>
      <w:ind w:left="700" w:hanging="360"/>
    </w:pPr>
    <w:rPr>
      <w:rFonts w:ascii="Microsoft JhengHei" w:hAnsi="Microsoft JhengHei" w:eastAsia="Microsoft JhengHei" w:cs="Microsoft JhengHei"/>
      <w:lang w:val="zh-CN" w:eastAsia="zh-CN" w:bidi="zh-CN"/>
    </w:rPr>
  </w:style>
  <w:style w:styleId="TableParagraph" w:type="paragraph">
    <w:name w:val="Table Paragraph"/>
    <w:basedOn w:val="Normal"/>
    <w:uiPriority w:val="1"/>
    <w:qFormat/>
    <w:pPr/>
    <w:rPr>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yperlink" Target="https://cwur.org/2018-19.php" TargetMode="External"/><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title>名校中的名校</dc:title>
  <dcterms:created xsi:type="dcterms:W3CDTF">2020-05-22T09:28:34Z</dcterms:created>
  <dcterms:modified xsi:type="dcterms:W3CDTF">2020-05-22T09:28:34Z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2019-01-03T00:00:00Z</vt:filetime>
  </property>
  <property fmtid="{D5CDD505-2E9C-101B-9397-08002B2CF9AE}" pid="3" name="Creator">
    <vt:lpwstr>WPS 文字</vt:lpwstr>
  </property>
  <property fmtid="{D5CDD505-2E9C-101B-9397-08002B2CF9AE}" pid="4" name="LastSaved">
    <vt:filetime>2020-05-22T00:00:00Z</vt:filetime>
  </property>
</Properties>
</file>