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EB440F9">
      <w:pPr>
        <w:pStyle w:val="2"/>
        <w:spacing w:line="242" w:lineRule="auto"/>
      </w:pPr>
    </w:p>
    <w:p w14:paraId="09AE8938">
      <w:pPr>
        <w:pStyle w:val="2"/>
        <w:spacing w:line="242" w:lineRule="auto"/>
      </w:pPr>
    </w:p>
    <w:p w14:paraId="78AE21CE">
      <w:pPr>
        <w:pStyle w:val="2"/>
        <w:spacing w:line="242" w:lineRule="auto"/>
      </w:pPr>
    </w:p>
    <w:p w14:paraId="43C13D88">
      <w:pPr>
        <w:pStyle w:val="2"/>
        <w:spacing w:line="242" w:lineRule="auto"/>
      </w:pPr>
    </w:p>
    <w:p w14:paraId="5D2D91B2">
      <w:pPr>
        <w:pStyle w:val="2"/>
        <w:spacing w:line="242" w:lineRule="auto"/>
      </w:pPr>
    </w:p>
    <w:p w14:paraId="555B4887">
      <w:pPr>
        <w:pStyle w:val="2"/>
        <w:spacing w:line="242" w:lineRule="auto"/>
      </w:pPr>
    </w:p>
    <w:p w14:paraId="26CFA878">
      <w:pPr>
        <w:pStyle w:val="2"/>
        <w:spacing w:line="242" w:lineRule="auto"/>
      </w:pPr>
    </w:p>
    <w:p w14:paraId="79B526E8">
      <w:pPr>
        <w:pStyle w:val="2"/>
        <w:spacing w:line="242" w:lineRule="auto"/>
      </w:pPr>
    </w:p>
    <w:p w14:paraId="2E7E5B1E">
      <w:pPr>
        <w:pStyle w:val="2"/>
        <w:spacing w:line="242" w:lineRule="auto"/>
      </w:pPr>
    </w:p>
    <w:p w14:paraId="622719E1">
      <w:pPr>
        <w:pStyle w:val="2"/>
        <w:spacing w:line="242" w:lineRule="auto"/>
      </w:pPr>
    </w:p>
    <w:p w14:paraId="516D2687">
      <w:pPr>
        <w:pStyle w:val="2"/>
        <w:spacing w:line="242" w:lineRule="auto"/>
      </w:pPr>
    </w:p>
    <w:p w14:paraId="46B74786">
      <w:pPr>
        <w:pStyle w:val="2"/>
        <w:spacing w:line="242" w:lineRule="auto"/>
      </w:pPr>
    </w:p>
    <w:p w14:paraId="5BDEDB38">
      <w:pPr>
        <w:pStyle w:val="2"/>
        <w:spacing w:line="242" w:lineRule="auto"/>
      </w:pPr>
    </w:p>
    <w:p w14:paraId="0F07470C">
      <w:pPr>
        <w:pStyle w:val="2"/>
        <w:spacing w:line="242" w:lineRule="auto"/>
      </w:pPr>
    </w:p>
    <w:p w14:paraId="0B028E77">
      <w:pPr>
        <w:pStyle w:val="2"/>
        <w:spacing w:line="242" w:lineRule="auto"/>
      </w:pPr>
    </w:p>
    <w:p w14:paraId="439116E1">
      <w:pPr>
        <w:pStyle w:val="2"/>
        <w:spacing w:line="242" w:lineRule="auto"/>
      </w:pPr>
    </w:p>
    <w:p w14:paraId="4D2E5EAF">
      <w:pPr>
        <w:pStyle w:val="2"/>
        <w:spacing w:line="242" w:lineRule="auto"/>
      </w:pPr>
    </w:p>
    <w:p w14:paraId="7DA3B960">
      <w:pPr>
        <w:pStyle w:val="2"/>
        <w:spacing w:line="242" w:lineRule="auto"/>
      </w:pPr>
    </w:p>
    <w:p w14:paraId="7BDD4D08">
      <w:pPr>
        <w:pStyle w:val="2"/>
        <w:spacing w:line="242" w:lineRule="auto"/>
      </w:pPr>
    </w:p>
    <w:p w14:paraId="2EE79D9F">
      <w:pPr>
        <w:pStyle w:val="2"/>
        <w:spacing w:line="242" w:lineRule="auto"/>
      </w:pPr>
    </w:p>
    <w:p w14:paraId="091A53F0">
      <w:pPr>
        <w:pStyle w:val="2"/>
        <w:spacing w:line="242" w:lineRule="auto"/>
      </w:pPr>
    </w:p>
    <w:p w14:paraId="497D2F63">
      <w:pPr>
        <w:pStyle w:val="2"/>
        <w:spacing w:line="242" w:lineRule="auto"/>
      </w:pPr>
    </w:p>
    <w:p w14:paraId="1B18E82E">
      <w:pPr>
        <w:pStyle w:val="2"/>
        <w:spacing w:line="242" w:lineRule="auto"/>
      </w:pPr>
    </w:p>
    <w:p w14:paraId="1D108764">
      <w:pPr>
        <w:pStyle w:val="2"/>
        <w:spacing w:line="242" w:lineRule="auto"/>
      </w:pPr>
    </w:p>
    <w:p w14:paraId="68687665">
      <w:pPr>
        <w:pStyle w:val="2"/>
        <w:spacing w:line="242" w:lineRule="auto"/>
      </w:pPr>
    </w:p>
    <w:p w14:paraId="6133FDDF">
      <w:pPr>
        <w:pStyle w:val="2"/>
        <w:spacing w:line="242" w:lineRule="auto"/>
      </w:pPr>
    </w:p>
    <w:p w14:paraId="2D5A435B">
      <w:pPr>
        <w:pStyle w:val="2"/>
        <w:spacing w:line="242" w:lineRule="auto"/>
      </w:pPr>
    </w:p>
    <w:p w14:paraId="643EB60E">
      <w:pPr>
        <w:pStyle w:val="2"/>
        <w:spacing w:line="242" w:lineRule="auto"/>
      </w:pPr>
    </w:p>
    <w:p w14:paraId="10958587">
      <w:pPr>
        <w:pStyle w:val="2"/>
        <w:spacing w:line="242" w:lineRule="auto"/>
      </w:pPr>
    </w:p>
    <w:p w14:paraId="02265190">
      <w:pPr>
        <w:pStyle w:val="2"/>
        <w:spacing w:line="242" w:lineRule="auto"/>
      </w:pPr>
    </w:p>
    <w:p w14:paraId="1534631B">
      <w:pPr>
        <w:pStyle w:val="2"/>
        <w:spacing w:line="242" w:lineRule="auto"/>
      </w:pPr>
    </w:p>
    <w:p w14:paraId="0150C548">
      <w:pPr>
        <w:pStyle w:val="2"/>
        <w:spacing w:line="242" w:lineRule="auto"/>
      </w:pPr>
    </w:p>
    <w:p w14:paraId="09FE22A0">
      <w:pPr>
        <w:pStyle w:val="2"/>
        <w:spacing w:line="242" w:lineRule="auto"/>
      </w:pPr>
    </w:p>
    <w:p w14:paraId="1957A205">
      <w:pPr>
        <w:pStyle w:val="2"/>
        <w:spacing w:line="242" w:lineRule="auto"/>
      </w:pPr>
    </w:p>
    <w:p w14:paraId="2112AAC1">
      <w:pPr>
        <w:pStyle w:val="2"/>
        <w:spacing w:line="242" w:lineRule="auto"/>
      </w:pPr>
    </w:p>
    <w:p w14:paraId="3ECEE963">
      <w:pPr>
        <w:pStyle w:val="2"/>
        <w:spacing w:line="243" w:lineRule="auto"/>
      </w:pPr>
    </w:p>
    <w:p w14:paraId="6A5651DC">
      <w:pPr>
        <w:pStyle w:val="2"/>
        <w:spacing w:line="243" w:lineRule="auto"/>
      </w:pPr>
    </w:p>
    <w:p w14:paraId="2148370D">
      <w:pPr>
        <w:pStyle w:val="2"/>
        <w:spacing w:line="243" w:lineRule="auto"/>
      </w:pPr>
    </w:p>
    <w:p w14:paraId="6FDE9189">
      <w:pPr>
        <w:pStyle w:val="2"/>
        <w:spacing w:line="243" w:lineRule="auto"/>
      </w:pPr>
    </w:p>
    <w:p w14:paraId="77676723">
      <w:pPr>
        <w:pStyle w:val="2"/>
        <w:spacing w:line="243" w:lineRule="auto"/>
      </w:pPr>
    </w:p>
    <w:p w14:paraId="3D40B85C">
      <w:pPr>
        <w:pStyle w:val="2"/>
        <w:spacing w:line="243" w:lineRule="auto"/>
      </w:pPr>
    </w:p>
    <w:p w14:paraId="175366E0">
      <w:pPr>
        <w:pStyle w:val="2"/>
        <w:spacing w:line="243" w:lineRule="auto"/>
      </w:pPr>
    </w:p>
    <w:p w14:paraId="6CFAB339">
      <w:pPr>
        <w:pStyle w:val="2"/>
        <w:spacing w:line="243" w:lineRule="auto"/>
      </w:pPr>
    </w:p>
    <w:p w14:paraId="2473F131">
      <w:pPr>
        <w:pStyle w:val="2"/>
        <w:spacing w:line="243" w:lineRule="auto"/>
      </w:pPr>
    </w:p>
    <w:p w14:paraId="058CF11A">
      <w:pPr>
        <w:pStyle w:val="2"/>
        <w:spacing w:line="243" w:lineRule="auto"/>
      </w:pPr>
    </w:p>
    <w:p w14:paraId="182D8FB4">
      <w:pPr>
        <w:pStyle w:val="2"/>
        <w:spacing w:line="243" w:lineRule="auto"/>
      </w:pPr>
    </w:p>
    <w:p w14:paraId="1E02DC36">
      <w:pPr>
        <w:pStyle w:val="2"/>
        <w:spacing w:before="273" w:line="229" w:lineRule="auto"/>
        <w:ind w:left="619" w:right="4372"/>
        <w:outlineLvl w:val="0"/>
        <w:rPr>
          <w:rFonts w:ascii="黑体" w:hAnsi="黑体" w:eastAsia="黑体" w:cs="黑体"/>
          <w:sz w:val="84"/>
          <w:szCs w:val="84"/>
        </w:rPr>
      </w:pPr>
      <w:r>
        <w:drawing>
          <wp:anchor distT="0" distB="0" distL="0" distR="0" simplePos="0" relativeHeight="251659264" behindDoc="1" locked="0" layoutInCell="1" allowOverlap="1">
            <wp:simplePos x="0" y="0"/>
            <wp:positionH relativeFrom="column">
              <wp:posOffset>0</wp:posOffset>
            </wp:positionH>
            <wp:positionV relativeFrom="paragraph">
              <wp:posOffset>-7374890</wp:posOffset>
            </wp:positionV>
            <wp:extent cx="7556500" cy="10693400"/>
            <wp:effectExtent l="0" t="0" r="0" b="0"/>
            <wp:wrapNone/>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8"/>
                    <a:stretch>
                      <a:fillRect/>
                    </a:stretch>
                  </pic:blipFill>
                  <pic:spPr>
                    <a:xfrm>
                      <a:off x="0" y="0"/>
                      <a:ext cx="7556500" cy="10693400"/>
                    </a:xfrm>
                    <a:prstGeom prst="rect">
                      <a:avLst/>
                    </a:prstGeom>
                  </pic:spPr>
                </pic:pic>
              </a:graphicData>
            </a:graphic>
          </wp:anchor>
        </w:drawing>
      </w:r>
      <w:r>
        <w:rPr>
          <w:rFonts w:ascii="黑体" w:hAnsi="黑体" w:eastAsia="黑体" w:cs="黑体"/>
          <w:color w:val="00BD9D"/>
          <w:spacing w:val="40"/>
          <w:sz w:val="84"/>
          <w:szCs w:val="84"/>
        </w:rPr>
        <w:t>城建与产</w:t>
      </w:r>
      <w:r>
        <w:rPr>
          <w:rFonts w:ascii="黑体" w:hAnsi="黑体" w:eastAsia="黑体" w:cs="黑体"/>
          <w:spacing w:val="40"/>
          <w:sz w:val="84"/>
          <w:szCs w:val="84"/>
        </w:rPr>
        <w:t>业</w:t>
      </w:r>
      <w:r>
        <w:rPr>
          <w:rFonts w:ascii="黑体" w:hAnsi="黑体" w:eastAsia="黑体" w:cs="黑体"/>
          <w:color w:val="12C62A"/>
          <w:spacing w:val="40"/>
          <w:sz w:val="84"/>
          <w:szCs w:val="84"/>
        </w:rPr>
        <w:t>创新</w:t>
      </w:r>
      <w:r>
        <w:rPr>
          <w:rFonts w:ascii="黑体" w:hAnsi="黑体" w:eastAsia="黑体" w:cs="黑体"/>
          <w:color w:val="12C62A"/>
          <w:sz w:val="84"/>
          <w:szCs w:val="84"/>
        </w:rPr>
        <w:t xml:space="preserve">  </w:t>
      </w:r>
      <w:r>
        <w:rPr>
          <w:rFonts w:ascii="黑体" w:hAnsi="黑体" w:eastAsia="黑体" w:cs="黑体"/>
          <w:color w:val="00BD9D"/>
          <w:spacing w:val="15"/>
          <w:sz w:val="84"/>
          <w:szCs w:val="84"/>
        </w:rPr>
        <w:t>领军</w:t>
      </w:r>
      <w:r>
        <w:rPr>
          <w:rFonts w:ascii="黑体" w:hAnsi="黑体" w:eastAsia="黑体" w:cs="黑体"/>
          <w:color w:val="12C62A"/>
          <w:spacing w:val="15"/>
          <w:sz w:val="84"/>
          <w:szCs w:val="84"/>
        </w:rPr>
        <w:t>人才</w:t>
      </w:r>
      <w:r>
        <w:rPr>
          <w:color w:val="12C62A"/>
          <w:sz w:val="84"/>
          <w:szCs w:val="84"/>
        </w:rPr>
        <w:t>EMBA</w:t>
      </w:r>
      <w:r>
        <w:rPr>
          <w:color w:val="12C62A"/>
          <w:spacing w:val="15"/>
          <w:sz w:val="84"/>
          <w:szCs w:val="84"/>
        </w:rPr>
        <w:t xml:space="preserve"> </w:t>
      </w:r>
      <w:r>
        <w:rPr>
          <w:rFonts w:ascii="黑体" w:hAnsi="黑体" w:eastAsia="黑体" w:cs="黑体"/>
          <w:color w:val="12C62A"/>
          <w:spacing w:val="15"/>
          <w:sz w:val="84"/>
          <w:szCs w:val="84"/>
        </w:rPr>
        <w:t>班</w:t>
      </w:r>
    </w:p>
    <w:p w14:paraId="04390689">
      <w:pPr>
        <w:pStyle w:val="2"/>
        <w:spacing w:line="292" w:lineRule="auto"/>
      </w:pPr>
    </w:p>
    <w:p w14:paraId="65A90721">
      <w:pPr>
        <w:pStyle w:val="2"/>
        <w:spacing w:line="292" w:lineRule="auto"/>
      </w:pPr>
    </w:p>
    <w:p w14:paraId="5300C490">
      <w:pPr>
        <w:spacing w:before="130" w:line="221" w:lineRule="auto"/>
        <w:ind w:left="625"/>
        <w:rPr>
          <w:rFonts w:ascii="黑体" w:hAnsi="黑体" w:eastAsia="黑体" w:cs="黑体"/>
          <w:sz w:val="40"/>
          <w:szCs w:val="40"/>
        </w:rPr>
      </w:pPr>
      <w:r>
        <w:rPr>
          <w:rFonts w:ascii="黑体" w:hAnsi="黑体" w:eastAsia="黑体" w:cs="黑体"/>
          <w:b/>
          <w:bCs/>
          <w:spacing w:val="16"/>
          <w:sz w:val="40"/>
          <w:szCs w:val="40"/>
        </w:rPr>
        <w:t>平台决定视野/资源成就伟业</w:t>
      </w:r>
    </w:p>
    <w:p w14:paraId="34D63BA5">
      <w:pPr>
        <w:pStyle w:val="2"/>
        <w:spacing w:before="79" w:line="198" w:lineRule="auto"/>
        <w:ind w:left="619"/>
        <w:rPr>
          <w:sz w:val="10"/>
          <w:szCs w:val="10"/>
        </w:rPr>
      </w:pPr>
      <w:r>
        <w:rPr>
          <w:sz w:val="10"/>
          <w:szCs w:val="10"/>
        </w:rPr>
        <w:t>KEEPING    ABREAST     OF    THE     TREND    OF     THE</w:t>
      </w:r>
      <w:r>
        <w:rPr>
          <w:spacing w:val="-1"/>
          <w:sz w:val="10"/>
          <w:szCs w:val="10"/>
        </w:rPr>
        <w:t xml:space="preserve">    TIMES     TOACHIEVE    COMMON     DEVELOPMENT.</w:t>
      </w:r>
    </w:p>
    <w:p w14:paraId="30C29529">
      <w:pPr>
        <w:pStyle w:val="2"/>
        <w:spacing w:before="105" w:line="198" w:lineRule="auto"/>
        <w:ind w:left="619"/>
        <w:rPr>
          <w:sz w:val="10"/>
          <w:szCs w:val="10"/>
        </w:rPr>
      </w:pPr>
      <w:r>
        <w:rPr>
          <w:sz w:val="10"/>
          <w:szCs w:val="10"/>
        </w:rPr>
        <w:t>WE     SHOULD      PURSUE      INNOVATION      AND     S</w:t>
      </w:r>
      <w:r>
        <w:rPr>
          <w:spacing w:val="-1"/>
          <w:sz w:val="10"/>
          <w:szCs w:val="10"/>
        </w:rPr>
        <w:t>EIZE      DEVELOPMENT      OPPORTUNITIES.</w:t>
      </w:r>
    </w:p>
    <w:p w14:paraId="626EEA02">
      <w:pPr>
        <w:spacing w:line="198" w:lineRule="auto"/>
        <w:rPr>
          <w:sz w:val="10"/>
          <w:szCs w:val="10"/>
        </w:rPr>
        <w:sectPr>
          <w:headerReference r:id="rId5" w:type="default"/>
          <w:pgSz w:w="11900" w:h="16840"/>
          <w:pgMar w:top="400" w:right="0" w:bottom="0" w:left="0" w:header="0" w:footer="0" w:gutter="0"/>
          <w:cols w:space="720" w:num="1"/>
        </w:sectPr>
      </w:pPr>
    </w:p>
    <w:p w14:paraId="72C23C09">
      <w:pPr>
        <w:pStyle w:val="2"/>
        <w:spacing w:line="340" w:lineRule="auto"/>
      </w:pPr>
    </w:p>
    <w:p w14:paraId="72E33DC6">
      <w:pPr>
        <w:pStyle w:val="2"/>
        <w:spacing w:before="156" w:line="221" w:lineRule="auto"/>
        <w:ind w:left="636"/>
        <w:rPr>
          <w:sz w:val="15"/>
          <w:szCs w:val="15"/>
        </w:rPr>
      </w:pPr>
      <w:r>
        <w:drawing>
          <wp:anchor distT="0" distB="0" distL="0" distR="0" simplePos="0" relativeHeight="251660288" behindDoc="1" locked="0" layoutInCell="1" allowOverlap="1">
            <wp:simplePos x="0" y="0"/>
            <wp:positionH relativeFrom="column">
              <wp:posOffset>0</wp:posOffset>
            </wp:positionH>
            <wp:positionV relativeFrom="paragraph">
              <wp:posOffset>-471170</wp:posOffset>
            </wp:positionV>
            <wp:extent cx="7556500" cy="10693400"/>
            <wp:effectExtent l="0" t="0" r="0" b="0"/>
            <wp:wrapNone/>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9"/>
                    <a:stretch>
                      <a:fillRect/>
                    </a:stretch>
                  </pic:blipFill>
                  <pic:spPr>
                    <a:xfrm>
                      <a:off x="0" y="0"/>
                      <a:ext cx="7556500" cy="10693400"/>
                    </a:xfrm>
                    <a:prstGeom prst="rect">
                      <a:avLst/>
                    </a:prstGeom>
                  </pic:spPr>
                </pic:pic>
              </a:graphicData>
            </a:graphic>
          </wp:anchor>
        </w:drawing>
      </w:r>
      <w:r>
        <w:rPr>
          <w:rFonts w:ascii="黑体" w:hAnsi="黑体" w:eastAsia="黑体" w:cs="黑体"/>
          <w:b/>
          <w:bCs/>
          <w:spacing w:val="8"/>
          <w:sz w:val="48"/>
          <w:szCs w:val="48"/>
        </w:rPr>
        <w:t>项目背景</w:t>
      </w:r>
      <w:r>
        <w:rPr>
          <w:b/>
          <w:bCs/>
          <w:position w:val="-1"/>
          <w:sz w:val="15"/>
          <w:szCs w:val="15"/>
        </w:rPr>
        <w:t>IPROJECT</w:t>
      </w:r>
      <w:r>
        <w:rPr>
          <w:b/>
          <w:bCs/>
          <w:spacing w:val="8"/>
          <w:position w:val="-1"/>
          <w:sz w:val="15"/>
          <w:szCs w:val="15"/>
        </w:rPr>
        <w:t xml:space="preserve">  </w:t>
      </w:r>
      <w:r>
        <w:rPr>
          <w:b/>
          <w:bCs/>
          <w:position w:val="-1"/>
          <w:sz w:val="15"/>
          <w:szCs w:val="15"/>
        </w:rPr>
        <w:t>BACKGROUND</w:t>
      </w:r>
    </w:p>
    <w:p w14:paraId="1705A521">
      <w:pPr>
        <w:spacing w:before="262" w:line="219" w:lineRule="auto"/>
        <w:ind w:left="637"/>
        <w:rPr>
          <w:rFonts w:ascii="宋体" w:hAnsi="宋体" w:eastAsia="宋体" w:cs="宋体"/>
          <w:sz w:val="56"/>
          <w:szCs w:val="56"/>
        </w:rPr>
      </w:pPr>
      <w:r>
        <w:rPr>
          <w:rFonts w:ascii="宋体" w:hAnsi="宋体" w:eastAsia="宋体" w:cs="宋体"/>
          <w:b/>
          <w:bCs/>
          <w:color w:val="00C489"/>
          <w:spacing w:val="7"/>
          <w:sz w:val="56"/>
          <w:szCs w:val="56"/>
        </w:rPr>
        <w:t>在时代变革的大背景下</w:t>
      </w:r>
    </w:p>
    <w:p w14:paraId="016629E5">
      <w:pPr>
        <w:spacing w:before="65" w:line="219" w:lineRule="auto"/>
        <w:ind w:left="637"/>
        <w:rPr>
          <w:rFonts w:ascii="宋体" w:hAnsi="宋体" w:eastAsia="宋体" w:cs="宋体"/>
          <w:sz w:val="56"/>
          <w:szCs w:val="56"/>
        </w:rPr>
      </w:pPr>
      <w:r>
        <w:rPr>
          <w:rFonts w:ascii="宋体" w:hAnsi="宋体" w:eastAsia="宋体" w:cs="宋体"/>
          <w:b/>
          <w:bCs/>
          <w:color w:val="00C3A2"/>
          <w:spacing w:val="8"/>
          <w:sz w:val="56"/>
          <w:szCs w:val="56"/>
        </w:rPr>
        <w:t>不能用过</w:t>
      </w:r>
      <w:r>
        <w:rPr>
          <w:rFonts w:ascii="宋体" w:hAnsi="宋体" w:eastAsia="宋体" w:cs="宋体"/>
          <w:b/>
          <w:bCs/>
          <w:color w:val="5ECB00"/>
          <w:spacing w:val="8"/>
          <w:sz w:val="56"/>
          <w:szCs w:val="56"/>
        </w:rPr>
        <w:t>去老的经验走未来新的道路</w:t>
      </w:r>
    </w:p>
    <w:p w14:paraId="123FADF0">
      <w:pPr>
        <w:pStyle w:val="2"/>
        <w:spacing w:line="332" w:lineRule="auto"/>
      </w:pPr>
    </w:p>
    <w:p w14:paraId="78E84BAA">
      <w:pPr>
        <w:pStyle w:val="2"/>
        <w:spacing w:line="333" w:lineRule="auto"/>
      </w:pPr>
    </w:p>
    <w:p w14:paraId="343D6912">
      <w:pPr>
        <w:spacing w:before="78" w:line="213" w:lineRule="auto"/>
        <w:ind w:left="1090"/>
        <w:rPr>
          <w:rFonts w:ascii="黑体" w:hAnsi="黑体" w:eastAsia="黑体" w:cs="黑体"/>
          <w:sz w:val="24"/>
          <w:szCs w:val="24"/>
        </w:rPr>
      </w:pPr>
      <w:r>
        <w:rPr>
          <w:rFonts w:ascii="黑体" w:hAnsi="黑体" w:eastAsia="黑体" w:cs="黑体"/>
          <w:spacing w:val="-9"/>
          <w:sz w:val="24"/>
          <w:szCs w:val="24"/>
        </w:rPr>
        <w:t>中国城乡建设与产业发展已进入新阶段，行业步入平缓发展期，</w:t>
      </w:r>
      <w:r>
        <w:rPr>
          <w:rFonts w:ascii="黑体" w:hAnsi="黑体" w:eastAsia="黑体" w:cs="黑体"/>
          <w:spacing w:val="-10"/>
          <w:sz w:val="24"/>
          <w:szCs w:val="24"/>
        </w:rPr>
        <w:t>这个阶段产业细分化、产品精细化、</w:t>
      </w:r>
    </w:p>
    <w:p w14:paraId="0244EE14">
      <w:pPr>
        <w:spacing w:before="253" w:line="213" w:lineRule="auto"/>
        <w:ind w:left="629"/>
        <w:rPr>
          <w:rFonts w:ascii="黑体" w:hAnsi="黑体" w:eastAsia="黑体" w:cs="黑体"/>
          <w:sz w:val="24"/>
          <w:szCs w:val="24"/>
        </w:rPr>
      </w:pPr>
      <w:r>
        <w:rPr>
          <w:rFonts w:ascii="黑体" w:hAnsi="黑体" w:eastAsia="黑体" w:cs="黑体"/>
          <w:spacing w:val="-8"/>
          <w:sz w:val="24"/>
          <w:szCs w:val="24"/>
        </w:rPr>
        <w:t>项目运营化、竞争加剧化的特征，宏观环境的调</w:t>
      </w:r>
      <w:r>
        <w:rPr>
          <w:rFonts w:ascii="黑体" w:hAnsi="黑体" w:eastAsia="黑体" w:cs="黑体"/>
          <w:spacing w:val="-9"/>
          <w:sz w:val="24"/>
          <w:szCs w:val="24"/>
        </w:rPr>
        <w:t>整、市场需求的变化、行业的白热化竞争、利润空间的缩</w:t>
      </w:r>
    </w:p>
    <w:p w14:paraId="27D43423">
      <w:pPr>
        <w:spacing w:before="243" w:line="213" w:lineRule="auto"/>
        <w:ind w:left="629"/>
        <w:rPr>
          <w:rFonts w:ascii="黑体" w:hAnsi="黑体" w:eastAsia="黑体" w:cs="黑体"/>
          <w:sz w:val="24"/>
          <w:szCs w:val="24"/>
        </w:rPr>
      </w:pPr>
      <w:r>
        <w:rPr>
          <w:rFonts w:ascii="黑体" w:hAnsi="黑体" w:eastAsia="黑体" w:cs="黑体"/>
          <w:spacing w:val="-6"/>
          <w:sz w:val="24"/>
          <w:szCs w:val="24"/>
        </w:rPr>
        <w:t>减、产业的创新升级.…都发生了巨大改变，无论是实力雄厚的标杆企业还是难以踩点发展机遇的中小型</w:t>
      </w:r>
    </w:p>
    <w:p w14:paraId="5A4CE03A">
      <w:pPr>
        <w:spacing w:before="255" w:line="222" w:lineRule="auto"/>
        <w:ind w:left="629"/>
        <w:rPr>
          <w:rFonts w:ascii="黑体" w:hAnsi="黑体" w:eastAsia="黑体" w:cs="黑体"/>
          <w:sz w:val="24"/>
          <w:szCs w:val="24"/>
        </w:rPr>
      </w:pPr>
      <w:r>
        <w:rPr>
          <w:rFonts w:ascii="黑体" w:hAnsi="黑体" w:eastAsia="黑体" w:cs="黑体"/>
          <w:spacing w:val="-14"/>
          <w:sz w:val="24"/>
          <w:szCs w:val="24"/>
        </w:rPr>
        <w:t>企业都面临着巨大挑战。</w:t>
      </w:r>
    </w:p>
    <w:p w14:paraId="72A18A4D">
      <w:pPr>
        <w:pStyle w:val="2"/>
        <w:spacing w:line="338" w:lineRule="auto"/>
      </w:pPr>
    </w:p>
    <w:p w14:paraId="530B03EB">
      <w:pPr>
        <w:spacing w:before="79" w:line="213" w:lineRule="auto"/>
        <w:ind w:left="1090"/>
        <w:rPr>
          <w:rFonts w:ascii="黑体" w:hAnsi="黑体" w:eastAsia="黑体" w:cs="黑体"/>
          <w:sz w:val="24"/>
          <w:szCs w:val="24"/>
        </w:rPr>
      </w:pPr>
      <w:r>
        <w:rPr>
          <w:rFonts w:ascii="黑体" w:hAnsi="黑体" w:eastAsia="黑体" w:cs="黑体"/>
          <w:spacing w:val="-6"/>
          <w:sz w:val="24"/>
          <w:szCs w:val="24"/>
        </w:rPr>
        <w:t>在新周期下，企业如何夯实产业基础，寻求独特竞争优势?如何洞悉行业发展趋势，抢抓产业发展新</w:t>
      </w:r>
    </w:p>
    <w:p w14:paraId="55D024BD">
      <w:pPr>
        <w:spacing w:before="243" w:line="213" w:lineRule="auto"/>
        <w:ind w:left="629"/>
        <w:rPr>
          <w:rFonts w:ascii="黑体" w:hAnsi="黑体" w:eastAsia="黑体" w:cs="黑体"/>
          <w:sz w:val="24"/>
          <w:szCs w:val="24"/>
        </w:rPr>
      </w:pPr>
      <w:r>
        <w:rPr>
          <w:rFonts w:ascii="黑体" w:hAnsi="黑体" w:eastAsia="黑体" w:cs="黑体"/>
          <w:spacing w:val="-3"/>
          <w:sz w:val="24"/>
          <w:szCs w:val="24"/>
        </w:rPr>
        <w:t>机遇?如何科学布局发展规划，推动企业稳健有序发展?中</w:t>
      </w:r>
      <w:r>
        <w:rPr>
          <w:rFonts w:ascii="黑体" w:hAnsi="黑体" w:eastAsia="黑体" w:cs="黑体"/>
          <w:spacing w:val="-4"/>
          <w:sz w:val="24"/>
          <w:szCs w:val="24"/>
        </w:rPr>
        <w:t>小型企业如何摆脱内卷，在细分领域或新赛道</w:t>
      </w:r>
    </w:p>
    <w:p w14:paraId="6693EB07">
      <w:pPr>
        <w:spacing w:before="253" w:line="213" w:lineRule="auto"/>
        <w:ind w:left="629"/>
        <w:rPr>
          <w:rFonts w:ascii="黑体" w:hAnsi="黑体" w:eastAsia="黑体" w:cs="黑体"/>
          <w:sz w:val="24"/>
          <w:szCs w:val="24"/>
        </w:rPr>
      </w:pPr>
      <w:r>
        <w:rPr>
          <w:rFonts w:ascii="黑体" w:hAnsi="黑体" w:eastAsia="黑体" w:cs="黑体"/>
          <w:spacing w:val="-3"/>
          <w:sz w:val="24"/>
          <w:szCs w:val="24"/>
        </w:rPr>
        <w:t>中异军突起?企业家如何平衡财富、人生与社会的关系?核心高管如何突破边界，</w:t>
      </w:r>
      <w:r>
        <w:rPr>
          <w:rFonts w:ascii="黑体" w:hAnsi="黑体" w:eastAsia="黑体" w:cs="黑体"/>
          <w:spacing w:val="-4"/>
          <w:sz w:val="24"/>
          <w:szCs w:val="24"/>
        </w:rPr>
        <w:t>提升成为六边形战士的</w:t>
      </w:r>
    </w:p>
    <w:p w14:paraId="1AE994D0">
      <w:pPr>
        <w:spacing w:before="254" w:line="221" w:lineRule="auto"/>
        <w:ind w:left="629"/>
        <w:rPr>
          <w:rFonts w:ascii="黑体" w:hAnsi="黑体" w:eastAsia="黑体" w:cs="黑体"/>
          <w:sz w:val="24"/>
          <w:szCs w:val="24"/>
        </w:rPr>
      </w:pPr>
      <w:r>
        <w:rPr>
          <w:rFonts w:ascii="黑体" w:hAnsi="黑体" w:eastAsia="黑体" w:cs="黑体"/>
          <w:spacing w:val="-8"/>
          <w:sz w:val="24"/>
          <w:szCs w:val="24"/>
        </w:rPr>
        <w:t>能力?这些已成为业界共同面对的新课题。</w:t>
      </w:r>
    </w:p>
    <w:p w14:paraId="51EB0A83">
      <w:pPr>
        <w:pStyle w:val="2"/>
        <w:spacing w:line="286" w:lineRule="auto"/>
      </w:pPr>
    </w:p>
    <w:p w14:paraId="170625D6">
      <w:pPr>
        <w:pStyle w:val="2"/>
        <w:spacing w:line="286" w:lineRule="auto"/>
      </w:pPr>
    </w:p>
    <w:p w14:paraId="1F2374D8">
      <w:pPr>
        <w:pStyle w:val="2"/>
        <w:spacing w:line="287" w:lineRule="auto"/>
      </w:pPr>
    </w:p>
    <w:p w14:paraId="50AB4982">
      <w:pPr>
        <w:spacing w:before="78" w:line="213" w:lineRule="auto"/>
        <w:ind w:left="1569"/>
        <w:rPr>
          <w:rFonts w:ascii="黑体" w:hAnsi="黑体" w:eastAsia="黑体" w:cs="黑体"/>
          <w:sz w:val="24"/>
          <w:szCs w:val="24"/>
        </w:rPr>
      </w:pPr>
      <w:r>
        <w:rPr>
          <w:rFonts w:ascii="黑体" w:hAnsi="黑体" w:eastAsia="黑体" w:cs="黑体"/>
          <w:color w:val="00BE91"/>
          <w:spacing w:val="-9"/>
          <w:sz w:val="24"/>
          <w:szCs w:val="24"/>
        </w:rPr>
        <w:t>学院集25年城</w:t>
      </w:r>
      <w:r>
        <w:rPr>
          <w:rFonts w:ascii="黑体" w:hAnsi="黑体" w:eastAsia="黑体" w:cs="黑体"/>
          <w:color w:val="FFFFFF"/>
          <w:spacing w:val="-9"/>
          <w:sz w:val="24"/>
          <w:szCs w:val="24"/>
        </w:rPr>
        <w:t>建开发与产业创新领域教学、研究经验和资源的积累，结合行业发展宏观层面的政</w:t>
      </w:r>
    </w:p>
    <w:p w14:paraId="3319888B">
      <w:pPr>
        <w:spacing w:before="253" w:line="213" w:lineRule="auto"/>
        <w:ind w:left="1090"/>
        <w:rPr>
          <w:rFonts w:ascii="黑体" w:hAnsi="黑体" w:eastAsia="黑体" w:cs="黑体"/>
          <w:sz w:val="24"/>
          <w:szCs w:val="24"/>
        </w:rPr>
      </w:pPr>
      <w:r>
        <w:rPr>
          <w:rFonts w:ascii="黑体" w:hAnsi="黑体" w:eastAsia="黑体" w:cs="黑体"/>
          <w:color w:val="00BE91"/>
          <w:spacing w:val="-8"/>
          <w:sz w:val="24"/>
          <w:szCs w:val="24"/>
        </w:rPr>
        <w:t>策、环境、机遇以</w:t>
      </w:r>
      <w:r>
        <w:rPr>
          <w:rFonts w:ascii="黑体" w:hAnsi="黑体" w:eastAsia="黑体" w:cs="黑体"/>
          <w:color w:val="FFFFFF"/>
          <w:spacing w:val="-8"/>
          <w:sz w:val="24"/>
          <w:szCs w:val="24"/>
        </w:rPr>
        <w:t>及微观层面的企业发展中的战略、经营管理、资源链接等核心要素，为城乡建</w:t>
      </w:r>
      <w:r>
        <w:rPr>
          <w:rFonts w:ascii="黑体" w:hAnsi="黑体" w:eastAsia="黑体" w:cs="黑体"/>
          <w:color w:val="FFFFFF"/>
          <w:spacing w:val="-9"/>
          <w:sz w:val="24"/>
          <w:szCs w:val="24"/>
        </w:rPr>
        <w:t>设及</w:t>
      </w:r>
    </w:p>
    <w:p w14:paraId="6ABD2410">
      <w:pPr>
        <w:spacing w:before="263" w:line="221" w:lineRule="auto"/>
        <w:ind w:left="1090"/>
        <w:rPr>
          <w:rFonts w:ascii="黑体" w:hAnsi="黑体" w:eastAsia="黑体" w:cs="黑体"/>
          <w:sz w:val="24"/>
          <w:szCs w:val="24"/>
        </w:rPr>
      </w:pPr>
      <w:r>
        <w:rPr>
          <w:rFonts w:ascii="黑体" w:hAnsi="黑体" w:eastAsia="黑体" w:cs="黑体"/>
          <w:color w:val="00BE91"/>
          <w:spacing w:val="-13"/>
          <w:sz w:val="24"/>
          <w:szCs w:val="24"/>
        </w:rPr>
        <w:t>产业创新领域的决</w:t>
      </w:r>
      <w:r>
        <w:rPr>
          <w:rFonts w:ascii="黑体" w:hAnsi="黑体" w:eastAsia="黑体" w:cs="黑体"/>
          <w:color w:val="FFFFFF"/>
          <w:spacing w:val="-13"/>
          <w:sz w:val="24"/>
          <w:szCs w:val="24"/>
        </w:rPr>
        <w:t>策者与管理者打造最具价值的《城建与产业创新领军人才</w:t>
      </w:r>
      <w:r>
        <w:rPr>
          <w:rFonts w:ascii="宋体" w:hAnsi="宋体" w:eastAsia="宋体" w:cs="宋体"/>
          <w:color w:val="FFFFFF"/>
          <w:spacing w:val="-13"/>
          <w:sz w:val="24"/>
          <w:szCs w:val="24"/>
        </w:rPr>
        <w:t>EMBA</w:t>
      </w:r>
      <w:r>
        <w:rPr>
          <w:rFonts w:ascii="宋体" w:hAnsi="宋体" w:eastAsia="宋体" w:cs="宋体"/>
          <w:color w:val="FFFFFF"/>
          <w:spacing w:val="51"/>
          <w:sz w:val="24"/>
          <w:szCs w:val="24"/>
        </w:rPr>
        <w:t xml:space="preserve"> </w:t>
      </w:r>
      <w:r>
        <w:rPr>
          <w:rFonts w:ascii="黑体" w:hAnsi="黑体" w:eastAsia="黑体" w:cs="黑体"/>
          <w:color w:val="FFFFFF"/>
          <w:spacing w:val="-13"/>
          <w:sz w:val="24"/>
          <w:szCs w:val="24"/>
        </w:rPr>
        <w:t>班》在职教育项目。</w:t>
      </w:r>
    </w:p>
    <w:p w14:paraId="09805924">
      <w:pPr>
        <w:spacing w:line="221" w:lineRule="auto"/>
        <w:rPr>
          <w:rFonts w:ascii="黑体" w:hAnsi="黑体" w:eastAsia="黑体" w:cs="黑体"/>
          <w:sz w:val="24"/>
          <w:szCs w:val="24"/>
        </w:rPr>
        <w:sectPr>
          <w:headerReference r:id="rId6" w:type="default"/>
          <w:pgSz w:w="11900" w:h="16840"/>
          <w:pgMar w:top="400" w:right="0" w:bottom="0" w:left="0" w:header="0" w:footer="0" w:gutter="0"/>
          <w:cols w:space="720" w:num="1"/>
        </w:sectPr>
      </w:pPr>
    </w:p>
    <w:p w14:paraId="2A89B82A">
      <w:pPr>
        <w:pStyle w:val="2"/>
        <w:spacing w:line="357" w:lineRule="auto"/>
      </w:pPr>
    </w:p>
    <w:p w14:paraId="4ACDD3A1">
      <w:pPr>
        <w:pStyle w:val="2"/>
        <w:spacing w:before="150" w:line="222" w:lineRule="auto"/>
        <w:ind w:left="6"/>
        <w:rPr>
          <w:sz w:val="16"/>
          <w:szCs w:val="16"/>
        </w:rPr>
      </w:pPr>
      <w:r>
        <w:rPr>
          <w:rFonts w:ascii="黑体" w:hAnsi="黑体" w:eastAsia="黑体" w:cs="黑体"/>
          <w:b/>
          <w:bCs/>
          <w:spacing w:val="14"/>
          <w:sz w:val="46"/>
          <w:szCs w:val="46"/>
        </w:rPr>
        <w:t>项目介绍</w:t>
      </w:r>
      <w:r>
        <w:rPr>
          <w:b/>
          <w:bCs/>
          <w:position w:val="-1"/>
          <w:sz w:val="16"/>
          <w:szCs w:val="16"/>
        </w:rPr>
        <w:t>IPROJECT</w:t>
      </w:r>
      <w:r>
        <w:rPr>
          <w:b/>
          <w:bCs/>
          <w:spacing w:val="14"/>
          <w:position w:val="-1"/>
          <w:sz w:val="16"/>
          <w:szCs w:val="16"/>
        </w:rPr>
        <w:t xml:space="preserve"> </w:t>
      </w:r>
      <w:r>
        <w:rPr>
          <w:b/>
          <w:bCs/>
          <w:position w:val="-1"/>
          <w:sz w:val="16"/>
          <w:szCs w:val="16"/>
        </w:rPr>
        <w:t>INTRODUCTION</w:t>
      </w:r>
    </w:p>
    <w:p w14:paraId="1638516F">
      <w:pPr>
        <w:spacing w:before="247" w:line="218" w:lineRule="auto"/>
        <w:ind w:left="7"/>
        <w:rPr>
          <w:rFonts w:ascii="宋体" w:hAnsi="宋体" w:eastAsia="宋体" w:cs="宋体"/>
          <w:sz w:val="54"/>
          <w:szCs w:val="54"/>
        </w:rPr>
      </w:pPr>
      <w:r>
        <w:rPr>
          <w:rFonts w:ascii="宋体" w:hAnsi="宋体" w:eastAsia="宋体" w:cs="宋体"/>
          <w:b/>
          <w:bCs/>
          <w:color w:val="00C1AD"/>
          <w:spacing w:val="46"/>
          <w:sz w:val="54"/>
          <w:szCs w:val="54"/>
        </w:rPr>
        <w:t>城建与</w:t>
      </w:r>
      <w:r>
        <w:rPr>
          <w:rFonts w:ascii="宋体" w:hAnsi="宋体" w:eastAsia="宋体" w:cs="宋体"/>
          <w:b/>
          <w:bCs/>
          <w:spacing w:val="46"/>
          <w:sz w:val="54"/>
          <w:szCs w:val="54"/>
        </w:rPr>
        <w:t>产</w:t>
      </w:r>
      <w:r>
        <w:rPr>
          <w:rFonts w:ascii="宋体" w:hAnsi="宋体" w:eastAsia="宋体" w:cs="宋体"/>
          <w:b/>
          <w:bCs/>
          <w:color w:val="5DC900"/>
          <w:spacing w:val="46"/>
          <w:sz w:val="54"/>
          <w:szCs w:val="54"/>
        </w:rPr>
        <w:t>业创新领域最具价值的学习</w:t>
      </w:r>
    </w:p>
    <w:p w14:paraId="15D13EAF">
      <w:pPr>
        <w:spacing w:before="128" w:line="220" w:lineRule="auto"/>
        <w:ind w:left="7"/>
        <w:rPr>
          <w:rFonts w:ascii="宋体" w:hAnsi="宋体" w:eastAsia="宋体" w:cs="宋体"/>
          <w:sz w:val="54"/>
          <w:szCs w:val="54"/>
        </w:rPr>
      </w:pPr>
      <w:r>
        <w:rPr>
          <w:rFonts w:ascii="宋体" w:hAnsi="宋体" w:eastAsia="宋体" w:cs="宋体"/>
          <w:b/>
          <w:bCs/>
          <w:color w:val="00C589"/>
          <w:spacing w:val="24"/>
          <w:sz w:val="54"/>
          <w:szCs w:val="54"/>
        </w:rPr>
        <w:t>提升与资源链接平台</w:t>
      </w:r>
    </w:p>
    <w:p w14:paraId="73902B8C">
      <w:pPr>
        <w:pStyle w:val="2"/>
        <w:spacing w:line="352" w:lineRule="auto"/>
      </w:pPr>
    </w:p>
    <w:p w14:paraId="1DDA1DC9">
      <w:pPr>
        <w:pStyle w:val="2"/>
        <w:spacing w:line="353" w:lineRule="auto"/>
      </w:pPr>
    </w:p>
    <w:p w14:paraId="01E97AE4">
      <w:pPr>
        <w:spacing w:before="68" w:line="463" w:lineRule="auto"/>
        <w:ind w:right="656" w:firstLine="480"/>
        <w:jc w:val="both"/>
        <w:rPr>
          <w:rFonts w:ascii="黑体" w:hAnsi="黑体" w:eastAsia="黑体" w:cs="黑体"/>
          <w:sz w:val="21"/>
          <w:szCs w:val="21"/>
        </w:rPr>
      </w:pPr>
      <w:r>
        <w:rPr>
          <w:rFonts w:ascii="黑体" w:hAnsi="黑体" w:eastAsia="黑体" w:cs="黑体"/>
          <w:spacing w:val="15"/>
          <w:sz w:val="21"/>
          <w:szCs w:val="21"/>
        </w:rPr>
        <w:t>这是华南唯一的本土化城建与产业创新领域高端教育品牌；这是一个历经</w:t>
      </w:r>
      <w:r>
        <w:rPr>
          <w:rFonts w:ascii="黑体" w:hAnsi="黑体" w:eastAsia="黑体" w:cs="黑体"/>
          <w:b/>
          <w:bCs/>
          <w:color w:val="00C3A9"/>
          <w:spacing w:val="15"/>
          <w:sz w:val="21"/>
          <w:szCs w:val="21"/>
        </w:rPr>
        <w:t>3</w:t>
      </w:r>
      <w:r>
        <w:rPr>
          <w:rFonts w:ascii="黑体" w:hAnsi="黑体" w:eastAsia="黑体" w:cs="黑体"/>
          <w:color w:val="00C3A9"/>
          <w:spacing w:val="-13"/>
          <w:sz w:val="21"/>
          <w:szCs w:val="21"/>
        </w:rPr>
        <w:t xml:space="preserve"> </w:t>
      </w:r>
      <w:r>
        <w:rPr>
          <w:rFonts w:ascii="黑体" w:hAnsi="黑体" w:eastAsia="黑体" w:cs="黑体"/>
          <w:b/>
          <w:bCs/>
          <w:color w:val="00C3A9"/>
          <w:spacing w:val="15"/>
          <w:sz w:val="21"/>
          <w:szCs w:val="21"/>
        </w:rPr>
        <w:t>7</w:t>
      </w:r>
      <w:r>
        <w:rPr>
          <w:rFonts w:ascii="黑体" w:hAnsi="黑体" w:eastAsia="黑体" w:cs="黑体"/>
          <w:color w:val="00C3A9"/>
          <w:spacing w:val="-16"/>
          <w:sz w:val="21"/>
          <w:szCs w:val="21"/>
        </w:rPr>
        <w:t xml:space="preserve"> </w:t>
      </w:r>
      <w:r>
        <w:rPr>
          <w:rFonts w:ascii="黑体" w:hAnsi="黑体" w:eastAsia="黑体" w:cs="黑体"/>
          <w:b/>
          <w:bCs/>
          <w:color w:val="00C3A9"/>
          <w:spacing w:val="14"/>
          <w:sz w:val="21"/>
          <w:szCs w:val="21"/>
        </w:rPr>
        <w:t>期</w:t>
      </w:r>
      <w:r>
        <w:rPr>
          <w:rFonts w:ascii="黑体" w:hAnsi="黑体" w:eastAsia="黑体" w:cs="黑体"/>
          <w:color w:val="00C3A9"/>
          <w:spacing w:val="-23"/>
          <w:sz w:val="21"/>
          <w:szCs w:val="21"/>
        </w:rPr>
        <w:t xml:space="preserve"> </w:t>
      </w:r>
      <w:r>
        <w:rPr>
          <w:rFonts w:ascii="黑体" w:hAnsi="黑体" w:eastAsia="黑体" w:cs="黑体"/>
          <w:b/>
          <w:bCs/>
          <w:color w:val="00C3A9"/>
          <w:spacing w:val="14"/>
          <w:sz w:val="21"/>
          <w:szCs w:val="21"/>
        </w:rPr>
        <w:t>、</w:t>
      </w:r>
      <w:r>
        <w:rPr>
          <w:rFonts w:ascii="黑体" w:hAnsi="黑体" w:eastAsia="黑体" w:cs="黑体"/>
          <w:spacing w:val="14"/>
          <w:sz w:val="21"/>
          <w:szCs w:val="21"/>
        </w:rPr>
        <w:t>学员覆盖</w:t>
      </w:r>
      <w:r>
        <w:rPr>
          <w:rFonts w:ascii="黑体" w:hAnsi="黑体" w:eastAsia="黑体" w:cs="黑体"/>
          <w:sz w:val="21"/>
          <w:szCs w:val="21"/>
        </w:rPr>
        <w:t xml:space="preserve"> </w:t>
      </w:r>
      <w:r>
        <w:rPr>
          <w:rFonts w:ascii="黑体" w:hAnsi="黑体" w:eastAsia="黑体" w:cs="黑体"/>
          <w:b/>
          <w:bCs/>
          <w:color w:val="00C3A9"/>
          <w:spacing w:val="14"/>
          <w:sz w:val="21"/>
          <w:szCs w:val="21"/>
        </w:rPr>
        <w:t>9</w:t>
      </w:r>
      <w:r>
        <w:rPr>
          <w:rFonts w:ascii="黑体" w:hAnsi="黑体" w:eastAsia="黑体" w:cs="黑体"/>
          <w:color w:val="00C3A9"/>
          <w:spacing w:val="-24"/>
          <w:sz w:val="21"/>
          <w:szCs w:val="21"/>
        </w:rPr>
        <w:t xml:space="preserve"> </w:t>
      </w:r>
      <w:r>
        <w:rPr>
          <w:rFonts w:ascii="黑体" w:hAnsi="黑体" w:eastAsia="黑体" w:cs="黑体"/>
          <w:b/>
          <w:bCs/>
          <w:color w:val="00C3A9"/>
          <w:spacing w:val="14"/>
          <w:sz w:val="21"/>
          <w:szCs w:val="21"/>
        </w:rPr>
        <w:t>0</w:t>
      </w:r>
      <w:r>
        <w:rPr>
          <w:rFonts w:ascii="黑体" w:hAnsi="黑体" w:eastAsia="黑体" w:cs="黑体"/>
          <w:color w:val="00C3A9"/>
          <w:spacing w:val="-26"/>
          <w:sz w:val="21"/>
          <w:szCs w:val="21"/>
        </w:rPr>
        <w:t xml:space="preserve"> </w:t>
      </w:r>
      <w:r>
        <w:rPr>
          <w:rFonts w:ascii="黑体" w:hAnsi="黑体" w:eastAsia="黑体" w:cs="黑体"/>
          <w:b/>
          <w:bCs/>
          <w:color w:val="00C3A9"/>
          <w:spacing w:val="14"/>
          <w:sz w:val="21"/>
          <w:szCs w:val="21"/>
        </w:rPr>
        <w:t>%</w:t>
      </w:r>
      <w:r>
        <w:rPr>
          <w:rFonts w:ascii="黑体" w:hAnsi="黑体" w:eastAsia="黑体" w:cs="黑体"/>
          <w:color w:val="00C3A9"/>
          <w:spacing w:val="-23"/>
          <w:sz w:val="21"/>
          <w:szCs w:val="21"/>
        </w:rPr>
        <w:t xml:space="preserve"> </w:t>
      </w:r>
      <w:r>
        <w:rPr>
          <w:rFonts w:ascii="黑体" w:hAnsi="黑体" w:eastAsia="黑体" w:cs="黑体"/>
          <w:b/>
          <w:bCs/>
          <w:color w:val="00C3A9"/>
          <w:spacing w:val="14"/>
          <w:sz w:val="21"/>
          <w:szCs w:val="21"/>
        </w:rPr>
        <w:t>大</w:t>
      </w:r>
      <w:r>
        <w:rPr>
          <w:rFonts w:ascii="黑体" w:hAnsi="黑体" w:eastAsia="黑体" w:cs="黑体"/>
          <w:spacing w:val="14"/>
          <w:sz w:val="21"/>
          <w:szCs w:val="21"/>
        </w:rPr>
        <w:t>中型城建产业领域企业、</w:t>
      </w:r>
      <w:r>
        <w:rPr>
          <w:rFonts w:ascii="黑体" w:hAnsi="黑体" w:eastAsia="黑体" w:cs="黑体"/>
          <w:spacing w:val="-15"/>
          <w:sz w:val="21"/>
          <w:szCs w:val="21"/>
        </w:rPr>
        <w:t xml:space="preserve"> </w:t>
      </w:r>
      <w:r>
        <w:rPr>
          <w:rFonts w:ascii="Times New Roman" w:hAnsi="Times New Roman" w:eastAsia="Times New Roman" w:cs="Times New Roman"/>
          <w:b/>
          <w:bCs/>
          <w:color w:val="00C3A9"/>
          <w:spacing w:val="14"/>
          <w:sz w:val="21"/>
          <w:szCs w:val="21"/>
        </w:rPr>
        <w:t xml:space="preserve">6000+      </w:t>
      </w:r>
      <w:r>
        <w:rPr>
          <w:rFonts w:ascii="黑体" w:hAnsi="黑体" w:eastAsia="黑体" w:cs="黑体"/>
          <w:spacing w:val="14"/>
          <w:sz w:val="21"/>
          <w:szCs w:val="21"/>
        </w:rPr>
        <w:t>企业总裁及高管共同见证的高</w:t>
      </w:r>
      <w:r>
        <w:rPr>
          <w:rFonts w:ascii="黑体" w:hAnsi="黑体" w:eastAsia="黑体" w:cs="黑体"/>
          <w:spacing w:val="13"/>
          <w:sz w:val="21"/>
          <w:szCs w:val="21"/>
        </w:rPr>
        <w:t>端教育项目；这是一个</w:t>
      </w:r>
      <w:r>
        <w:rPr>
          <w:rFonts w:ascii="黑体" w:hAnsi="黑体" w:eastAsia="黑体" w:cs="黑体"/>
          <w:sz w:val="21"/>
          <w:szCs w:val="21"/>
        </w:rPr>
        <w:t xml:space="preserve"> </w:t>
      </w:r>
      <w:r>
        <w:rPr>
          <w:rFonts w:ascii="黑体" w:hAnsi="黑体" w:eastAsia="黑体" w:cs="黑体"/>
          <w:spacing w:val="19"/>
          <w:sz w:val="21"/>
          <w:szCs w:val="21"/>
        </w:rPr>
        <w:t>历时25年教学检验、历经5次升级焕新，成熟规范、系统完善的城建与产业创新领域教学项目体</w:t>
      </w:r>
      <w:r>
        <w:rPr>
          <w:rFonts w:ascii="黑体" w:hAnsi="黑体" w:eastAsia="黑体" w:cs="黑体"/>
          <w:spacing w:val="3"/>
          <w:sz w:val="21"/>
          <w:szCs w:val="21"/>
        </w:rPr>
        <w:t xml:space="preserve"> </w:t>
      </w:r>
      <w:r>
        <w:rPr>
          <w:rFonts w:ascii="黑体" w:hAnsi="黑体" w:eastAsia="黑体" w:cs="黑体"/>
          <w:spacing w:val="2"/>
          <w:sz w:val="21"/>
          <w:szCs w:val="21"/>
        </w:rPr>
        <w:t>系。</w:t>
      </w:r>
    </w:p>
    <w:p w14:paraId="3E2A8A9B">
      <w:pPr>
        <w:spacing w:before="252" w:line="445" w:lineRule="auto"/>
        <w:ind w:right="614" w:firstLine="480"/>
        <w:jc w:val="both"/>
        <w:rPr>
          <w:rFonts w:ascii="黑体" w:hAnsi="黑体" w:eastAsia="黑体" w:cs="黑体"/>
          <w:sz w:val="21"/>
          <w:szCs w:val="21"/>
        </w:rPr>
      </w:pPr>
      <w:r>
        <w:drawing>
          <wp:anchor distT="0" distB="0" distL="0" distR="0" simplePos="0" relativeHeight="251661312" behindDoc="0" locked="0" layoutInCell="1" allowOverlap="1">
            <wp:simplePos x="0" y="0"/>
            <wp:positionH relativeFrom="column">
              <wp:posOffset>424815</wp:posOffset>
            </wp:positionH>
            <wp:positionV relativeFrom="paragraph">
              <wp:posOffset>1024890</wp:posOffset>
            </wp:positionV>
            <wp:extent cx="311150" cy="6350"/>
            <wp:effectExtent l="0" t="0" r="0" b="0"/>
            <wp:wrapNone/>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10"/>
                    <a:stretch>
                      <a:fillRect/>
                    </a:stretch>
                  </pic:blipFill>
                  <pic:spPr>
                    <a:xfrm>
                      <a:off x="0" y="0"/>
                      <a:ext cx="311176" cy="6415"/>
                    </a:xfrm>
                    <a:prstGeom prst="rect">
                      <a:avLst/>
                    </a:prstGeom>
                  </pic:spPr>
                </pic:pic>
              </a:graphicData>
            </a:graphic>
          </wp:anchor>
        </w:drawing>
      </w:r>
      <w:r>
        <w:rPr>
          <w:rFonts w:ascii="黑体" w:hAnsi="黑体" w:eastAsia="黑体" w:cs="黑体"/>
          <w:spacing w:val="16"/>
          <w:sz w:val="21"/>
          <w:szCs w:val="21"/>
        </w:rPr>
        <w:t>依托</w:t>
      </w:r>
      <w:r>
        <w:rPr>
          <w:rFonts w:ascii="黑体" w:hAnsi="黑体" w:eastAsia="黑体" w:cs="黑体"/>
          <w:b/>
          <w:bCs/>
          <w:color w:val="00C2B5"/>
          <w:spacing w:val="16"/>
          <w:sz w:val="21"/>
          <w:szCs w:val="21"/>
        </w:rPr>
        <w:t>2</w:t>
      </w:r>
      <w:r>
        <w:rPr>
          <w:rFonts w:ascii="黑体" w:hAnsi="黑体" w:eastAsia="黑体" w:cs="黑体"/>
          <w:color w:val="00C2B5"/>
          <w:spacing w:val="16"/>
          <w:sz w:val="21"/>
          <w:szCs w:val="21"/>
        </w:rPr>
        <w:t xml:space="preserve"> </w:t>
      </w:r>
      <w:r>
        <w:rPr>
          <w:rFonts w:ascii="黑体" w:hAnsi="黑体" w:eastAsia="黑体" w:cs="黑体"/>
          <w:b/>
          <w:bCs/>
          <w:color w:val="00C2B5"/>
          <w:spacing w:val="16"/>
          <w:sz w:val="21"/>
          <w:szCs w:val="21"/>
        </w:rPr>
        <w:t>5</w:t>
      </w:r>
      <w:r>
        <w:rPr>
          <w:rFonts w:ascii="黑体" w:hAnsi="黑体" w:eastAsia="黑体" w:cs="黑体"/>
          <w:color w:val="00C2B5"/>
          <w:spacing w:val="16"/>
          <w:sz w:val="21"/>
          <w:szCs w:val="21"/>
        </w:rPr>
        <w:t xml:space="preserve"> </w:t>
      </w:r>
      <w:r>
        <w:rPr>
          <w:rFonts w:ascii="黑体" w:hAnsi="黑体" w:eastAsia="黑体" w:cs="黑体"/>
          <w:b/>
          <w:bCs/>
          <w:color w:val="00C2B5"/>
          <w:spacing w:val="16"/>
          <w:sz w:val="21"/>
          <w:szCs w:val="21"/>
        </w:rPr>
        <w:t>年</w:t>
      </w:r>
      <w:r>
        <w:rPr>
          <w:rFonts w:ascii="黑体" w:hAnsi="黑体" w:eastAsia="黑体" w:cs="黑体"/>
          <w:b/>
          <w:bCs/>
          <w:spacing w:val="16"/>
          <w:sz w:val="21"/>
          <w:szCs w:val="21"/>
        </w:rPr>
        <w:t>城</w:t>
      </w:r>
      <w:r>
        <w:rPr>
          <w:rFonts w:ascii="黑体" w:hAnsi="黑体" w:eastAsia="黑体" w:cs="黑体"/>
          <w:spacing w:val="16"/>
          <w:sz w:val="21"/>
          <w:szCs w:val="21"/>
        </w:rPr>
        <w:t>建与产业创新专业教学的强大背景和国内外广泛的教育和产业资源积累，不断</w:t>
      </w:r>
      <w:r>
        <w:rPr>
          <w:rFonts w:ascii="黑体" w:hAnsi="黑体" w:eastAsia="黑体" w:cs="黑体"/>
          <w:spacing w:val="18"/>
          <w:sz w:val="21"/>
          <w:szCs w:val="21"/>
        </w:rPr>
        <w:t xml:space="preserve"> </w:t>
      </w:r>
      <w:r>
        <w:rPr>
          <w:rFonts w:ascii="黑体" w:hAnsi="黑体" w:eastAsia="黑体" w:cs="黑体"/>
          <w:spacing w:val="17"/>
          <w:sz w:val="21"/>
          <w:szCs w:val="21"/>
        </w:rPr>
        <w:t>优化教学方式及师资力量，使学员能够通过课堂学习、课外研讨、课后游学考察和参访活动等获</w:t>
      </w:r>
      <w:r>
        <w:rPr>
          <w:rFonts w:ascii="黑体" w:hAnsi="黑体" w:eastAsia="黑体" w:cs="黑体"/>
          <w:spacing w:val="9"/>
          <w:sz w:val="21"/>
          <w:szCs w:val="21"/>
        </w:rPr>
        <w:t xml:space="preserve"> </w:t>
      </w:r>
      <w:r>
        <w:rPr>
          <w:rFonts w:ascii="黑体" w:hAnsi="黑体" w:eastAsia="黑体" w:cs="黑体"/>
          <w:spacing w:val="17"/>
          <w:sz w:val="21"/>
          <w:szCs w:val="21"/>
        </w:rPr>
        <w:t>得以下</w:t>
      </w:r>
      <w:r>
        <w:rPr>
          <w:rFonts w:ascii="黑体" w:hAnsi="黑体" w:eastAsia="黑体" w:cs="黑体"/>
          <w:b/>
          <w:bCs/>
          <w:color w:val="00C2B5"/>
          <w:spacing w:val="17"/>
          <w:sz w:val="21"/>
          <w:szCs w:val="21"/>
        </w:rPr>
        <w:t>8</w:t>
      </w:r>
      <w:r>
        <w:rPr>
          <w:rFonts w:ascii="黑体" w:hAnsi="黑体" w:eastAsia="黑体" w:cs="黑体"/>
          <w:color w:val="00C2B5"/>
          <w:spacing w:val="17"/>
          <w:sz w:val="21"/>
          <w:szCs w:val="21"/>
        </w:rPr>
        <w:t xml:space="preserve"> </w:t>
      </w:r>
      <w:r>
        <w:rPr>
          <w:rFonts w:ascii="黑体" w:hAnsi="黑体" w:eastAsia="黑体" w:cs="黑体"/>
          <w:b/>
          <w:bCs/>
          <w:color w:val="00C2B5"/>
          <w:spacing w:val="17"/>
          <w:sz w:val="21"/>
          <w:szCs w:val="21"/>
        </w:rPr>
        <w:t>大</w:t>
      </w:r>
      <w:r>
        <w:rPr>
          <w:rFonts w:ascii="黑体" w:hAnsi="黑体" w:eastAsia="黑体" w:cs="黑体"/>
          <w:b/>
          <w:bCs/>
          <w:spacing w:val="17"/>
          <w:sz w:val="21"/>
          <w:szCs w:val="21"/>
        </w:rPr>
        <w:t>核</w:t>
      </w:r>
      <w:r>
        <w:rPr>
          <w:rFonts w:ascii="黑体" w:hAnsi="黑体" w:eastAsia="黑体" w:cs="黑体"/>
          <w:spacing w:val="17"/>
          <w:sz w:val="21"/>
          <w:szCs w:val="21"/>
        </w:rPr>
        <w:t>心收获，站在新周期下助力企业</w:t>
      </w:r>
      <w:r>
        <w:rPr>
          <w:rFonts w:ascii="黑体" w:hAnsi="黑体" w:eastAsia="黑体" w:cs="黑体"/>
          <w:spacing w:val="16"/>
          <w:sz w:val="21"/>
          <w:szCs w:val="21"/>
        </w:rPr>
        <w:t>及个人持续成长和发展。为业界企业决策者们打造</w:t>
      </w:r>
    </w:p>
    <w:p w14:paraId="3C36CD6D">
      <w:pPr>
        <w:spacing w:before="21" w:line="220" w:lineRule="auto"/>
        <w:rPr>
          <w:rFonts w:ascii="黑体" w:hAnsi="黑体" w:eastAsia="黑体" w:cs="黑体"/>
          <w:sz w:val="21"/>
          <w:szCs w:val="21"/>
        </w:rPr>
      </w:pPr>
      <w:r>
        <w:rPr>
          <w:rFonts w:ascii="黑体" w:hAnsi="黑体" w:eastAsia="黑体" w:cs="黑体"/>
          <w:spacing w:val="14"/>
          <w:sz w:val="21"/>
          <w:szCs w:val="21"/>
        </w:rPr>
        <w:t>一个「最具价值的学习提升与资源链接平台」。</w:t>
      </w:r>
    </w:p>
    <w:p w14:paraId="30BC8989">
      <w:pPr>
        <w:pStyle w:val="2"/>
        <w:spacing w:line="331" w:lineRule="auto"/>
      </w:pPr>
    </w:p>
    <w:p w14:paraId="40E82BCD">
      <w:pPr>
        <w:pStyle w:val="2"/>
        <w:spacing w:line="331" w:lineRule="auto"/>
      </w:pPr>
    </w:p>
    <w:p w14:paraId="50225DDE">
      <w:pPr>
        <w:spacing w:before="175" w:line="220" w:lineRule="auto"/>
        <w:ind w:left="7"/>
        <w:rPr>
          <w:rFonts w:ascii="黑体" w:hAnsi="黑体" w:eastAsia="黑体" w:cs="黑体"/>
          <w:sz w:val="54"/>
          <w:szCs w:val="54"/>
        </w:rPr>
      </w:pPr>
      <w:r>
        <w:rPr>
          <w:rFonts w:ascii="黑体" w:hAnsi="黑体" w:eastAsia="黑体" w:cs="黑体"/>
          <w:b/>
          <w:bCs/>
          <w:color w:val="00C1A0"/>
          <w:spacing w:val="-13"/>
          <w:sz w:val="54"/>
          <w:szCs w:val="54"/>
        </w:rPr>
        <w:t>学员</w:t>
      </w:r>
      <w:r>
        <w:rPr>
          <w:rFonts w:ascii="黑体" w:hAnsi="黑体" w:eastAsia="黑体" w:cs="黑体"/>
          <w:b/>
          <w:bCs/>
          <w:color w:val="5ECB00"/>
          <w:spacing w:val="-13"/>
          <w:sz w:val="54"/>
          <w:szCs w:val="54"/>
        </w:rPr>
        <w:t>『日」大核心收获</w:t>
      </w:r>
    </w:p>
    <w:p w14:paraId="0F080D46">
      <w:pPr>
        <w:spacing w:before="35"/>
      </w:pPr>
    </w:p>
    <w:p w14:paraId="503E270E">
      <w:pPr>
        <w:spacing w:before="35"/>
      </w:pPr>
    </w:p>
    <w:p w14:paraId="7BE7A738">
      <w:pPr>
        <w:spacing w:before="35"/>
      </w:pPr>
    </w:p>
    <w:p w14:paraId="01A218E6">
      <w:pPr>
        <w:sectPr>
          <w:pgSz w:w="11900" w:h="16840"/>
          <w:pgMar w:top="400" w:right="1074" w:bottom="0" w:left="629" w:header="0" w:footer="0" w:gutter="0"/>
          <w:cols w:equalWidth="0" w:num="1">
            <w:col w:w="10196"/>
          </w:cols>
        </w:sectPr>
      </w:pPr>
    </w:p>
    <w:p w14:paraId="586707E5">
      <w:pPr>
        <w:pStyle w:val="2"/>
        <w:spacing w:before="32" w:line="198" w:lineRule="auto"/>
        <w:outlineLvl w:val="0"/>
      </w:pPr>
      <w:r>
        <w:rPr>
          <w:b/>
          <w:bCs/>
          <w:spacing w:val="-3"/>
        </w:rPr>
        <w:t>ONE.</w:t>
      </w:r>
    </w:p>
    <w:p w14:paraId="64FD7B61">
      <w:pPr>
        <w:spacing w:before="66" w:line="277" w:lineRule="auto"/>
        <w:ind w:right="507"/>
        <w:rPr>
          <w:rFonts w:ascii="黑体" w:hAnsi="黑体" w:eastAsia="黑体" w:cs="黑体"/>
          <w:sz w:val="16"/>
          <w:szCs w:val="16"/>
        </w:rPr>
      </w:pPr>
      <w:r>
        <w:rPr>
          <w:rFonts w:ascii="黑体" w:hAnsi="黑体" w:eastAsia="黑体" w:cs="黑体"/>
          <w:spacing w:val="5"/>
          <w:sz w:val="16"/>
          <w:szCs w:val="16"/>
        </w:rPr>
        <w:t>掌握宏观经济环境和国家政策变化的方向，更好地把握经济周期和</w:t>
      </w:r>
      <w:r>
        <w:rPr>
          <w:rFonts w:ascii="黑体" w:hAnsi="黑体" w:eastAsia="黑体" w:cs="黑体"/>
          <w:spacing w:val="6"/>
          <w:sz w:val="16"/>
          <w:szCs w:val="16"/>
        </w:rPr>
        <w:t xml:space="preserve"> </w:t>
      </w:r>
      <w:r>
        <w:rPr>
          <w:rFonts w:ascii="黑体" w:hAnsi="黑体" w:eastAsia="黑体" w:cs="黑体"/>
          <w:spacing w:val="3"/>
          <w:sz w:val="16"/>
          <w:szCs w:val="16"/>
        </w:rPr>
        <w:t>宏观政策带来的红利。</w:t>
      </w:r>
    </w:p>
    <w:p w14:paraId="26D4C3A3">
      <w:pPr>
        <w:pStyle w:val="2"/>
        <w:spacing w:line="14" w:lineRule="auto"/>
        <w:rPr>
          <w:sz w:val="2"/>
        </w:rPr>
      </w:pPr>
      <w:r>
        <w:rPr>
          <w:sz w:val="2"/>
          <w:szCs w:val="2"/>
        </w:rPr>
        <w:br w:type="column"/>
      </w:r>
    </w:p>
    <w:p w14:paraId="2FDF8A71">
      <w:pPr>
        <w:pStyle w:val="2"/>
        <w:spacing w:before="30" w:line="198" w:lineRule="auto"/>
        <w:outlineLvl w:val="6"/>
      </w:pPr>
      <w:r>
        <w:rPr>
          <w:b/>
          <w:bCs/>
          <w:spacing w:val="-2"/>
        </w:rPr>
        <w:t>TWO.</w:t>
      </w:r>
    </w:p>
    <w:p w14:paraId="3D8EB841">
      <w:pPr>
        <w:spacing w:before="66" w:line="277" w:lineRule="auto"/>
        <w:ind w:right="18"/>
        <w:rPr>
          <w:rFonts w:ascii="黑体" w:hAnsi="黑体" w:eastAsia="黑体" w:cs="黑体"/>
          <w:sz w:val="16"/>
          <w:szCs w:val="16"/>
        </w:rPr>
      </w:pPr>
      <w:r>
        <w:rPr>
          <w:rFonts w:ascii="黑体" w:hAnsi="黑体" w:eastAsia="黑体" w:cs="黑体"/>
          <w:spacing w:val="-1"/>
          <w:sz w:val="16"/>
          <w:szCs w:val="16"/>
        </w:rPr>
        <w:t>了解传统产业、新兴产业及上下游产业链未来发展趋势，把握行业发</w:t>
      </w:r>
      <w:r>
        <w:rPr>
          <w:rFonts w:ascii="黑体" w:hAnsi="黑体" w:eastAsia="黑体" w:cs="黑体"/>
          <w:spacing w:val="5"/>
          <w:sz w:val="16"/>
          <w:szCs w:val="16"/>
        </w:rPr>
        <w:t xml:space="preserve"> </w:t>
      </w:r>
      <w:r>
        <w:rPr>
          <w:rFonts w:ascii="黑体" w:hAnsi="黑体" w:eastAsia="黑体" w:cs="黑体"/>
          <w:spacing w:val="-2"/>
          <w:sz w:val="16"/>
          <w:szCs w:val="16"/>
        </w:rPr>
        <w:t>展新阶段的创新发展模式、方向和机遇。</w:t>
      </w:r>
    </w:p>
    <w:p w14:paraId="2606520B">
      <w:pPr>
        <w:spacing w:line="277" w:lineRule="auto"/>
        <w:rPr>
          <w:rFonts w:ascii="黑体" w:hAnsi="黑体" w:eastAsia="黑体" w:cs="黑体"/>
          <w:sz w:val="16"/>
          <w:szCs w:val="16"/>
        </w:rPr>
        <w:sectPr>
          <w:type w:val="continuous"/>
          <w:pgSz w:w="11900" w:h="16840"/>
          <w:pgMar w:top="400" w:right="1074" w:bottom="0" w:left="629" w:header="0" w:footer="0" w:gutter="0"/>
          <w:cols w:equalWidth="0" w:num="2">
            <w:col w:w="5300" w:space="100"/>
            <w:col w:w="4796"/>
          </w:cols>
        </w:sectPr>
      </w:pPr>
    </w:p>
    <w:p w14:paraId="6339FFA7">
      <w:pPr>
        <w:spacing w:before="231"/>
      </w:pPr>
    </w:p>
    <w:p w14:paraId="6EF88CA7">
      <w:pPr>
        <w:sectPr>
          <w:type w:val="continuous"/>
          <w:pgSz w:w="11900" w:h="16840"/>
          <w:pgMar w:top="400" w:right="1074" w:bottom="0" w:left="629" w:header="0" w:footer="0" w:gutter="0"/>
          <w:cols w:equalWidth="0" w:num="1">
            <w:col w:w="10196"/>
          </w:cols>
        </w:sectPr>
      </w:pPr>
    </w:p>
    <w:p w14:paraId="7F3C64D3">
      <w:pPr>
        <w:pStyle w:val="2"/>
        <w:spacing w:before="37" w:line="196" w:lineRule="auto"/>
        <w:outlineLvl w:val="0"/>
      </w:pPr>
      <w:r>
        <w:rPr>
          <w:b/>
          <w:bCs/>
          <w:spacing w:val="-1"/>
        </w:rPr>
        <w:t>THREE.</w:t>
      </w:r>
    </w:p>
    <w:p w14:paraId="61610AD8">
      <w:pPr>
        <w:spacing w:before="91" w:line="282" w:lineRule="auto"/>
        <w:ind w:right="505"/>
        <w:jc w:val="both"/>
        <w:rPr>
          <w:rFonts w:ascii="黑体" w:hAnsi="黑体" w:eastAsia="黑体" w:cs="黑体"/>
          <w:sz w:val="16"/>
          <w:szCs w:val="16"/>
        </w:rPr>
      </w:pPr>
      <w:r>
        <w:rPr>
          <w:rFonts w:ascii="黑体" w:hAnsi="黑体" w:eastAsia="黑体" w:cs="黑体"/>
          <w:sz w:val="16"/>
          <w:szCs w:val="16"/>
        </w:rPr>
        <w:t>深度研讨新型城镇化建设、新基建、产业地产领域</w:t>
      </w:r>
      <w:r>
        <w:rPr>
          <w:rFonts w:ascii="黑体" w:hAnsi="黑体" w:eastAsia="黑体" w:cs="黑体"/>
          <w:spacing w:val="-1"/>
          <w:sz w:val="16"/>
          <w:szCs w:val="16"/>
        </w:rPr>
        <w:t>的发展阶段、市场</w:t>
      </w:r>
      <w:r>
        <w:rPr>
          <w:rFonts w:ascii="黑体" w:hAnsi="黑体" w:eastAsia="黑体" w:cs="黑体"/>
          <w:sz w:val="16"/>
          <w:szCs w:val="16"/>
        </w:rPr>
        <w:t xml:space="preserve"> 容量、开发模式、运营模式、产业联动等泛地产行业</w:t>
      </w:r>
      <w:r>
        <w:rPr>
          <w:rFonts w:ascii="黑体" w:hAnsi="黑体" w:eastAsia="黑体" w:cs="黑体"/>
          <w:spacing w:val="-1"/>
          <w:sz w:val="16"/>
          <w:szCs w:val="16"/>
        </w:rPr>
        <w:t>细分领域的发展</w:t>
      </w:r>
      <w:r>
        <w:rPr>
          <w:rFonts w:ascii="黑体" w:hAnsi="黑体" w:eastAsia="黑体" w:cs="黑体"/>
          <w:sz w:val="16"/>
          <w:szCs w:val="16"/>
        </w:rPr>
        <w:t xml:space="preserve"> </w:t>
      </w:r>
      <w:r>
        <w:rPr>
          <w:rFonts w:ascii="黑体" w:hAnsi="黑体" w:eastAsia="黑体" w:cs="黑体"/>
          <w:spacing w:val="-1"/>
          <w:sz w:val="16"/>
          <w:szCs w:val="16"/>
        </w:rPr>
        <w:t>契机。</w:t>
      </w:r>
    </w:p>
    <w:p w14:paraId="65EEA51D">
      <w:pPr>
        <w:pStyle w:val="2"/>
        <w:spacing w:line="14" w:lineRule="auto"/>
        <w:rPr>
          <w:sz w:val="2"/>
        </w:rPr>
      </w:pPr>
      <w:r>
        <w:rPr>
          <w:sz w:val="2"/>
          <w:szCs w:val="2"/>
        </w:rPr>
        <w:br w:type="column"/>
      </w:r>
    </w:p>
    <w:p w14:paraId="64587289">
      <w:pPr>
        <w:pStyle w:val="2"/>
        <w:spacing w:before="31" w:line="198" w:lineRule="auto"/>
        <w:outlineLvl w:val="1"/>
      </w:pPr>
      <w:r>
        <w:rPr>
          <w:b/>
          <w:bCs/>
          <w:spacing w:val="-4"/>
        </w:rPr>
        <w:t>FOUR.</w:t>
      </w:r>
    </w:p>
    <w:p w14:paraId="310D25F8">
      <w:pPr>
        <w:spacing w:before="75" w:line="289" w:lineRule="auto"/>
        <w:ind w:right="1"/>
        <w:jc w:val="both"/>
        <w:rPr>
          <w:rFonts w:ascii="黑体" w:hAnsi="黑体" w:eastAsia="黑体" w:cs="黑体"/>
          <w:sz w:val="16"/>
          <w:szCs w:val="16"/>
        </w:rPr>
      </w:pPr>
      <w:r>
        <w:rPr>
          <w:rFonts w:ascii="黑体" w:hAnsi="黑体" w:eastAsia="黑体" w:cs="黑体"/>
          <w:spacing w:val="-1"/>
          <w:sz w:val="16"/>
          <w:szCs w:val="16"/>
        </w:rPr>
        <w:t>革新思维，对业内创新的商业模式、盈利模式、经营理念等新观念深</w:t>
      </w:r>
      <w:r>
        <w:rPr>
          <w:rFonts w:ascii="黑体" w:hAnsi="黑体" w:eastAsia="黑体" w:cs="黑体"/>
          <w:spacing w:val="18"/>
          <w:sz w:val="16"/>
          <w:szCs w:val="16"/>
        </w:rPr>
        <w:t xml:space="preserve"> </w:t>
      </w:r>
      <w:r>
        <w:rPr>
          <w:rFonts w:ascii="黑体" w:hAnsi="黑体" w:eastAsia="黑体" w:cs="黑体"/>
          <w:sz w:val="16"/>
          <w:szCs w:val="16"/>
        </w:rPr>
        <w:t>度研讨，对自己企业的转型升级提供可行性参考依</w:t>
      </w:r>
      <w:r>
        <w:rPr>
          <w:rFonts w:ascii="黑体" w:hAnsi="黑体" w:eastAsia="黑体" w:cs="黑体"/>
          <w:spacing w:val="-1"/>
          <w:sz w:val="16"/>
          <w:szCs w:val="16"/>
        </w:rPr>
        <w:t>据，解决土地、资</w:t>
      </w:r>
      <w:r>
        <w:rPr>
          <w:rFonts w:ascii="黑体" w:hAnsi="黑体" w:eastAsia="黑体" w:cs="黑体"/>
          <w:sz w:val="16"/>
          <w:szCs w:val="16"/>
        </w:rPr>
        <w:t xml:space="preserve"> </w:t>
      </w:r>
      <w:r>
        <w:rPr>
          <w:rFonts w:ascii="黑体" w:hAnsi="黑体" w:eastAsia="黑体" w:cs="黑体"/>
          <w:spacing w:val="-6"/>
          <w:sz w:val="16"/>
          <w:szCs w:val="16"/>
        </w:rPr>
        <w:t>金、产品、管理和人才等核心问题。</w:t>
      </w:r>
    </w:p>
    <w:p w14:paraId="63288CEA">
      <w:pPr>
        <w:spacing w:line="289" w:lineRule="auto"/>
        <w:rPr>
          <w:rFonts w:ascii="黑体" w:hAnsi="黑体" w:eastAsia="黑体" w:cs="黑体"/>
          <w:sz w:val="16"/>
          <w:szCs w:val="16"/>
        </w:rPr>
        <w:sectPr>
          <w:type w:val="continuous"/>
          <w:pgSz w:w="11900" w:h="16840"/>
          <w:pgMar w:top="400" w:right="1074" w:bottom="0" w:left="629" w:header="0" w:footer="0" w:gutter="0"/>
          <w:cols w:equalWidth="0" w:num="2">
            <w:col w:w="5300" w:space="100"/>
            <w:col w:w="4796"/>
          </w:cols>
        </w:sectPr>
      </w:pPr>
    </w:p>
    <w:p w14:paraId="1738B6BB">
      <w:pPr>
        <w:spacing w:before="175"/>
      </w:pPr>
    </w:p>
    <w:p w14:paraId="76446D51">
      <w:pPr>
        <w:sectPr>
          <w:type w:val="continuous"/>
          <w:pgSz w:w="11900" w:h="16840"/>
          <w:pgMar w:top="400" w:right="1074" w:bottom="0" w:left="629" w:header="0" w:footer="0" w:gutter="0"/>
          <w:cols w:equalWidth="0" w:num="1">
            <w:col w:w="10196"/>
          </w:cols>
        </w:sectPr>
      </w:pPr>
    </w:p>
    <w:p w14:paraId="3AFB144E">
      <w:pPr>
        <w:pStyle w:val="2"/>
        <w:spacing w:before="32" w:line="196" w:lineRule="auto"/>
        <w:outlineLvl w:val="0"/>
      </w:pPr>
      <w:r>
        <w:rPr>
          <w:b/>
          <w:bCs/>
          <w:spacing w:val="-4"/>
        </w:rPr>
        <w:t>FIVE.</w:t>
      </w:r>
    </w:p>
    <w:p w14:paraId="11DDC1D9">
      <w:pPr>
        <w:spacing w:before="73" w:line="328" w:lineRule="auto"/>
        <w:ind w:right="504"/>
        <w:rPr>
          <w:rFonts w:ascii="黑体" w:hAnsi="黑体" w:eastAsia="黑体" w:cs="黑体"/>
          <w:sz w:val="16"/>
          <w:szCs w:val="16"/>
        </w:rPr>
      </w:pPr>
      <w:r>
        <w:rPr>
          <w:rFonts w:ascii="黑体" w:hAnsi="黑体" w:eastAsia="黑体" w:cs="黑体"/>
          <w:sz w:val="16"/>
          <w:szCs w:val="16"/>
        </w:rPr>
        <w:t>提升企业战略决策能力、经营管理能力、风险防范能力</w:t>
      </w:r>
      <w:r>
        <w:rPr>
          <w:rFonts w:ascii="黑体" w:hAnsi="黑体" w:eastAsia="黑体" w:cs="黑体"/>
          <w:spacing w:val="-1"/>
          <w:sz w:val="16"/>
          <w:szCs w:val="16"/>
        </w:rPr>
        <w:t>，建立起科学</w:t>
      </w:r>
      <w:r>
        <w:rPr>
          <w:rFonts w:ascii="黑体" w:hAnsi="黑体" w:eastAsia="黑体" w:cs="黑体"/>
          <w:sz w:val="16"/>
          <w:szCs w:val="16"/>
        </w:rPr>
        <w:t xml:space="preserve"> </w:t>
      </w:r>
      <w:r>
        <w:rPr>
          <w:rFonts w:ascii="黑体" w:hAnsi="黑体" w:eastAsia="黑体" w:cs="黑体"/>
          <w:spacing w:val="1"/>
          <w:sz w:val="16"/>
          <w:szCs w:val="16"/>
        </w:rPr>
        <w:t>系统的企业经营发展的全局思维体系，提升企业整体核心竞争力。</w:t>
      </w:r>
    </w:p>
    <w:p w14:paraId="588F5F81">
      <w:pPr>
        <w:pStyle w:val="2"/>
        <w:spacing w:line="14" w:lineRule="auto"/>
        <w:rPr>
          <w:sz w:val="2"/>
        </w:rPr>
      </w:pPr>
      <w:r>
        <w:rPr>
          <w:sz w:val="2"/>
          <w:szCs w:val="2"/>
        </w:rPr>
        <w:br w:type="column"/>
      </w:r>
    </w:p>
    <w:p w14:paraId="0A50CA2B">
      <w:pPr>
        <w:pStyle w:val="2"/>
        <w:spacing w:before="36" w:line="198" w:lineRule="auto"/>
        <w:outlineLvl w:val="1"/>
      </w:pPr>
      <w:r>
        <w:rPr>
          <w:b/>
          <w:bCs/>
          <w:spacing w:val="-3"/>
        </w:rPr>
        <w:t>SIX.</w:t>
      </w:r>
    </w:p>
    <w:p w14:paraId="4DFCE0D1">
      <w:pPr>
        <w:spacing w:before="73" w:line="286" w:lineRule="auto"/>
        <w:jc w:val="both"/>
        <w:rPr>
          <w:rFonts w:ascii="黑体" w:hAnsi="黑体" w:eastAsia="黑体" w:cs="黑体"/>
          <w:sz w:val="16"/>
          <w:szCs w:val="16"/>
        </w:rPr>
      </w:pPr>
      <w:r>
        <w:rPr>
          <w:rFonts w:ascii="黑体" w:hAnsi="黑体" w:eastAsia="黑体" w:cs="黑体"/>
          <w:sz w:val="16"/>
          <w:szCs w:val="16"/>
        </w:rPr>
        <w:t>通过学习掌握不同产业类型的项目开发过程前、中、后</w:t>
      </w:r>
      <w:r>
        <w:rPr>
          <w:rFonts w:ascii="黑体" w:hAnsi="黑体" w:eastAsia="黑体" w:cs="黑体"/>
          <w:spacing w:val="-1"/>
          <w:sz w:val="16"/>
          <w:szCs w:val="16"/>
        </w:rPr>
        <w:t>期以及运维管</w:t>
      </w:r>
      <w:r>
        <w:rPr>
          <w:rFonts w:ascii="黑体" w:hAnsi="黑体" w:eastAsia="黑体" w:cs="黑体"/>
          <w:sz w:val="16"/>
          <w:szCs w:val="16"/>
        </w:rPr>
        <w:t xml:space="preserve"> </w:t>
      </w:r>
      <w:r>
        <w:rPr>
          <w:rFonts w:ascii="黑体" w:hAnsi="黑体" w:eastAsia="黑体" w:cs="黑体"/>
          <w:spacing w:val="5"/>
          <w:sz w:val="16"/>
          <w:szCs w:val="16"/>
        </w:rPr>
        <w:t>理等各核心板块的关键管理指标及模式，提升个人实操性和综合管</w:t>
      </w:r>
      <w:r>
        <w:rPr>
          <w:rFonts w:ascii="黑体" w:hAnsi="黑体" w:eastAsia="黑体" w:cs="黑体"/>
          <w:sz w:val="16"/>
          <w:szCs w:val="16"/>
        </w:rPr>
        <w:t xml:space="preserve"> </w:t>
      </w:r>
      <w:r>
        <w:rPr>
          <w:rFonts w:ascii="黑体" w:hAnsi="黑体" w:eastAsia="黑体" w:cs="黑体"/>
          <w:spacing w:val="2"/>
          <w:sz w:val="16"/>
          <w:szCs w:val="16"/>
        </w:rPr>
        <w:t>理能力。</w:t>
      </w:r>
    </w:p>
    <w:p w14:paraId="38593E69">
      <w:pPr>
        <w:spacing w:line="286" w:lineRule="auto"/>
        <w:rPr>
          <w:rFonts w:ascii="黑体" w:hAnsi="黑体" w:eastAsia="黑体" w:cs="黑体"/>
          <w:sz w:val="16"/>
          <w:szCs w:val="16"/>
        </w:rPr>
        <w:sectPr>
          <w:type w:val="continuous"/>
          <w:pgSz w:w="11900" w:h="16840"/>
          <w:pgMar w:top="400" w:right="1074" w:bottom="0" w:left="629" w:header="0" w:footer="0" w:gutter="0"/>
          <w:cols w:equalWidth="0" w:num="2">
            <w:col w:w="5300" w:space="100"/>
            <w:col w:w="4796"/>
          </w:cols>
        </w:sectPr>
      </w:pPr>
    </w:p>
    <w:p w14:paraId="420B7F22">
      <w:pPr>
        <w:spacing w:before="181"/>
      </w:pPr>
    </w:p>
    <w:p w14:paraId="257A5EC7">
      <w:pPr>
        <w:sectPr>
          <w:type w:val="continuous"/>
          <w:pgSz w:w="11900" w:h="16840"/>
          <w:pgMar w:top="400" w:right="1074" w:bottom="0" w:left="629" w:header="0" w:footer="0" w:gutter="0"/>
          <w:cols w:equalWidth="0" w:num="1">
            <w:col w:w="10196"/>
          </w:cols>
        </w:sectPr>
      </w:pPr>
    </w:p>
    <w:p w14:paraId="7EDCB709">
      <w:pPr>
        <w:pStyle w:val="2"/>
        <w:spacing w:before="31" w:line="198" w:lineRule="auto"/>
        <w:outlineLvl w:val="0"/>
      </w:pPr>
      <w:r>
        <w:rPr>
          <w:b/>
          <w:bCs/>
          <w:spacing w:val="-2"/>
        </w:rPr>
        <w:t>SEVEN.</w:t>
      </w:r>
    </w:p>
    <w:p w14:paraId="710C41ED">
      <w:pPr>
        <w:spacing w:before="67" w:line="271" w:lineRule="auto"/>
        <w:ind w:right="508"/>
        <w:rPr>
          <w:rFonts w:ascii="黑体" w:hAnsi="黑体" w:eastAsia="黑体" w:cs="黑体"/>
          <w:sz w:val="16"/>
          <w:szCs w:val="16"/>
        </w:rPr>
      </w:pPr>
      <w:r>
        <w:rPr>
          <w:rFonts w:ascii="黑体" w:hAnsi="黑体" w:eastAsia="黑体" w:cs="黑体"/>
          <w:sz w:val="16"/>
          <w:szCs w:val="16"/>
        </w:rPr>
        <w:t>获取全产业链丰富资源，增强资源整合能力、</w:t>
      </w:r>
      <w:r>
        <w:rPr>
          <w:rFonts w:ascii="黑体" w:hAnsi="黑体" w:eastAsia="黑体" w:cs="黑体"/>
          <w:spacing w:val="-1"/>
          <w:sz w:val="16"/>
          <w:szCs w:val="16"/>
        </w:rPr>
        <w:t>项目开拓能力、链接资</w:t>
      </w:r>
      <w:r>
        <w:rPr>
          <w:rFonts w:ascii="黑体" w:hAnsi="黑体" w:eastAsia="黑体" w:cs="黑体"/>
          <w:sz w:val="16"/>
          <w:szCs w:val="16"/>
        </w:rPr>
        <w:t xml:space="preserve"> </w:t>
      </w:r>
      <w:r>
        <w:rPr>
          <w:rFonts w:ascii="黑体" w:hAnsi="黑体" w:eastAsia="黑体" w:cs="黑体"/>
          <w:spacing w:val="-2"/>
          <w:sz w:val="16"/>
          <w:szCs w:val="16"/>
        </w:rPr>
        <w:t>源网络、寻求优质战略合作伙伴。</w:t>
      </w:r>
    </w:p>
    <w:p w14:paraId="300134DA">
      <w:pPr>
        <w:pStyle w:val="2"/>
        <w:spacing w:line="14" w:lineRule="auto"/>
        <w:rPr>
          <w:sz w:val="2"/>
        </w:rPr>
      </w:pPr>
      <w:r>
        <w:rPr>
          <w:sz w:val="2"/>
          <w:szCs w:val="2"/>
        </w:rPr>
        <w:br w:type="column"/>
      </w:r>
    </w:p>
    <w:p w14:paraId="13E96098">
      <w:pPr>
        <w:pStyle w:val="2"/>
        <w:spacing w:before="30" w:line="198" w:lineRule="auto"/>
        <w:outlineLvl w:val="1"/>
      </w:pPr>
      <w:r>
        <w:rPr>
          <w:b/>
          <w:bCs/>
          <w:spacing w:val="-3"/>
        </w:rPr>
        <w:t>EIGHT.</w:t>
      </w:r>
    </w:p>
    <w:p w14:paraId="2061F741">
      <w:pPr>
        <w:spacing w:before="66" w:line="271" w:lineRule="auto"/>
        <w:ind w:right="1"/>
        <w:rPr>
          <w:rFonts w:ascii="黑体" w:hAnsi="黑体" w:eastAsia="黑体" w:cs="黑体"/>
          <w:sz w:val="16"/>
          <w:szCs w:val="16"/>
        </w:rPr>
      </w:pPr>
      <w:r>
        <w:rPr>
          <w:rFonts w:ascii="黑体" w:hAnsi="黑体" w:eastAsia="黑体" w:cs="黑体"/>
          <w:sz w:val="16"/>
          <w:szCs w:val="16"/>
        </w:rPr>
        <w:t>加入校友会，获得可以终身学习交流「城建与产业</w:t>
      </w:r>
      <w:r>
        <w:rPr>
          <w:rFonts w:ascii="黑体" w:hAnsi="黑体" w:eastAsia="黑体" w:cs="黑体"/>
          <w:spacing w:val="-1"/>
          <w:sz w:val="16"/>
          <w:szCs w:val="16"/>
        </w:rPr>
        <w:t>领域最具价值的智</w:t>
      </w:r>
      <w:r>
        <w:rPr>
          <w:rFonts w:ascii="黑体" w:hAnsi="黑体" w:eastAsia="黑体" w:cs="黑体"/>
          <w:sz w:val="16"/>
          <w:szCs w:val="16"/>
        </w:rPr>
        <w:t xml:space="preserve"> </w:t>
      </w:r>
      <w:r>
        <w:rPr>
          <w:rFonts w:ascii="黑体" w:hAnsi="黑体" w:eastAsia="黑体" w:cs="黑体"/>
          <w:spacing w:val="-9"/>
          <w:sz w:val="16"/>
          <w:szCs w:val="16"/>
        </w:rPr>
        <w:t>慧与资源平台」。</w:t>
      </w:r>
    </w:p>
    <w:p w14:paraId="0EB4D16E">
      <w:pPr>
        <w:spacing w:line="271" w:lineRule="auto"/>
        <w:rPr>
          <w:rFonts w:ascii="黑体" w:hAnsi="黑体" w:eastAsia="黑体" w:cs="黑体"/>
          <w:sz w:val="16"/>
          <w:szCs w:val="16"/>
        </w:rPr>
        <w:sectPr>
          <w:type w:val="continuous"/>
          <w:pgSz w:w="11900" w:h="16840"/>
          <w:pgMar w:top="400" w:right="1074" w:bottom="0" w:left="629" w:header="0" w:footer="0" w:gutter="0"/>
          <w:cols w:equalWidth="0" w:num="2">
            <w:col w:w="5300" w:space="100"/>
            <w:col w:w="4796"/>
          </w:cols>
        </w:sectPr>
      </w:pPr>
    </w:p>
    <w:p w14:paraId="3CE8B5CB">
      <w:pPr>
        <w:pStyle w:val="2"/>
        <w:spacing w:line="246" w:lineRule="auto"/>
      </w:pPr>
    </w:p>
    <w:p w14:paraId="2FA2E1A2">
      <w:pPr>
        <w:pStyle w:val="2"/>
        <w:spacing w:line="246" w:lineRule="auto"/>
      </w:pPr>
    </w:p>
    <w:p w14:paraId="040F788C">
      <w:pPr>
        <w:pStyle w:val="2"/>
        <w:spacing w:line="246" w:lineRule="auto"/>
      </w:pPr>
    </w:p>
    <w:p w14:paraId="2F507351">
      <w:pPr>
        <w:pStyle w:val="2"/>
        <w:spacing w:line="246" w:lineRule="auto"/>
      </w:pPr>
    </w:p>
    <w:p w14:paraId="3ECE5F13">
      <w:pPr>
        <w:pStyle w:val="2"/>
        <w:spacing w:line="247" w:lineRule="auto"/>
      </w:pPr>
    </w:p>
    <w:p w14:paraId="5518C60B">
      <w:pPr>
        <w:pStyle w:val="2"/>
        <w:spacing w:line="247" w:lineRule="auto"/>
      </w:pPr>
    </w:p>
    <w:p w14:paraId="5415C650">
      <w:pPr>
        <w:pStyle w:val="2"/>
        <w:spacing w:line="247" w:lineRule="auto"/>
      </w:pPr>
    </w:p>
    <w:p w14:paraId="3ECB69FD">
      <w:pPr>
        <w:pStyle w:val="2"/>
        <w:spacing w:line="247" w:lineRule="auto"/>
      </w:pPr>
    </w:p>
    <w:p w14:paraId="19CB920C">
      <w:pPr>
        <w:pStyle w:val="2"/>
        <w:spacing w:line="247" w:lineRule="auto"/>
      </w:pPr>
    </w:p>
    <w:p w14:paraId="4DE0E3BB">
      <w:pPr>
        <w:pStyle w:val="2"/>
        <w:spacing w:line="247" w:lineRule="auto"/>
      </w:pPr>
    </w:p>
    <w:p w14:paraId="48F01A48">
      <w:pPr>
        <w:pStyle w:val="2"/>
        <w:spacing w:line="247" w:lineRule="auto"/>
      </w:pPr>
    </w:p>
    <w:p w14:paraId="597AF213">
      <w:pPr>
        <w:pStyle w:val="2"/>
        <w:spacing w:line="247" w:lineRule="auto"/>
      </w:pPr>
    </w:p>
    <w:p w14:paraId="66B824D5">
      <w:pPr>
        <w:pStyle w:val="2"/>
        <w:spacing w:line="247" w:lineRule="auto"/>
      </w:pPr>
    </w:p>
    <w:p w14:paraId="3065D39A">
      <w:pPr>
        <w:pStyle w:val="2"/>
        <w:spacing w:line="247" w:lineRule="auto"/>
      </w:pPr>
    </w:p>
    <w:p w14:paraId="27BB9377">
      <w:pPr>
        <w:pStyle w:val="2"/>
        <w:spacing w:line="247" w:lineRule="auto"/>
      </w:pPr>
    </w:p>
    <w:p w14:paraId="185B4368">
      <w:pPr>
        <w:pStyle w:val="2"/>
        <w:spacing w:line="247" w:lineRule="auto"/>
      </w:pPr>
    </w:p>
    <w:p w14:paraId="36ECB161">
      <w:pPr>
        <w:pStyle w:val="2"/>
        <w:spacing w:line="247" w:lineRule="auto"/>
      </w:pPr>
    </w:p>
    <w:p w14:paraId="02C1E0CC">
      <w:pPr>
        <w:pStyle w:val="2"/>
        <w:spacing w:line="247" w:lineRule="auto"/>
      </w:pPr>
    </w:p>
    <w:p w14:paraId="0B8B8957">
      <w:pPr>
        <w:pStyle w:val="2"/>
        <w:spacing w:line="247" w:lineRule="auto"/>
      </w:pPr>
    </w:p>
    <w:p w14:paraId="2F67B22B">
      <w:pPr>
        <w:pStyle w:val="2"/>
        <w:spacing w:line="247" w:lineRule="auto"/>
      </w:pPr>
    </w:p>
    <w:p w14:paraId="4B230A32">
      <w:pPr>
        <w:pStyle w:val="2"/>
        <w:spacing w:line="247" w:lineRule="auto"/>
      </w:pPr>
    </w:p>
    <w:p w14:paraId="5D5EB738">
      <w:pPr>
        <w:pStyle w:val="2"/>
        <w:spacing w:line="247" w:lineRule="auto"/>
      </w:pPr>
    </w:p>
    <w:p w14:paraId="61921E60">
      <w:pPr>
        <w:pStyle w:val="2"/>
        <w:spacing w:line="247" w:lineRule="auto"/>
      </w:pPr>
    </w:p>
    <w:p w14:paraId="1A96FD64">
      <w:pPr>
        <w:pStyle w:val="2"/>
        <w:spacing w:line="247" w:lineRule="auto"/>
      </w:pPr>
    </w:p>
    <w:p w14:paraId="4B2C7EEC">
      <w:pPr>
        <w:pStyle w:val="2"/>
        <w:spacing w:line="247" w:lineRule="auto"/>
      </w:pPr>
    </w:p>
    <w:p w14:paraId="1BDEF887">
      <w:pPr>
        <w:pStyle w:val="2"/>
        <w:spacing w:line="247" w:lineRule="auto"/>
      </w:pPr>
    </w:p>
    <w:p w14:paraId="59B1BE29">
      <w:pPr>
        <w:pStyle w:val="2"/>
        <w:spacing w:line="247" w:lineRule="auto"/>
      </w:pPr>
    </w:p>
    <w:p w14:paraId="0D1C55E1">
      <w:pPr>
        <w:pStyle w:val="2"/>
        <w:spacing w:line="247" w:lineRule="auto"/>
      </w:pPr>
    </w:p>
    <w:p w14:paraId="7C73B463">
      <w:pPr>
        <w:pStyle w:val="2"/>
        <w:spacing w:line="247" w:lineRule="auto"/>
      </w:pPr>
    </w:p>
    <w:p w14:paraId="3C98FC3E">
      <w:pPr>
        <w:pStyle w:val="2"/>
        <w:spacing w:line="247" w:lineRule="auto"/>
      </w:pPr>
    </w:p>
    <w:p w14:paraId="7F1FBAFD">
      <w:pPr>
        <w:pStyle w:val="2"/>
        <w:spacing w:line="247" w:lineRule="auto"/>
      </w:pPr>
    </w:p>
    <w:p w14:paraId="3A6F0765">
      <w:pPr>
        <w:spacing w:before="231" w:line="220" w:lineRule="auto"/>
        <w:ind w:left="640"/>
        <w:rPr>
          <w:rFonts w:ascii="宋体" w:hAnsi="宋体" w:eastAsia="宋体" w:cs="宋体"/>
          <w:sz w:val="71"/>
          <w:szCs w:val="71"/>
        </w:rPr>
      </w:pPr>
      <w:r>
        <w:drawing>
          <wp:anchor distT="0" distB="0" distL="0" distR="0" simplePos="0" relativeHeight="251662336" behindDoc="1" locked="0" layoutInCell="1" allowOverlap="1">
            <wp:simplePos x="0" y="0"/>
            <wp:positionH relativeFrom="column">
              <wp:posOffset>0</wp:posOffset>
            </wp:positionH>
            <wp:positionV relativeFrom="paragraph">
              <wp:posOffset>-5142865</wp:posOffset>
            </wp:positionV>
            <wp:extent cx="7556500" cy="10693400"/>
            <wp:effectExtent l="0" t="0" r="0" b="0"/>
            <wp:wrapNone/>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11"/>
                    <a:stretch>
                      <a:fillRect/>
                    </a:stretch>
                  </pic:blipFill>
                  <pic:spPr>
                    <a:xfrm>
                      <a:off x="0" y="0"/>
                      <a:ext cx="7556500" cy="10693400"/>
                    </a:xfrm>
                    <a:prstGeom prst="rect">
                      <a:avLst/>
                    </a:prstGeom>
                  </pic:spPr>
                </pic:pic>
              </a:graphicData>
            </a:graphic>
          </wp:anchor>
        </w:drawing>
      </w:r>
      <w:r>
        <w:rPr>
          <w:rFonts w:ascii="宋体" w:hAnsi="宋体" w:eastAsia="宋体" w:cs="宋体"/>
          <w:b/>
          <w:bCs/>
          <w:color w:val="00C4A3"/>
          <w:spacing w:val="35"/>
          <w:sz w:val="71"/>
          <w:szCs w:val="71"/>
        </w:rPr>
        <w:t>提升</w:t>
      </w:r>
      <w:r>
        <w:rPr>
          <w:rFonts w:ascii="宋体" w:hAnsi="宋体" w:eastAsia="宋体" w:cs="宋体"/>
          <w:b/>
          <w:bCs/>
          <w:color w:val="4ACB00"/>
          <w:spacing w:val="35"/>
          <w:sz w:val="71"/>
          <w:szCs w:val="71"/>
        </w:rPr>
        <w:t>企业及企业家</w:t>
      </w:r>
    </w:p>
    <w:p w14:paraId="6EDF13C5">
      <w:pPr>
        <w:spacing w:before="95" w:line="218" w:lineRule="auto"/>
        <w:ind w:left="660"/>
        <w:rPr>
          <w:rFonts w:ascii="宋体" w:hAnsi="宋体" w:eastAsia="宋体" w:cs="宋体"/>
          <w:sz w:val="71"/>
          <w:szCs w:val="71"/>
        </w:rPr>
      </w:pPr>
      <w:r>
        <w:rPr>
          <w:rFonts w:ascii="宋体" w:hAnsi="宋体" w:eastAsia="宋体" w:cs="宋体"/>
          <w:b/>
          <w:bCs/>
          <w:color w:val="00C4A3"/>
          <w:spacing w:val="33"/>
          <w:sz w:val="71"/>
          <w:szCs w:val="71"/>
        </w:rPr>
        <w:t>生存</w:t>
      </w:r>
      <w:r>
        <w:rPr>
          <w:rFonts w:ascii="宋体" w:hAnsi="宋体" w:eastAsia="宋体" w:cs="宋体"/>
          <w:b/>
          <w:bCs/>
          <w:color w:val="4ACB00"/>
          <w:spacing w:val="33"/>
          <w:sz w:val="71"/>
          <w:szCs w:val="71"/>
        </w:rPr>
        <w:t>价值与核心竞争力</w:t>
      </w:r>
    </w:p>
    <w:p w14:paraId="52EE531A">
      <w:pPr>
        <w:pStyle w:val="2"/>
        <w:spacing w:line="267" w:lineRule="auto"/>
      </w:pPr>
    </w:p>
    <w:p w14:paraId="2ECAD757">
      <w:pPr>
        <w:pStyle w:val="2"/>
        <w:spacing w:line="268" w:lineRule="auto"/>
      </w:pPr>
    </w:p>
    <w:p w14:paraId="3C154B64">
      <w:pPr>
        <w:pStyle w:val="2"/>
        <w:spacing w:line="268" w:lineRule="auto"/>
      </w:pPr>
    </w:p>
    <w:p w14:paraId="65F1C6FF">
      <w:pPr>
        <w:pStyle w:val="2"/>
        <w:spacing w:line="268" w:lineRule="auto"/>
      </w:pPr>
    </w:p>
    <w:p w14:paraId="61CADEA7">
      <w:pPr>
        <w:spacing w:before="111" w:line="223" w:lineRule="auto"/>
        <w:ind w:left="2454"/>
        <w:rPr>
          <w:rFonts w:ascii="黑体" w:hAnsi="黑体" w:eastAsia="黑体" w:cs="黑体"/>
          <w:sz w:val="34"/>
          <w:szCs w:val="34"/>
        </w:rPr>
      </w:pPr>
      <w:r>
        <w:rPr>
          <w:rFonts w:ascii="黑体" w:hAnsi="黑体" w:eastAsia="黑体" w:cs="黑体"/>
          <w:b/>
          <w:bCs/>
          <w:spacing w:val="25"/>
          <w:sz w:val="34"/>
          <w:szCs w:val="34"/>
        </w:rPr>
        <w:t>宗旨一</w:t>
      </w:r>
    </w:p>
    <w:p w14:paraId="54FA6834">
      <w:pPr>
        <w:spacing w:before="247" w:line="384" w:lineRule="auto"/>
        <w:ind w:left="2449" w:right="1199"/>
        <w:rPr>
          <w:rFonts w:ascii="黑体" w:hAnsi="黑体" w:eastAsia="黑体" w:cs="黑体"/>
          <w:sz w:val="23"/>
          <w:szCs w:val="23"/>
        </w:rPr>
      </w:pPr>
      <w:r>
        <w:rPr>
          <w:rFonts w:ascii="黑体" w:hAnsi="黑体" w:eastAsia="黑体" w:cs="黑体"/>
          <w:spacing w:val="20"/>
          <w:sz w:val="23"/>
          <w:szCs w:val="23"/>
        </w:rPr>
        <w:t>全面提高管理能力与完善产业知识体系，培养既懂管理又懂专业的复合型人</w:t>
      </w:r>
      <w:r>
        <w:rPr>
          <w:rFonts w:ascii="黑体" w:hAnsi="黑体" w:eastAsia="黑体" w:cs="黑体"/>
          <w:sz w:val="23"/>
          <w:szCs w:val="23"/>
        </w:rPr>
        <w:t xml:space="preserve"> </w:t>
      </w:r>
      <w:r>
        <w:rPr>
          <w:rFonts w:ascii="黑体" w:hAnsi="黑体" w:eastAsia="黑体" w:cs="黑体"/>
          <w:spacing w:val="2"/>
          <w:sz w:val="23"/>
          <w:szCs w:val="23"/>
        </w:rPr>
        <w:t>才。</w:t>
      </w:r>
    </w:p>
    <w:p w14:paraId="1B80C9E2">
      <w:pPr>
        <w:pStyle w:val="2"/>
        <w:spacing w:line="422" w:lineRule="auto"/>
      </w:pPr>
    </w:p>
    <w:p w14:paraId="7A80C36A">
      <w:pPr>
        <w:spacing w:before="110" w:line="223" w:lineRule="auto"/>
        <w:ind w:left="2454"/>
        <w:rPr>
          <w:rFonts w:ascii="黑体" w:hAnsi="黑体" w:eastAsia="黑体" w:cs="黑体"/>
          <w:sz w:val="34"/>
          <w:szCs w:val="34"/>
        </w:rPr>
      </w:pPr>
      <w:r>
        <w:rPr>
          <w:rFonts w:ascii="黑体" w:hAnsi="黑体" w:eastAsia="黑体" w:cs="黑体"/>
          <w:b/>
          <w:bCs/>
          <w:spacing w:val="19"/>
          <w:sz w:val="34"/>
          <w:szCs w:val="34"/>
        </w:rPr>
        <w:t>宗旨二</w:t>
      </w:r>
    </w:p>
    <w:p w14:paraId="6824D0B1">
      <w:pPr>
        <w:spacing w:before="246" w:line="359" w:lineRule="auto"/>
        <w:ind w:left="2449" w:right="1197"/>
        <w:rPr>
          <w:rFonts w:ascii="黑体" w:hAnsi="黑体" w:eastAsia="黑体" w:cs="黑体"/>
          <w:sz w:val="23"/>
          <w:szCs w:val="23"/>
        </w:rPr>
      </w:pPr>
      <w:r>
        <w:rPr>
          <w:rFonts w:ascii="黑体" w:hAnsi="黑体" w:eastAsia="黑体" w:cs="黑体"/>
          <w:spacing w:val="6"/>
          <w:sz w:val="23"/>
          <w:szCs w:val="23"/>
        </w:rPr>
        <w:t>为业界精英打造一个融产业资源、资金资源、信息资源、知</w:t>
      </w:r>
      <w:r>
        <w:rPr>
          <w:rFonts w:ascii="黑体" w:hAnsi="黑体" w:eastAsia="黑体" w:cs="黑体"/>
          <w:spacing w:val="5"/>
          <w:sz w:val="23"/>
          <w:szCs w:val="23"/>
        </w:rPr>
        <w:t>识资源、人脉资源于</w:t>
      </w:r>
      <w:r>
        <w:rPr>
          <w:rFonts w:ascii="黑体" w:hAnsi="黑体" w:eastAsia="黑体" w:cs="黑体"/>
          <w:sz w:val="23"/>
          <w:szCs w:val="23"/>
        </w:rPr>
        <w:t xml:space="preserve"> 一体，终身交流、学习、互动的最具价值资源平台。</w:t>
      </w:r>
    </w:p>
    <w:p w14:paraId="7ABCF1B7">
      <w:pPr>
        <w:spacing w:line="359" w:lineRule="auto"/>
        <w:rPr>
          <w:rFonts w:ascii="黑体" w:hAnsi="黑体" w:eastAsia="黑体" w:cs="黑体"/>
          <w:sz w:val="23"/>
          <w:szCs w:val="23"/>
        </w:rPr>
        <w:sectPr>
          <w:pgSz w:w="11900" w:h="16840"/>
          <w:pgMar w:top="400" w:right="0" w:bottom="0" w:left="0" w:header="0" w:footer="0" w:gutter="0"/>
          <w:cols w:space="720" w:num="1"/>
        </w:sectPr>
      </w:pPr>
    </w:p>
    <w:p w14:paraId="3496EDD3">
      <w:pPr>
        <w:spacing w:before="51"/>
      </w:pPr>
    </w:p>
    <w:p w14:paraId="1B94E8AF">
      <w:pPr>
        <w:spacing w:before="51"/>
      </w:pPr>
    </w:p>
    <w:p w14:paraId="50F04172">
      <w:pPr>
        <w:spacing w:before="51"/>
      </w:pPr>
    </w:p>
    <w:p w14:paraId="7B07BAEF">
      <w:pPr>
        <w:sectPr>
          <w:pgSz w:w="11900" w:h="16840"/>
          <w:pgMar w:top="400" w:right="0" w:bottom="0" w:left="0" w:header="0" w:footer="0" w:gutter="0"/>
          <w:cols w:equalWidth="0" w:num="1">
            <w:col w:w="11900"/>
          </w:cols>
        </w:sectPr>
      </w:pPr>
    </w:p>
    <w:p w14:paraId="193086F3">
      <w:pPr>
        <w:pStyle w:val="2"/>
        <w:spacing w:line="315" w:lineRule="auto"/>
      </w:pPr>
    </w:p>
    <w:p w14:paraId="583A5B83">
      <w:pPr>
        <w:pStyle w:val="2"/>
        <w:spacing w:line="315" w:lineRule="auto"/>
      </w:pPr>
    </w:p>
    <w:p w14:paraId="3C39A9CA">
      <w:pPr>
        <w:pStyle w:val="2"/>
        <w:spacing w:line="316" w:lineRule="auto"/>
      </w:pPr>
    </w:p>
    <w:p w14:paraId="2F0E522D">
      <w:pPr>
        <w:spacing w:before="224" w:line="222" w:lineRule="auto"/>
        <w:ind w:left="659"/>
        <w:rPr>
          <w:rFonts w:ascii="黑体" w:hAnsi="黑体" w:eastAsia="黑体" w:cs="黑体"/>
          <w:sz w:val="69"/>
          <w:szCs w:val="69"/>
        </w:rPr>
      </w:pPr>
      <w:r>
        <w:drawing>
          <wp:anchor distT="0" distB="0" distL="0" distR="0" simplePos="0" relativeHeight="251663360" behindDoc="1" locked="0" layoutInCell="1" allowOverlap="1">
            <wp:simplePos x="0" y="0"/>
            <wp:positionH relativeFrom="column">
              <wp:posOffset>0</wp:posOffset>
            </wp:positionH>
            <wp:positionV relativeFrom="paragraph">
              <wp:posOffset>-1416685</wp:posOffset>
            </wp:positionV>
            <wp:extent cx="7556500" cy="10693400"/>
            <wp:effectExtent l="0" t="0" r="0" b="0"/>
            <wp:wrapNone/>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12"/>
                    <a:stretch>
                      <a:fillRect/>
                    </a:stretch>
                  </pic:blipFill>
                  <pic:spPr>
                    <a:xfrm>
                      <a:off x="0" y="0"/>
                      <a:ext cx="7556500" cy="10693400"/>
                    </a:xfrm>
                    <a:prstGeom prst="rect">
                      <a:avLst/>
                    </a:prstGeom>
                  </pic:spPr>
                </pic:pic>
              </a:graphicData>
            </a:graphic>
          </wp:anchor>
        </w:drawing>
      </w:r>
      <w:r>
        <w:rPr>
          <w:rFonts w:ascii="黑体" w:hAnsi="黑体" w:eastAsia="黑体" w:cs="黑体"/>
          <w:b/>
          <w:bCs/>
          <w:spacing w:val="13"/>
          <w:sz w:val="69"/>
          <w:szCs w:val="69"/>
        </w:rPr>
        <w:t>师资力量</w:t>
      </w:r>
    </w:p>
    <w:p w14:paraId="2E09785E">
      <w:pPr>
        <w:pStyle w:val="2"/>
        <w:spacing w:before="87" w:line="283" w:lineRule="auto"/>
        <w:ind w:left="649" w:right="2181"/>
        <w:rPr>
          <w:sz w:val="29"/>
          <w:szCs w:val="29"/>
        </w:rPr>
      </w:pPr>
      <w:r>
        <w:rPr>
          <w:b/>
          <w:bCs/>
          <w:spacing w:val="-6"/>
          <w:sz w:val="29"/>
          <w:szCs w:val="29"/>
        </w:rPr>
        <w:t>TEACHERS</w:t>
      </w:r>
      <w:r>
        <w:rPr>
          <w:b/>
          <w:bCs/>
          <w:spacing w:val="5"/>
          <w:sz w:val="29"/>
          <w:szCs w:val="29"/>
        </w:rPr>
        <w:t xml:space="preserve"> </w:t>
      </w:r>
      <w:r>
        <w:rPr>
          <w:b/>
          <w:bCs/>
          <w:spacing w:val="-3"/>
          <w:sz w:val="29"/>
          <w:szCs w:val="29"/>
        </w:rPr>
        <w:t>RESURCES</w:t>
      </w:r>
    </w:p>
    <w:p w14:paraId="29D7E824">
      <w:pPr>
        <w:spacing w:before="35"/>
      </w:pPr>
    </w:p>
    <w:p w14:paraId="1E87C49A">
      <w:pPr>
        <w:spacing w:before="34"/>
      </w:pPr>
    </w:p>
    <w:p w14:paraId="44488D4C">
      <w:pPr>
        <w:pStyle w:val="2"/>
        <w:spacing w:line="14" w:lineRule="auto"/>
        <w:rPr>
          <w:sz w:val="2"/>
        </w:rPr>
      </w:pPr>
      <w:r>
        <w:rPr>
          <w:sz w:val="2"/>
          <w:szCs w:val="2"/>
        </w:rPr>
        <w:br w:type="column"/>
      </w:r>
    </w:p>
    <w:p w14:paraId="1F536B53">
      <w:pPr>
        <w:spacing w:before="139" w:line="188" w:lineRule="auto"/>
        <w:rPr>
          <w:rFonts w:ascii="Times New Roman" w:hAnsi="Times New Roman" w:eastAsia="Times New Roman" w:cs="Times New Roman"/>
          <w:sz w:val="69"/>
          <w:szCs w:val="69"/>
        </w:rPr>
      </w:pPr>
      <w:r>
        <w:rPr>
          <w:rFonts w:ascii="Times New Roman" w:hAnsi="Times New Roman" w:eastAsia="Times New Roman" w:cs="Times New Roman"/>
          <w:b/>
          <w:bCs/>
          <w:spacing w:val="-7"/>
          <w:sz w:val="69"/>
          <w:szCs w:val="69"/>
        </w:rPr>
        <w:t>66</w:t>
      </w:r>
    </w:p>
    <w:p w14:paraId="400E25EB">
      <w:pPr>
        <w:spacing w:before="452" w:line="221" w:lineRule="auto"/>
        <w:rPr>
          <w:rFonts w:ascii="黑体" w:hAnsi="黑体" w:eastAsia="黑体" w:cs="黑体"/>
          <w:sz w:val="69"/>
          <w:szCs w:val="69"/>
        </w:rPr>
      </w:pPr>
      <w:r>
        <w:rPr>
          <w:rFonts w:ascii="黑体" w:hAnsi="黑体" w:eastAsia="黑体" w:cs="黑体"/>
          <w:color w:val="00C4A3"/>
          <w:spacing w:val="31"/>
          <w:sz w:val="69"/>
          <w:szCs w:val="69"/>
        </w:rPr>
        <w:t>城</w:t>
      </w:r>
      <w:r>
        <w:rPr>
          <w:rFonts w:ascii="黑体" w:hAnsi="黑体" w:eastAsia="黑体" w:cs="黑体"/>
          <w:color w:val="00C4A3"/>
          <w:spacing w:val="-144"/>
          <w:sz w:val="69"/>
          <w:szCs w:val="69"/>
        </w:rPr>
        <w:t xml:space="preserve"> </w:t>
      </w:r>
      <w:r>
        <w:rPr>
          <w:rFonts w:ascii="黑体" w:hAnsi="黑体" w:eastAsia="黑体" w:cs="黑体"/>
          <w:color w:val="00C4A3"/>
          <w:spacing w:val="31"/>
          <w:sz w:val="69"/>
          <w:szCs w:val="69"/>
        </w:rPr>
        <w:t>建</w:t>
      </w:r>
      <w:r>
        <w:rPr>
          <w:rFonts w:ascii="黑体" w:hAnsi="黑体" w:eastAsia="黑体" w:cs="黑体"/>
          <w:color w:val="16C91C"/>
          <w:spacing w:val="31"/>
          <w:sz w:val="69"/>
          <w:szCs w:val="69"/>
        </w:rPr>
        <w:t>与产业创新领域</w:t>
      </w:r>
    </w:p>
    <w:p w14:paraId="1FDC068F">
      <w:pPr>
        <w:spacing w:before="70" w:line="219" w:lineRule="auto"/>
        <w:rPr>
          <w:rFonts w:ascii="宋体" w:hAnsi="宋体" w:eastAsia="宋体" w:cs="宋体"/>
          <w:sz w:val="69"/>
          <w:szCs w:val="69"/>
        </w:rPr>
      </w:pPr>
      <w:r>
        <w:drawing>
          <wp:anchor distT="0" distB="0" distL="0" distR="0" simplePos="0" relativeHeight="251665408" behindDoc="0" locked="0" layoutInCell="1" allowOverlap="1">
            <wp:simplePos x="0" y="0"/>
            <wp:positionH relativeFrom="column">
              <wp:posOffset>3689350</wp:posOffset>
            </wp:positionH>
            <wp:positionV relativeFrom="paragraph">
              <wp:posOffset>376555</wp:posOffset>
            </wp:positionV>
            <wp:extent cx="571500" cy="508000"/>
            <wp:effectExtent l="0" t="0" r="0" b="0"/>
            <wp:wrapNone/>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13"/>
                    <a:stretch>
                      <a:fillRect/>
                    </a:stretch>
                  </pic:blipFill>
                  <pic:spPr>
                    <a:xfrm>
                      <a:off x="0" y="0"/>
                      <a:ext cx="571498" cy="507936"/>
                    </a:xfrm>
                    <a:prstGeom prst="rect">
                      <a:avLst/>
                    </a:prstGeom>
                  </pic:spPr>
                </pic:pic>
              </a:graphicData>
            </a:graphic>
          </wp:anchor>
        </w:drawing>
      </w:r>
      <w:r>
        <w:rPr>
          <w:rFonts w:ascii="宋体" w:hAnsi="宋体" w:eastAsia="宋体" w:cs="宋体"/>
          <w:color w:val="00C4A3"/>
          <w:spacing w:val="55"/>
          <w:sz w:val="69"/>
          <w:szCs w:val="69"/>
        </w:rPr>
        <w:t>最顶</w:t>
      </w:r>
      <w:r>
        <w:rPr>
          <w:rFonts w:ascii="宋体" w:hAnsi="宋体" w:eastAsia="宋体" w:cs="宋体"/>
          <w:color w:val="16C91C"/>
          <w:spacing w:val="55"/>
          <w:sz w:val="69"/>
          <w:szCs w:val="69"/>
        </w:rPr>
        <w:t>流师资智库</w:t>
      </w:r>
    </w:p>
    <w:p w14:paraId="01C6EC2B">
      <w:pPr>
        <w:spacing w:line="219" w:lineRule="auto"/>
        <w:rPr>
          <w:rFonts w:ascii="宋体" w:hAnsi="宋体" w:eastAsia="宋体" w:cs="宋体"/>
          <w:sz w:val="69"/>
          <w:szCs w:val="69"/>
        </w:rPr>
        <w:sectPr>
          <w:type w:val="continuous"/>
          <w:pgSz w:w="11900" w:h="16840"/>
          <w:pgMar w:top="400" w:right="0" w:bottom="0" w:left="0" w:header="0" w:footer="0" w:gutter="0"/>
          <w:cols w:equalWidth="0" w:num="2">
            <w:col w:w="4420" w:space="100"/>
            <w:col w:w="7381"/>
          </w:cols>
        </w:sectPr>
      </w:pPr>
    </w:p>
    <w:p w14:paraId="20D58376">
      <w:pPr>
        <w:pStyle w:val="2"/>
        <w:spacing w:line="253" w:lineRule="auto"/>
      </w:pPr>
    </w:p>
    <w:p w14:paraId="3CBFA87E">
      <w:pPr>
        <w:pStyle w:val="2"/>
        <w:spacing w:line="253" w:lineRule="auto"/>
      </w:pPr>
    </w:p>
    <w:p w14:paraId="0419FB4E">
      <w:pPr>
        <w:pStyle w:val="2"/>
        <w:spacing w:line="253" w:lineRule="auto"/>
      </w:pPr>
    </w:p>
    <w:p w14:paraId="2F31285C">
      <w:pPr>
        <w:pStyle w:val="2"/>
        <w:spacing w:line="253" w:lineRule="auto"/>
      </w:pPr>
    </w:p>
    <w:p w14:paraId="3C5B63D8">
      <w:pPr>
        <w:spacing w:before="95" w:line="351" w:lineRule="auto"/>
        <w:ind w:left="1120" w:right="1106" w:firstLine="554"/>
        <w:jc w:val="both"/>
        <w:rPr>
          <w:rFonts w:ascii="黑体" w:hAnsi="黑体" w:eastAsia="黑体" w:cs="黑体"/>
          <w:sz w:val="29"/>
          <w:szCs w:val="29"/>
        </w:rPr>
      </w:pPr>
      <w:r>
        <w:drawing>
          <wp:anchor distT="0" distB="0" distL="0" distR="0" simplePos="0" relativeHeight="251664384" behindDoc="1" locked="0" layoutInCell="1" allowOverlap="1">
            <wp:simplePos x="0" y="0"/>
            <wp:positionH relativeFrom="column">
              <wp:posOffset>386715</wp:posOffset>
            </wp:positionH>
            <wp:positionV relativeFrom="paragraph">
              <wp:posOffset>-318770</wp:posOffset>
            </wp:positionV>
            <wp:extent cx="6737350" cy="6553200"/>
            <wp:effectExtent l="0" t="0" r="0" b="0"/>
            <wp:wrapNone/>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14"/>
                    <a:stretch>
                      <a:fillRect/>
                    </a:stretch>
                  </pic:blipFill>
                  <pic:spPr>
                    <a:xfrm>
                      <a:off x="0" y="0"/>
                      <a:ext cx="6737375" cy="6553236"/>
                    </a:xfrm>
                    <a:prstGeom prst="rect">
                      <a:avLst/>
                    </a:prstGeom>
                  </pic:spPr>
                </pic:pic>
              </a:graphicData>
            </a:graphic>
          </wp:anchor>
        </w:drawing>
      </w:r>
      <w:r>
        <w:rPr>
          <w:rFonts w:ascii="黑体" w:hAnsi="黑体" w:eastAsia="黑体" w:cs="黑体"/>
          <w:b/>
          <w:bCs/>
          <w:color w:val="00C3A9"/>
          <w:spacing w:val="-15"/>
          <w:sz w:val="29"/>
          <w:szCs w:val="29"/>
        </w:rPr>
        <w:t>2</w:t>
      </w:r>
      <w:r>
        <w:rPr>
          <w:rFonts w:ascii="黑体" w:hAnsi="黑体" w:eastAsia="黑体" w:cs="黑体"/>
          <w:color w:val="00C3A9"/>
          <w:spacing w:val="-15"/>
          <w:sz w:val="29"/>
          <w:szCs w:val="29"/>
        </w:rPr>
        <w:t xml:space="preserve"> </w:t>
      </w:r>
      <w:r>
        <w:rPr>
          <w:rFonts w:ascii="黑体" w:hAnsi="黑体" w:eastAsia="黑体" w:cs="黑体"/>
          <w:b/>
          <w:bCs/>
          <w:color w:val="00C3A9"/>
          <w:spacing w:val="-15"/>
          <w:sz w:val="29"/>
          <w:szCs w:val="29"/>
        </w:rPr>
        <w:t>5</w:t>
      </w:r>
      <w:r>
        <w:rPr>
          <w:rFonts w:ascii="黑体" w:hAnsi="黑体" w:eastAsia="黑体" w:cs="黑体"/>
          <w:color w:val="00C3A9"/>
          <w:spacing w:val="-15"/>
          <w:sz w:val="29"/>
          <w:szCs w:val="29"/>
        </w:rPr>
        <w:t xml:space="preserve"> </w:t>
      </w:r>
      <w:r>
        <w:rPr>
          <w:rFonts w:ascii="黑体" w:hAnsi="黑体" w:eastAsia="黑体" w:cs="黑体"/>
          <w:b/>
          <w:bCs/>
          <w:color w:val="00C3A9"/>
          <w:spacing w:val="-15"/>
          <w:sz w:val="29"/>
          <w:szCs w:val="29"/>
        </w:rPr>
        <w:t>年</w:t>
      </w:r>
      <w:r>
        <w:rPr>
          <w:rFonts w:ascii="黑体" w:hAnsi="黑体" w:eastAsia="黑体" w:cs="黑体"/>
          <w:spacing w:val="-15"/>
          <w:sz w:val="29"/>
          <w:szCs w:val="29"/>
        </w:rPr>
        <w:t>的教育资源积累建立了庞大的师资库，中山大学、清华大学、北京大</w:t>
      </w:r>
      <w:r>
        <w:rPr>
          <w:rFonts w:ascii="黑体" w:hAnsi="黑体" w:eastAsia="黑体" w:cs="黑体"/>
          <w:spacing w:val="17"/>
          <w:sz w:val="29"/>
          <w:szCs w:val="29"/>
        </w:rPr>
        <w:t xml:space="preserve"> </w:t>
      </w:r>
      <w:r>
        <w:rPr>
          <w:rFonts w:ascii="黑体" w:hAnsi="黑体" w:eastAsia="黑体" w:cs="黑体"/>
          <w:spacing w:val="-23"/>
          <w:sz w:val="29"/>
          <w:szCs w:val="29"/>
        </w:rPr>
        <w:t>学、复旦大学、同济大学、人民大学、长江商学院、中欧商学院、巴黎高商、波尔</w:t>
      </w:r>
      <w:r>
        <w:rPr>
          <w:rFonts w:ascii="黑体" w:hAnsi="黑体" w:eastAsia="黑体" w:cs="黑体"/>
          <w:spacing w:val="9"/>
          <w:sz w:val="29"/>
          <w:szCs w:val="29"/>
        </w:rPr>
        <w:t xml:space="preserve"> </w:t>
      </w:r>
      <w:r>
        <w:rPr>
          <w:rFonts w:ascii="黑体" w:hAnsi="黑体" w:eastAsia="黑体" w:cs="黑体"/>
          <w:spacing w:val="-14"/>
          <w:sz w:val="29"/>
          <w:szCs w:val="29"/>
        </w:rPr>
        <w:t>多大学、诺曼底管理学院、香港大学、新加坡国立大学等</w:t>
      </w:r>
      <w:r>
        <w:rPr>
          <w:rFonts w:ascii="黑体" w:hAnsi="黑体" w:eastAsia="黑体" w:cs="黑体"/>
          <w:b/>
          <w:bCs/>
          <w:color w:val="00C3A9"/>
          <w:spacing w:val="-14"/>
          <w:sz w:val="29"/>
          <w:szCs w:val="29"/>
        </w:rPr>
        <w:t>3</w:t>
      </w:r>
      <w:r>
        <w:rPr>
          <w:rFonts w:ascii="黑体" w:hAnsi="黑体" w:eastAsia="黑体" w:cs="黑体"/>
          <w:color w:val="00C3A9"/>
          <w:spacing w:val="-35"/>
          <w:sz w:val="29"/>
          <w:szCs w:val="29"/>
        </w:rPr>
        <w:t xml:space="preserve"> </w:t>
      </w:r>
      <w:r>
        <w:rPr>
          <w:rFonts w:ascii="黑体" w:hAnsi="黑体" w:eastAsia="黑体" w:cs="黑体"/>
          <w:b/>
          <w:bCs/>
          <w:color w:val="00C3A9"/>
          <w:spacing w:val="-14"/>
          <w:sz w:val="29"/>
          <w:szCs w:val="29"/>
        </w:rPr>
        <w:t>0</w:t>
      </w:r>
      <w:r>
        <w:rPr>
          <w:rFonts w:ascii="黑体" w:hAnsi="黑体" w:eastAsia="黑体" w:cs="黑体"/>
          <w:color w:val="00C3A9"/>
          <w:spacing w:val="-14"/>
          <w:sz w:val="29"/>
          <w:szCs w:val="29"/>
        </w:rPr>
        <w:t xml:space="preserve"> </w:t>
      </w:r>
      <w:r>
        <w:rPr>
          <w:rFonts w:ascii="黑体" w:hAnsi="黑体" w:eastAsia="黑体" w:cs="黑体"/>
          <w:b/>
          <w:bCs/>
          <w:color w:val="00C3A9"/>
          <w:spacing w:val="-14"/>
          <w:sz w:val="29"/>
          <w:szCs w:val="29"/>
        </w:rPr>
        <w:t>多</w:t>
      </w:r>
      <w:r>
        <w:rPr>
          <w:rFonts w:ascii="黑体" w:hAnsi="黑体" w:eastAsia="黑体" w:cs="黑体"/>
          <w:spacing w:val="-14"/>
          <w:sz w:val="29"/>
          <w:szCs w:val="29"/>
        </w:rPr>
        <w:t>所顶级高校以及</w:t>
      </w:r>
      <w:r>
        <w:rPr>
          <w:rFonts w:ascii="黑体" w:hAnsi="黑体" w:eastAsia="黑体" w:cs="黑体"/>
          <w:sz w:val="29"/>
          <w:szCs w:val="29"/>
        </w:rPr>
        <w:t xml:space="preserve"> </w:t>
      </w:r>
      <w:r>
        <w:rPr>
          <w:rFonts w:ascii="黑体" w:hAnsi="黑体" w:eastAsia="黑体" w:cs="黑体"/>
          <w:spacing w:val="-12"/>
          <w:sz w:val="29"/>
          <w:szCs w:val="29"/>
        </w:rPr>
        <w:t>一带一路商学院联盟的</w:t>
      </w:r>
      <w:r>
        <w:rPr>
          <w:rFonts w:ascii="黑体" w:hAnsi="黑体" w:eastAsia="黑体" w:cs="黑体"/>
          <w:b/>
          <w:bCs/>
          <w:color w:val="00C3A9"/>
          <w:spacing w:val="-12"/>
          <w:sz w:val="29"/>
          <w:szCs w:val="29"/>
        </w:rPr>
        <w:t>4</w:t>
      </w:r>
      <w:r>
        <w:rPr>
          <w:rFonts w:ascii="黑体" w:hAnsi="黑体" w:eastAsia="黑体" w:cs="黑体"/>
          <w:color w:val="00C3A9"/>
          <w:spacing w:val="-43"/>
          <w:sz w:val="29"/>
          <w:szCs w:val="29"/>
        </w:rPr>
        <w:t xml:space="preserve"> </w:t>
      </w:r>
      <w:r>
        <w:rPr>
          <w:rFonts w:ascii="黑体" w:hAnsi="黑体" w:eastAsia="黑体" w:cs="黑体"/>
          <w:b/>
          <w:bCs/>
          <w:color w:val="00C3A9"/>
          <w:spacing w:val="-12"/>
          <w:sz w:val="29"/>
          <w:szCs w:val="29"/>
        </w:rPr>
        <w:t>0</w:t>
      </w:r>
      <w:r>
        <w:rPr>
          <w:rFonts w:ascii="黑体" w:hAnsi="黑体" w:eastAsia="黑体" w:cs="黑体"/>
          <w:color w:val="00C3A9"/>
          <w:spacing w:val="-12"/>
          <w:sz w:val="29"/>
          <w:szCs w:val="29"/>
        </w:rPr>
        <w:t xml:space="preserve"> </w:t>
      </w:r>
      <w:r>
        <w:rPr>
          <w:rFonts w:ascii="黑体" w:hAnsi="黑体" w:eastAsia="黑体" w:cs="黑体"/>
          <w:b/>
          <w:bCs/>
          <w:color w:val="00C3A9"/>
          <w:spacing w:val="-12"/>
          <w:sz w:val="29"/>
          <w:szCs w:val="29"/>
        </w:rPr>
        <w:t>多</w:t>
      </w:r>
      <w:r>
        <w:rPr>
          <w:rFonts w:ascii="黑体" w:hAnsi="黑体" w:eastAsia="黑体" w:cs="黑体"/>
          <w:b/>
          <w:bCs/>
          <w:spacing w:val="-12"/>
          <w:sz w:val="29"/>
          <w:szCs w:val="29"/>
        </w:rPr>
        <w:t>所</w:t>
      </w:r>
      <w:r>
        <w:rPr>
          <w:rFonts w:ascii="黑体" w:hAnsi="黑体" w:eastAsia="黑体" w:cs="黑体"/>
          <w:spacing w:val="-12"/>
          <w:sz w:val="29"/>
          <w:szCs w:val="29"/>
        </w:rPr>
        <w:t>国际院校、政</w:t>
      </w:r>
      <w:r>
        <w:rPr>
          <w:rFonts w:ascii="黑体" w:hAnsi="黑体" w:eastAsia="黑体" w:cs="黑体"/>
          <w:spacing w:val="-13"/>
          <w:sz w:val="29"/>
          <w:szCs w:val="29"/>
        </w:rPr>
        <w:t>府主管单位、研究院所、标杆企业</w:t>
      </w:r>
      <w:r>
        <w:rPr>
          <w:rFonts w:ascii="黑体" w:hAnsi="黑体" w:eastAsia="黑体" w:cs="黑体"/>
          <w:sz w:val="29"/>
          <w:szCs w:val="29"/>
        </w:rPr>
        <w:t xml:space="preserve"> </w:t>
      </w:r>
      <w:r>
        <w:rPr>
          <w:rFonts w:ascii="黑体" w:hAnsi="黑体" w:eastAsia="黑体" w:cs="黑体"/>
          <w:spacing w:val="-18"/>
          <w:sz w:val="29"/>
          <w:szCs w:val="29"/>
        </w:rPr>
        <w:t>等专家师资，官产学研</w:t>
      </w:r>
      <w:r>
        <w:rPr>
          <w:rFonts w:ascii="黑体" w:hAnsi="黑体" w:eastAsia="黑体" w:cs="黑体"/>
          <w:b/>
          <w:bCs/>
          <w:color w:val="00C3A9"/>
          <w:spacing w:val="-18"/>
          <w:sz w:val="29"/>
          <w:szCs w:val="29"/>
        </w:rPr>
        <w:t>3</w:t>
      </w:r>
      <w:r>
        <w:rPr>
          <w:rFonts w:ascii="黑体" w:hAnsi="黑体" w:eastAsia="黑体" w:cs="黑体"/>
          <w:color w:val="00C3A9"/>
          <w:spacing w:val="-49"/>
          <w:sz w:val="29"/>
          <w:szCs w:val="29"/>
        </w:rPr>
        <w:t xml:space="preserve"> </w:t>
      </w:r>
      <w:r>
        <w:rPr>
          <w:rFonts w:ascii="黑体" w:hAnsi="黑体" w:eastAsia="黑体" w:cs="黑体"/>
          <w:b/>
          <w:bCs/>
          <w:color w:val="00C3A9"/>
          <w:spacing w:val="-18"/>
          <w:sz w:val="29"/>
          <w:szCs w:val="29"/>
        </w:rPr>
        <w:t>0</w:t>
      </w:r>
      <w:r>
        <w:rPr>
          <w:rFonts w:ascii="黑体" w:hAnsi="黑体" w:eastAsia="黑体" w:cs="黑体"/>
          <w:color w:val="00C3A9"/>
          <w:spacing w:val="-50"/>
          <w:sz w:val="29"/>
          <w:szCs w:val="29"/>
        </w:rPr>
        <w:t xml:space="preserve"> </w:t>
      </w:r>
      <w:r>
        <w:rPr>
          <w:rFonts w:ascii="黑体" w:hAnsi="黑体" w:eastAsia="黑体" w:cs="黑体"/>
          <w:b/>
          <w:bCs/>
          <w:color w:val="00C3A9"/>
          <w:spacing w:val="-18"/>
          <w:sz w:val="29"/>
          <w:szCs w:val="29"/>
        </w:rPr>
        <w:t>0</w:t>
      </w:r>
      <w:r>
        <w:rPr>
          <w:rFonts w:ascii="黑体" w:hAnsi="黑体" w:eastAsia="黑体" w:cs="黑体"/>
          <w:color w:val="00C3A9"/>
          <w:spacing w:val="-32"/>
          <w:sz w:val="29"/>
          <w:szCs w:val="29"/>
        </w:rPr>
        <w:t xml:space="preserve"> </w:t>
      </w:r>
      <w:r>
        <w:rPr>
          <w:rFonts w:ascii="黑体" w:hAnsi="黑体" w:eastAsia="黑体" w:cs="黑体"/>
          <w:b/>
          <w:bCs/>
          <w:color w:val="00C3A9"/>
          <w:spacing w:val="-18"/>
          <w:sz w:val="29"/>
          <w:szCs w:val="29"/>
        </w:rPr>
        <w:t>多</w:t>
      </w:r>
      <w:r>
        <w:rPr>
          <w:rFonts w:ascii="黑体" w:hAnsi="黑体" w:eastAsia="黑体" w:cs="黑体"/>
          <w:spacing w:val="-18"/>
          <w:sz w:val="29"/>
          <w:szCs w:val="29"/>
        </w:rPr>
        <w:t>位专家、学者、教授、政府主管领导、企</w:t>
      </w:r>
      <w:r>
        <w:rPr>
          <w:rFonts w:ascii="黑体" w:hAnsi="黑体" w:eastAsia="黑体" w:cs="黑体"/>
          <w:spacing w:val="-19"/>
          <w:sz w:val="29"/>
          <w:szCs w:val="29"/>
        </w:rPr>
        <w:t>业家相结</w:t>
      </w:r>
      <w:r>
        <w:rPr>
          <w:rFonts w:ascii="黑体" w:hAnsi="黑体" w:eastAsia="黑体" w:cs="黑体"/>
          <w:sz w:val="29"/>
          <w:szCs w:val="29"/>
        </w:rPr>
        <w:t xml:space="preserve"> </w:t>
      </w:r>
      <w:r>
        <w:rPr>
          <w:rFonts w:ascii="黑体" w:hAnsi="黑体" w:eastAsia="黑体" w:cs="黑体"/>
          <w:spacing w:val="-11"/>
          <w:sz w:val="29"/>
          <w:szCs w:val="29"/>
        </w:rPr>
        <w:t>合，奠定了顶流的师资智库力量及教学体系。</w:t>
      </w:r>
    </w:p>
    <w:p w14:paraId="107E41BC">
      <w:pPr>
        <w:spacing w:line="351" w:lineRule="auto"/>
        <w:rPr>
          <w:rFonts w:ascii="黑体" w:hAnsi="黑体" w:eastAsia="黑体" w:cs="黑体"/>
          <w:sz w:val="29"/>
          <w:szCs w:val="29"/>
        </w:rPr>
        <w:sectPr>
          <w:type w:val="continuous"/>
          <w:pgSz w:w="11900" w:h="16840"/>
          <w:pgMar w:top="400" w:right="0" w:bottom="0" w:left="0" w:header="0" w:footer="0" w:gutter="0"/>
          <w:cols w:equalWidth="0" w:num="1">
            <w:col w:w="11900"/>
          </w:cols>
        </w:sectPr>
      </w:pPr>
    </w:p>
    <w:p w14:paraId="1D2AA0AF">
      <w:pPr>
        <w:pStyle w:val="2"/>
        <w:spacing w:line="345" w:lineRule="auto"/>
      </w:pPr>
      <w:r>
        <w:drawing>
          <wp:anchor distT="0" distB="0" distL="0" distR="0" simplePos="0" relativeHeight="251666432" behindDoc="1" locked="0" layoutInCell="1" allowOverlap="1">
            <wp:simplePos x="0" y="0"/>
            <wp:positionH relativeFrom="column">
              <wp:posOffset>413385</wp:posOffset>
            </wp:positionH>
            <wp:positionV relativeFrom="paragraph">
              <wp:posOffset>-173990</wp:posOffset>
            </wp:positionV>
            <wp:extent cx="7556500" cy="10693400"/>
            <wp:effectExtent l="0" t="0" r="0" b="0"/>
            <wp:wrapNone/>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15"/>
                    <a:stretch>
                      <a:fillRect/>
                    </a:stretch>
                  </pic:blipFill>
                  <pic:spPr>
                    <a:xfrm>
                      <a:off x="0" y="0"/>
                      <a:ext cx="7556500" cy="10693400"/>
                    </a:xfrm>
                    <a:prstGeom prst="rect">
                      <a:avLst/>
                    </a:prstGeom>
                  </pic:spPr>
                </pic:pic>
              </a:graphicData>
            </a:graphic>
          </wp:anchor>
        </w:drawing>
      </w:r>
    </w:p>
    <w:p w14:paraId="11371F5A">
      <w:pPr>
        <w:pStyle w:val="2"/>
        <w:spacing w:before="156" w:line="219" w:lineRule="auto"/>
        <w:ind w:left="626"/>
        <w:rPr>
          <w:sz w:val="16"/>
          <w:szCs w:val="16"/>
        </w:rPr>
      </w:pPr>
      <w:r>
        <w:rPr>
          <w:rFonts w:ascii="宋体" w:hAnsi="宋体" w:eastAsia="宋体" w:cs="宋体"/>
          <w:b/>
          <w:bCs/>
          <w:spacing w:val="3"/>
          <w:sz w:val="48"/>
          <w:szCs w:val="48"/>
        </w:rPr>
        <w:t>项目优势</w:t>
      </w:r>
      <w:r>
        <w:rPr>
          <w:position w:val="-1"/>
          <w:sz w:val="16"/>
          <w:szCs w:val="16"/>
        </w:rPr>
        <w:t>IPROGECT</w:t>
      </w:r>
      <w:r>
        <w:rPr>
          <w:spacing w:val="3"/>
          <w:position w:val="-1"/>
          <w:sz w:val="16"/>
          <w:szCs w:val="16"/>
        </w:rPr>
        <w:t xml:space="preserve"> </w:t>
      </w:r>
      <w:r>
        <w:rPr>
          <w:position w:val="-1"/>
          <w:sz w:val="16"/>
          <w:szCs w:val="16"/>
        </w:rPr>
        <w:t>ADVANTAGES</w:t>
      </w:r>
    </w:p>
    <w:p w14:paraId="0E661FBC">
      <w:pPr>
        <w:spacing w:before="260" w:line="233" w:lineRule="auto"/>
        <w:ind w:left="626" w:right="3066"/>
        <w:rPr>
          <w:rFonts w:ascii="宋体" w:hAnsi="宋体" w:eastAsia="宋体" w:cs="宋体"/>
          <w:sz w:val="48"/>
          <w:szCs w:val="48"/>
        </w:rPr>
      </w:pPr>
      <w:r>
        <w:rPr>
          <w:rFonts w:ascii="宋体" w:hAnsi="宋体" w:eastAsia="宋体" w:cs="宋体"/>
          <w:b/>
          <w:bCs/>
          <w:color w:val="00C697"/>
          <w:spacing w:val="11"/>
          <w:sz w:val="48"/>
          <w:szCs w:val="48"/>
        </w:rPr>
        <w:t>6大优势</w:t>
      </w:r>
      <w:r>
        <w:rPr>
          <w:rFonts w:ascii="宋体" w:hAnsi="宋体" w:eastAsia="宋体" w:cs="宋体"/>
          <w:b/>
          <w:bCs/>
          <w:spacing w:val="11"/>
          <w:sz w:val="48"/>
          <w:szCs w:val="48"/>
        </w:rPr>
        <w:t>助</w:t>
      </w:r>
      <w:r>
        <w:rPr>
          <w:rFonts w:ascii="宋体" w:hAnsi="宋体" w:eastAsia="宋体" w:cs="宋体"/>
          <w:b/>
          <w:bCs/>
          <w:color w:val="57CA00"/>
          <w:spacing w:val="11"/>
          <w:sz w:val="48"/>
          <w:szCs w:val="48"/>
        </w:rPr>
        <w:t>力企业长足发展、基业长青</w:t>
      </w:r>
      <w:r>
        <w:rPr>
          <w:rFonts w:ascii="宋体" w:hAnsi="宋体" w:eastAsia="宋体" w:cs="宋体"/>
          <w:color w:val="57CA00"/>
          <w:spacing w:val="13"/>
          <w:sz w:val="48"/>
          <w:szCs w:val="48"/>
        </w:rPr>
        <w:t xml:space="preserve"> </w:t>
      </w:r>
      <w:r>
        <w:rPr>
          <w:rFonts w:ascii="宋体" w:hAnsi="宋体" w:eastAsia="宋体" w:cs="宋体"/>
          <w:b/>
          <w:bCs/>
          <w:color w:val="00C3A2"/>
          <w:spacing w:val="-16"/>
          <w:sz w:val="48"/>
          <w:szCs w:val="48"/>
        </w:rPr>
        <w:t>知识专业</w:t>
      </w:r>
      <w:r>
        <w:rPr>
          <w:rFonts w:ascii="宋体" w:hAnsi="宋体" w:eastAsia="宋体" w:cs="宋体"/>
          <w:color w:val="00C3A2"/>
          <w:spacing w:val="-147"/>
          <w:sz w:val="48"/>
          <w:szCs w:val="48"/>
        </w:rPr>
        <w:t xml:space="preserve"> </w:t>
      </w:r>
      <w:r>
        <w:rPr>
          <w:rFonts w:ascii="宋体" w:hAnsi="宋体" w:eastAsia="宋体" w:cs="宋体"/>
          <w:b/>
          <w:bCs/>
          <w:color w:val="2CC515"/>
          <w:spacing w:val="-16"/>
          <w:sz w:val="48"/>
          <w:szCs w:val="48"/>
        </w:rPr>
        <w:t>·</w:t>
      </w:r>
      <w:r>
        <w:rPr>
          <w:rFonts w:ascii="宋体" w:hAnsi="宋体" w:eastAsia="宋体" w:cs="宋体"/>
          <w:color w:val="2CC515"/>
          <w:spacing w:val="-190"/>
          <w:sz w:val="48"/>
          <w:szCs w:val="48"/>
        </w:rPr>
        <w:t xml:space="preserve"> </w:t>
      </w:r>
      <w:r>
        <w:rPr>
          <w:rFonts w:ascii="宋体" w:hAnsi="宋体" w:eastAsia="宋体" w:cs="宋体"/>
          <w:b/>
          <w:bCs/>
          <w:color w:val="2CC515"/>
          <w:spacing w:val="-16"/>
          <w:sz w:val="48"/>
          <w:szCs w:val="48"/>
        </w:rPr>
        <w:t>体系完善</w:t>
      </w:r>
      <w:r>
        <w:rPr>
          <w:rFonts w:ascii="宋体" w:hAnsi="宋体" w:eastAsia="宋体" w:cs="宋体"/>
          <w:color w:val="2CC515"/>
          <w:spacing w:val="-16"/>
          <w:sz w:val="48"/>
          <w:szCs w:val="48"/>
        </w:rPr>
        <w:t xml:space="preserve"> </w:t>
      </w:r>
      <w:r>
        <w:rPr>
          <w:rFonts w:ascii="宋体" w:hAnsi="宋体" w:eastAsia="宋体" w:cs="宋体"/>
          <w:b/>
          <w:bCs/>
          <w:color w:val="2CC515"/>
          <w:spacing w:val="-16"/>
          <w:sz w:val="48"/>
          <w:szCs w:val="48"/>
        </w:rPr>
        <w:t>·</w:t>
      </w:r>
      <w:r>
        <w:rPr>
          <w:rFonts w:ascii="宋体" w:hAnsi="宋体" w:eastAsia="宋体" w:cs="宋体"/>
          <w:color w:val="2CC515"/>
          <w:spacing w:val="-190"/>
          <w:sz w:val="48"/>
          <w:szCs w:val="48"/>
        </w:rPr>
        <w:t xml:space="preserve"> </w:t>
      </w:r>
      <w:r>
        <w:rPr>
          <w:rFonts w:ascii="宋体" w:hAnsi="宋体" w:eastAsia="宋体" w:cs="宋体"/>
          <w:b/>
          <w:bCs/>
          <w:color w:val="2CC515"/>
          <w:spacing w:val="-16"/>
          <w:sz w:val="48"/>
          <w:szCs w:val="48"/>
        </w:rPr>
        <w:t>产业聚焦</w:t>
      </w:r>
    </w:p>
    <w:p w14:paraId="46A0E641">
      <w:pPr>
        <w:spacing w:before="68" w:line="219" w:lineRule="auto"/>
        <w:ind w:left="626"/>
        <w:rPr>
          <w:rFonts w:ascii="宋体" w:hAnsi="宋体" w:eastAsia="宋体" w:cs="宋体"/>
          <w:sz w:val="48"/>
          <w:szCs w:val="48"/>
        </w:rPr>
      </w:pPr>
      <w:r>
        <w:rPr>
          <w:rFonts w:ascii="宋体" w:hAnsi="宋体" w:eastAsia="宋体" w:cs="宋体"/>
          <w:b/>
          <w:bCs/>
          <w:color w:val="00C3A2"/>
          <w:spacing w:val="-22"/>
          <w:sz w:val="48"/>
          <w:szCs w:val="48"/>
        </w:rPr>
        <w:t>区位优越</w:t>
      </w:r>
      <w:r>
        <w:rPr>
          <w:rFonts w:ascii="宋体" w:hAnsi="宋体" w:eastAsia="宋体" w:cs="宋体"/>
          <w:color w:val="00C3A2"/>
          <w:spacing w:val="-142"/>
          <w:sz w:val="48"/>
          <w:szCs w:val="48"/>
        </w:rPr>
        <w:t xml:space="preserve"> </w:t>
      </w:r>
      <w:r>
        <w:rPr>
          <w:rFonts w:ascii="宋体" w:hAnsi="宋体" w:eastAsia="宋体" w:cs="宋体"/>
          <w:b/>
          <w:bCs/>
          <w:color w:val="2CC515"/>
          <w:spacing w:val="-22"/>
          <w:sz w:val="48"/>
          <w:szCs w:val="48"/>
        </w:rPr>
        <w:t>·</w:t>
      </w:r>
      <w:r>
        <w:rPr>
          <w:rFonts w:ascii="宋体" w:hAnsi="宋体" w:eastAsia="宋体" w:cs="宋体"/>
          <w:color w:val="2CC515"/>
          <w:spacing w:val="-171"/>
          <w:sz w:val="48"/>
          <w:szCs w:val="48"/>
        </w:rPr>
        <w:t xml:space="preserve"> </w:t>
      </w:r>
      <w:r>
        <w:rPr>
          <w:rFonts w:ascii="宋体" w:hAnsi="宋体" w:eastAsia="宋体" w:cs="宋体"/>
          <w:b/>
          <w:bCs/>
          <w:color w:val="2CC515"/>
          <w:spacing w:val="-22"/>
          <w:sz w:val="48"/>
          <w:szCs w:val="48"/>
        </w:rPr>
        <w:t>资源丰富</w:t>
      </w:r>
      <w:r>
        <w:rPr>
          <w:rFonts w:ascii="宋体" w:hAnsi="宋体" w:eastAsia="宋体" w:cs="宋体"/>
          <w:color w:val="2CC515"/>
          <w:spacing w:val="-22"/>
          <w:sz w:val="48"/>
          <w:szCs w:val="48"/>
        </w:rPr>
        <w:t xml:space="preserve"> </w:t>
      </w:r>
      <w:r>
        <w:rPr>
          <w:rFonts w:ascii="宋体" w:hAnsi="宋体" w:eastAsia="宋体" w:cs="宋体"/>
          <w:b/>
          <w:bCs/>
          <w:color w:val="2CC515"/>
          <w:spacing w:val="-22"/>
          <w:sz w:val="48"/>
          <w:szCs w:val="48"/>
        </w:rPr>
        <w:t>·</w:t>
      </w:r>
      <w:r>
        <w:rPr>
          <w:rFonts w:ascii="宋体" w:hAnsi="宋体" w:eastAsia="宋体" w:cs="宋体"/>
          <w:color w:val="2CC515"/>
          <w:spacing w:val="-154"/>
          <w:sz w:val="48"/>
          <w:szCs w:val="48"/>
        </w:rPr>
        <w:t xml:space="preserve"> </w:t>
      </w:r>
      <w:r>
        <w:rPr>
          <w:rFonts w:ascii="宋体" w:hAnsi="宋体" w:eastAsia="宋体" w:cs="宋体"/>
          <w:b/>
          <w:bCs/>
          <w:color w:val="2CC515"/>
          <w:spacing w:val="-22"/>
          <w:sz w:val="48"/>
          <w:szCs w:val="48"/>
        </w:rPr>
        <w:t>圈层活跃</w:t>
      </w:r>
    </w:p>
    <w:p w14:paraId="4E1E6B98">
      <w:pPr>
        <w:pStyle w:val="2"/>
        <w:spacing w:line="259" w:lineRule="auto"/>
      </w:pPr>
    </w:p>
    <w:p w14:paraId="1781235F">
      <w:pPr>
        <w:pStyle w:val="2"/>
        <w:spacing w:line="260" w:lineRule="auto"/>
      </w:pPr>
      <w:r>
        <w:drawing>
          <wp:anchor distT="0" distB="0" distL="0" distR="0" simplePos="0" relativeHeight="251667456" behindDoc="0" locked="0" layoutInCell="1" allowOverlap="1">
            <wp:simplePos x="0" y="0"/>
            <wp:positionH relativeFrom="column">
              <wp:posOffset>380365</wp:posOffset>
            </wp:positionH>
            <wp:positionV relativeFrom="paragraph">
              <wp:posOffset>150495</wp:posOffset>
            </wp:positionV>
            <wp:extent cx="2273300" cy="8102600"/>
            <wp:effectExtent l="0" t="0" r="0" b="0"/>
            <wp:wrapNone/>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16"/>
                    <a:stretch>
                      <a:fillRect/>
                    </a:stretch>
                  </pic:blipFill>
                  <pic:spPr>
                    <a:xfrm>
                      <a:off x="0" y="0"/>
                      <a:ext cx="2273297" cy="8102603"/>
                    </a:xfrm>
                    <a:prstGeom prst="rect">
                      <a:avLst/>
                    </a:prstGeom>
                  </pic:spPr>
                </pic:pic>
              </a:graphicData>
            </a:graphic>
          </wp:anchor>
        </w:drawing>
      </w:r>
    </w:p>
    <w:p w14:paraId="75D91794">
      <w:pPr>
        <w:pStyle w:val="2"/>
        <w:spacing w:line="260" w:lineRule="auto"/>
      </w:pPr>
    </w:p>
    <w:p w14:paraId="41D4FB0E">
      <w:pPr>
        <w:spacing w:before="52" w:line="356" w:lineRule="auto"/>
        <w:ind w:left="4440" w:right="1358"/>
        <w:jc w:val="both"/>
        <w:rPr>
          <w:rFonts w:ascii="黑体" w:hAnsi="黑体" w:eastAsia="黑体" w:cs="黑体"/>
          <w:sz w:val="16"/>
          <w:szCs w:val="16"/>
        </w:rPr>
      </w:pPr>
      <w:r>
        <w:rPr>
          <w:rFonts w:ascii="黑体" w:hAnsi="黑体" w:eastAsia="黑体" w:cs="黑体"/>
          <w:spacing w:val="4"/>
          <w:sz w:val="16"/>
          <w:szCs w:val="16"/>
        </w:rPr>
        <w:t>传承中大百年高校文化积淀，依托30多所高校雄厚的师资力量和25年城建、产业领域</w:t>
      </w:r>
      <w:r>
        <w:rPr>
          <w:rFonts w:ascii="黑体" w:hAnsi="黑体" w:eastAsia="黑体" w:cs="黑体"/>
          <w:spacing w:val="18"/>
          <w:sz w:val="16"/>
          <w:szCs w:val="16"/>
        </w:rPr>
        <w:t xml:space="preserve"> </w:t>
      </w:r>
      <w:r>
        <w:rPr>
          <w:rFonts w:ascii="黑体" w:hAnsi="黑体" w:eastAsia="黑体" w:cs="黑体"/>
          <w:spacing w:val="5"/>
          <w:sz w:val="16"/>
          <w:szCs w:val="16"/>
        </w:rPr>
        <w:t>办学优势资源，对行业发展趋势及管理新知进行全面系统的课题研究与教</w:t>
      </w:r>
      <w:r>
        <w:rPr>
          <w:rFonts w:ascii="黑体" w:hAnsi="黑体" w:eastAsia="黑体" w:cs="黑体"/>
          <w:spacing w:val="4"/>
          <w:sz w:val="16"/>
          <w:szCs w:val="16"/>
        </w:rPr>
        <w:t>学研发。确</w:t>
      </w:r>
      <w:r>
        <w:rPr>
          <w:rFonts w:ascii="黑体" w:hAnsi="黑体" w:eastAsia="黑体" w:cs="黑体"/>
          <w:sz w:val="16"/>
          <w:szCs w:val="16"/>
        </w:rPr>
        <w:t xml:space="preserve"> </w:t>
      </w:r>
      <w:r>
        <w:rPr>
          <w:rFonts w:ascii="黑体" w:hAnsi="黑体" w:eastAsia="黑体" w:cs="黑体"/>
          <w:spacing w:val="5"/>
          <w:sz w:val="16"/>
          <w:szCs w:val="16"/>
        </w:rPr>
        <w:t>保学员能够系统全面的学习行业未来发展趋势、战略管理、经营</w:t>
      </w:r>
      <w:r>
        <w:rPr>
          <w:rFonts w:ascii="黑体" w:hAnsi="黑体" w:eastAsia="黑体" w:cs="黑体"/>
          <w:spacing w:val="4"/>
          <w:sz w:val="16"/>
          <w:szCs w:val="16"/>
        </w:rPr>
        <w:t>管理、项目各专业版</w:t>
      </w:r>
      <w:r>
        <w:rPr>
          <w:rFonts w:ascii="黑体" w:hAnsi="黑体" w:eastAsia="黑体" w:cs="黑体"/>
          <w:sz w:val="16"/>
          <w:szCs w:val="16"/>
        </w:rPr>
        <w:t xml:space="preserve"> </w:t>
      </w:r>
      <w:r>
        <w:rPr>
          <w:rFonts w:ascii="黑体" w:hAnsi="黑体" w:eastAsia="黑体" w:cs="黑体"/>
          <w:spacing w:val="5"/>
          <w:sz w:val="16"/>
          <w:szCs w:val="16"/>
        </w:rPr>
        <w:t>块知识以及相关联的创新产业，针对性强、实操性强。开拓视野，洞观</w:t>
      </w:r>
      <w:r>
        <w:rPr>
          <w:rFonts w:ascii="黑体" w:hAnsi="黑体" w:eastAsia="黑体" w:cs="黑体"/>
          <w:spacing w:val="4"/>
          <w:sz w:val="16"/>
          <w:szCs w:val="16"/>
        </w:rPr>
        <w:t>形势，提升专</w:t>
      </w:r>
      <w:r>
        <w:rPr>
          <w:rFonts w:ascii="黑体" w:hAnsi="黑体" w:eastAsia="黑体" w:cs="黑体"/>
          <w:sz w:val="16"/>
          <w:szCs w:val="16"/>
        </w:rPr>
        <w:t xml:space="preserve"> </w:t>
      </w:r>
      <w:r>
        <w:rPr>
          <w:rFonts w:ascii="黑体" w:hAnsi="黑体" w:eastAsia="黑体" w:cs="黑体"/>
          <w:spacing w:val="1"/>
          <w:sz w:val="16"/>
          <w:szCs w:val="16"/>
        </w:rPr>
        <w:t>业，获得企业经营和商业模式创新的新思维。</w:t>
      </w:r>
    </w:p>
    <w:p w14:paraId="623F87EF">
      <w:pPr>
        <w:pStyle w:val="2"/>
        <w:spacing w:line="259" w:lineRule="auto"/>
      </w:pPr>
    </w:p>
    <w:p w14:paraId="26902CC4">
      <w:pPr>
        <w:pStyle w:val="2"/>
        <w:spacing w:line="260" w:lineRule="auto"/>
      </w:pPr>
    </w:p>
    <w:p w14:paraId="71A772FA">
      <w:pPr>
        <w:pStyle w:val="2"/>
        <w:spacing w:line="260" w:lineRule="auto"/>
      </w:pPr>
    </w:p>
    <w:p w14:paraId="59A9E9F3">
      <w:pPr>
        <w:spacing w:before="52" w:line="317" w:lineRule="auto"/>
        <w:ind w:left="4440" w:right="1312" w:firstLine="2"/>
        <w:jc w:val="both"/>
        <w:rPr>
          <w:rFonts w:ascii="黑体" w:hAnsi="黑体" w:eastAsia="黑体" w:cs="黑体"/>
          <w:sz w:val="16"/>
          <w:szCs w:val="16"/>
        </w:rPr>
      </w:pPr>
      <w:r>
        <w:rPr>
          <w:rFonts w:ascii="黑体" w:hAnsi="黑体" w:eastAsia="黑体" w:cs="黑体"/>
          <w:b/>
          <w:bCs/>
          <w:color w:val="00BC9C"/>
          <w:spacing w:val="1"/>
          <w:sz w:val="16"/>
          <w:szCs w:val="16"/>
        </w:rPr>
        <w:t>2</w:t>
      </w:r>
      <w:r>
        <w:rPr>
          <w:rFonts w:ascii="黑体" w:hAnsi="黑体" w:eastAsia="黑体" w:cs="黑体"/>
          <w:color w:val="00BC9C"/>
          <w:spacing w:val="-1"/>
          <w:sz w:val="16"/>
          <w:szCs w:val="16"/>
        </w:rPr>
        <w:t xml:space="preserve"> </w:t>
      </w:r>
      <w:r>
        <w:rPr>
          <w:rFonts w:ascii="黑体" w:hAnsi="黑体" w:eastAsia="黑体" w:cs="黑体"/>
          <w:b/>
          <w:bCs/>
          <w:color w:val="00BC9C"/>
          <w:spacing w:val="1"/>
          <w:sz w:val="16"/>
          <w:szCs w:val="16"/>
        </w:rPr>
        <w:t>5</w:t>
      </w:r>
      <w:r>
        <w:rPr>
          <w:rFonts w:ascii="黑体" w:hAnsi="黑体" w:eastAsia="黑体" w:cs="黑体"/>
          <w:color w:val="00BC9C"/>
          <w:spacing w:val="-14"/>
          <w:sz w:val="16"/>
          <w:szCs w:val="16"/>
        </w:rPr>
        <w:t xml:space="preserve"> </w:t>
      </w:r>
      <w:r>
        <w:rPr>
          <w:rFonts w:ascii="黑体" w:hAnsi="黑体" w:eastAsia="黑体" w:cs="黑体"/>
          <w:b/>
          <w:bCs/>
          <w:color w:val="00BC9C"/>
          <w:spacing w:val="1"/>
          <w:sz w:val="16"/>
          <w:szCs w:val="16"/>
        </w:rPr>
        <w:t>年</w:t>
      </w:r>
      <w:r>
        <w:rPr>
          <w:rFonts w:ascii="黑体" w:hAnsi="黑体" w:eastAsia="黑体" w:cs="黑体"/>
          <w:spacing w:val="1"/>
          <w:sz w:val="16"/>
          <w:szCs w:val="16"/>
        </w:rPr>
        <w:t>专</w:t>
      </w:r>
      <w:r>
        <w:rPr>
          <w:rFonts w:ascii="黑体" w:hAnsi="黑体" w:eastAsia="黑体" w:cs="黑体"/>
          <w:spacing w:val="-34"/>
          <w:sz w:val="16"/>
          <w:szCs w:val="16"/>
        </w:rPr>
        <w:t xml:space="preserve"> </w:t>
      </w:r>
      <w:r>
        <w:rPr>
          <w:rFonts w:ascii="黑体" w:hAnsi="黑体" w:eastAsia="黑体" w:cs="黑体"/>
          <w:spacing w:val="1"/>
          <w:sz w:val="16"/>
          <w:szCs w:val="16"/>
        </w:rPr>
        <w:t>业</w:t>
      </w:r>
      <w:r>
        <w:rPr>
          <w:rFonts w:ascii="宋体" w:hAnsi="宋体" w:eastAsia="宋体" w:cs="宋体"/>
          <w:sz w:val="16"/>
          <w:szCs w:val="16"/>
        </w:rPr>
        <w:t>EMBA</w:t>
      </w:r>
      <w:r>
        <w:rPr>
          <w:rFonts w:ascii="宋体" w:hAnsi="宋体" w:eastAsia="宋体" w:cs="宋体"/>
          <w:spacing w:val="64"/>
          <w:sz w:val="16"/>
          <w:szCs w:val="16"/>
        </w:rPr>
        <w:t xml:space="preserve"> </w:t>
      </w:r>
      <w:r>
        <w:rPr>
          <w:rFonts w:ascii="黑体" w:hAnsi="黑体" w:eastAsia="黑体" w:cs="黑体"/>
          <w:spacing w:val="1"/>
          <w:sz w:val="16"/>
          <w:szCs w:val="16"/>
        </w:rPr>
        <w:t>课程高端教学经验和教育资源积累，</w:t>
      </w:r>
      <w:r>
        <w:rPr>
          <w:rFonts w:ascii="黑体" w:hAnsi="黑体" w:eastAsia="黑体" w:cs="黑体"/>
          <w:b/>
          <w:bCs/>
          <w:color w:val="00BC9C"/>
          <w:spacing w:val="1"/>
          <w:sz w:val="16"/>
          <w:szCs w:val="16"/>
        </w:rPr>
        <w:t>3</w:t>
      </w:r>
      <w:r>
        <w:rPr>
          <w:rFonts w:ascii="黑体" w:hAnsi="黑体" w:eastAsia="黑体" w:cs="黑体"/>
          <w:color w:val="00BC9C"/>
          <w:spacing w:val="1"/>
          <w:sz w:val="16"/>
          <w:szCs w:val="16"/>
        </w:rPr>
        <w:t xml:space="preserve"> </w:t>
      </w:r>
      <w:r>
        <w:rPr>
          <w:rFonts w:ascii="黑体" w:hAnsi="黑体" w:eastAsia="黑体" w:cs="黑体"/>
          <w:b/>
          <w:bCs/>
          <w:color w:val="00BC9C"/>
          <w:spacing w:val="1"/>
          <w:sz w:val="16"/>
          <w:szCs w:val="16"/>
        </w:rPr>
        <w:t>7</w:t>
      </w:r>
      <w:r>
        <w:rPr>
          <w:rFonts w:ascii="黑体" w:hAnsi="黑体" w:eastAsia="黑体" w:cs="黑体"/>
          <w:color w:val="00BC9C"/>
          <w:spacing w:val="1"/>
          <w:sz w:val="16"/>
          <w:szCs w:val="16"/>
        </w:rPr>
        <w:t xml:space="preserve"> </w:t>
      </w:r>
      <w:r>
        <w:rPr>
          <w:rFonts w:ascii="黑体" w:hAnsi="黑体" w:eastAsia="黑体" w:cs="黑体"/>
          <w:b/>
          <w:bCs/>
          <w:color w:val="00BC9C"/>
          <w:spacing w:val="1"/>
          <w:sz w:val="16"/>
          <w:szCs w:val="16"/>
        </w:rPr>
        <w:t>期</w:t>
      </w:r>
      <w:r>
        <w:rPr>
          <w:rFonts w:ascii="黑体" w:hAnsi="黑体" w:eastAsia="黑体" w:cs="黑体"/>
          <w:b/>
          <w:bCs/>
          <w:spacing w:val="1"/>
          <w:sz w:val="16"/>
          <w:szCs w:val="16"/>
        </w:rPr>
        <w:t>教</w:t>
      </w:r>
      <w:r>
        <w:rPr>
          <w:rFonts w:ascii="黑体" w:hAnsi="黑体" w:eastAsia="黑体" w:cs="黑体"/>
          <w:spacing w:val="1"/>
          <w:sz w:val="16"/>
          <w:szCs w:val="16"/>
        </w:rPr>
        <w:t>学实践的检验，具备丰</w:t>
      </w:r>
      <w:r>
        <w:rPr>
          <w:rFonts w:ascii="黑体" w:hAnsi="黑体" w:eastAsia="黑体" w:cs="黑体"/>
          <w:sz w:val="16"/>
          <w:szCs w:val="16"/>
        </w:rPr>
        <w:t xml:space="preserve"> </w:t>
      </w:r>
      <w:r>
        <w:rPr>
          <w:rFonts w:ascii="黑体" w:hAnsi="黑体" w:eastAsia="黑体" w:cs="黑体"/>
          <w:spacing w:val="5"/>
          <w:sz w:val="16"/>
          <w:szCs w:val="16"/>
        </w:rPr>
        <w:t>富的教学管理和实践经验，贯通从课程设置、师资甄选、学员招收、</w:t>
      </w:r>
      <w:r>
        <w:rPr>
          <w:rFonts w:ascii="黑体" w:hAnsi="黑体" w:eastAsia="黑体" w:cs="黑体"/>
          <w:spacing w:val="4"/>
          <w:sz w:val="16"/>
          <w:szCs w:val="16"/>
        </w:rPr>
        <w:t>班级管理、校友</w:t>
      </w:r>
      <w:r>
        <w:rPr>
          <w:rFonts w:ascii="黑体" w:hAnsi="黑体" w:eastAsia="黑体" w:cs="黑体"/>
          <w:sz w:val="16"/>
          <w:szCs w:val="16"/>
        </w:rPr>
        <w:t xml:space="preserve"> </w:t>
      </w:r>
      <w:r>
        <w:rPr>
          <w:rFonts w:ascii="黑体" w:hAnsi="黑体" w:eastAsia="黑体" w:cs="黑体"/>
          <w:spacing w:val="2"/>
          <w:sz w:val="16"/>
          <w:szCs w:val="16"/>
        </w:rPr>
        <w:t>活动、资源链接、项目投资实践等一站式的学习体系</w:t>
      </w:r>
      <w:r>
        <w:rPr>
          <w:rFonts w:ascii="黑体" w:hAnsi="黑体" w:eastAsia="黑体" w:cs="黑体"/>
          <w:spacing w:val="1"/>
          <w:sz w:val="16"/>
          <w:szCs w:val="16"/>
        </w:rPr>
        <w:t>，确保学习质量和教学效果。</w:t>
      </w:r>
    </w:p>
    <w:p w14:paraId="62042C9A">
      <w:pPr>
        <w:pStyle w:val="2"/>
        <w:spacing w:line="296" w:lineRule="auto"/>
      </w:pPr>
    </w:p>
    <w:p w14:paraId="49144BED">
      <w:pPr>
        <w:pStyle w:val="2"/>
        <w:spacing w:line="297" w:lineRule="auto"/>
      </w:pPr>
    </w:p>
    <w:p w14:paraId="3155FCE8">
      <w:pPr>
        <w:pStyle w:val="2"/>
        <w:spacing w:line="297" w:lineRule="auto"/>
      </w:pPr>
    </w:p>
    <w:p w14:paraId="00204347">
      <w:pPr>
        <w:pStyle w:val="2"/>
        <w:spacing w:line="297" w:lineRule="auto"/>
      </w:pPr>
    </w:p>
    <w:p w14:paraId="410D7CCC">
      <w:pPr>
        <w:spacing w:before="52" w:line="351" w:lineRule="auto"/>
        <w:ind w:left="4440" w:right="1361"/>
        <w:rPr>
          <w:rFonts w:ascii="黑体" w:hAnsi="黑体" w:eastAsia="黑体" w:cs="黑体"/>
          <w:sz w:val="16"/>
          <w:szCs w:val="16"/>
        </w:rPr>
      </w:pPr>
      <w:r>
        <w:rPr>
          <w:rFonts w:ascii="黑体" w:hAnsi="黑体" w:eastAsia="黑体" w:cs="黑体"/>
          <w:spacing w:val="5"/>
          <w:sz w:val="16"/>
          <w:szCs w:val="16"/>
        </w:rPr>
        <w:t>高度聚焦在城建与产业创新领域内，所闻、所见、所言、所感、所</w:t>
      </w:r>
      <w:r>
        <w:rPr>
          <w:rFonts w:ascii="黑体" w:hAnsi="黑体" w:eastAsia="黑体" w:cs="黑体"/>
          <w:spacing w:val="4"/>
          <w:sz w:val="16"/>
          <w:szCs w:val="16"/>
        </w:rPr>
        <w:t>交、所学皆为产业</w:t>
      </w:r>
      <w:r>
        <w:rPr>
          <w:rFonts w:ascii="黑体" w:hAnsi="黑体" w:eastAsia="黑体" w:cs="黑体"/>
          <w:sz w:val="16"/>
          <w:szCs w:val="16"/>
        </w:rPr>
        <w:t xml:space="preserve"> </w:t>
      </w:r>
      <w:r>
        <w:rPr>
          <w:rFonts w:ascii="黑体" w:hAnsi="黑体" w:eastAsia="黑体" w:cs="黑体"/>
          <w:spacing w:val="1"/>
          <w:sz w:val="16"/>
          <w:szCs w:val="16"/>
        </w:rPr>
        <w:t>创新之人之事，都是真正的内行才能彼此听得懂、说得清、看得准、用得上。</w:t>
      </w:r>
    </w:p>
    <w:p w14:paraId="3F08C1CB">
      <w:pPr>
        <w:pStyle w:val="2"/>
        <w:spacing w:line="245" w:lineRule="auto"/>
      </w:pPr>
    </w:p>
    <w:p w14:paraId="76D920CF">
      <w:pPr>
        <w:pStyle w:val="2"/>
        <w:spacing w:line="245" w:lineRule="auto"/>
      </w:pPr>
    </w:p>
    <w:p w14:paraId="10C51576">
      <w:pPr>
        <w:pStyle w:val="2"/>
        <w:spacing w:line="245" w:lineRule="auto"/>
      </w:pPr>
    </w:p>
    <w:p w14:paraId="467EF682">
      <w:pPr>
        <w:pStyle w:val="2"/>
        <w:spacing w:line="245" w:lineRule="auto"/>
      </w:pPr>
    </w:p>
    <w:p w14:paraId="5F01B419">
      <w:pPr>
        <w:pStyle w:val="2"/>
        <w:spacing w:line="245" w:lineRule="auto"/>
      </w:pPr>
    </w:p>
    <w:p w14:paraId="3E8B6AC7">
      <w:pPr>
        <w:pStyle w:val="2"/>
        <w:spacing w:line="245" w:lineRule="auto"/>
      </w:pPr>
    </w:p>
    <w:p w14:paraId="4B18257C">
      <w:pPr>
        <w:spacing w:before="52" w:line="351" w:lineRule="auto"/>
        <w:ind w:left="4440" w:right="1364"/>
        <w:rPr>
          <w:rFonts w:ascii="黑体" w:hAnsi="黑体" w:eastAsia="黑体" w:cs="黑体"/>
          <w:sz w:val="16"/>
          <w:szCs w:val="16"/>
        </w:rPr>
      </w:pPr>
      <w:r>
        <w:rPr>
          <w:rFonts w:ascii="黑体" w:hAnsi="黑体" w:eastAsia="黑体" w:cs="黑体"/>
          <w:spacing w:val="5"/>
          <w:sz w:val="16"/>
          <w:szCs w:val="16"/>
        </w:rPr>
        <w:t>位于粤港澳大湾区的核心城市群，全国最发达、最活跃的经</w:t>
      </w:r>
      <w:r>
        <w:rPr>
          <w:rFonts w:ascii="黑体" w:hAnsi="黑体" w:eastAsia="黑体" w:cs="黑体"/>
          <w:spacing w:val="4"/>
          <w:sz w:val="16"/>
          <w:szCs w:val="16"/>
        </w:rPr>
        <w:t>济圈，形成以粤港澳大湾</w:t>
      </w:r>
      <w:r>
        <w:rPr>
          <w:rFonts w:ascii="黑体" w:hAnsi="黑体" w:eastAsia="黑体" w:cs="黑体"/>
          <w:sz w:val="16"/>
          <w:szCs w:val="16"/>
        </w:rPr>
        <w:t xml:space="preserve"> </w:t>
      </w:r>
      <w:r>
        <w:rPr>
          <w:rFonts w:ascii="黑体" w:hAnsi="黑体" w:eastAsia="黑体" w:cs="黑体"/>
          <w:spacing w:val="1"/>
          <w:sz w:val="16"/>
          <w:szCs w:val="16"/>
        </w:rPr>
        <w:t>区为中心，辐射广东全省以及福建、海南、湖南、广西、江西等地。</w:t>
      </w:r>
    </w:p>
    <w:p w14:paraId="5103D53E">
      <w:pPr>
        <w:pStyle w:val="2"/>
        <w:spacing w:line="248" w:lineRule="auto"/>
      </w:pPr>
    </w:p>
    <w:p w14:paraId="2B679691">
      <w:pPr>
        <w:pStyle w:val="2"/>
        <w:spacing w:line="248" w:lineRule="auto"/>
      </w:pPr>
    </w:p>
    <w:p w14:paraId="7B19BCEE">
      <w:pPr>
        <w:pStyle w:val="2"/>
        <w:spacing w:line="248" w:lineRule="auto"/>
      </w:pPr>
    </w:p>
    <w:p w14:paraId="64652653">
      <w:pPr>
        <w:pStyle w:val="2"/>
        <w:spacing w:line="248" w:lineRule="auto"/>
      </w:pPr>
    </w:p>
    <w:p w14:paraId="6757401F">
      <w:pPr>
        <w:pStyle w:val="2"/>
        <w:spacing w:line="249" w:lineRule="auto"/>
      </w:pPr>
    </w:p>
    <w:p w14:paraId="24DF88D2">
      <w:pPr>
        <w:pStyle w:val="2"/>
        <w:spacing w:line="249" w:lineRule="auto"/>
      </w:pPr>
    </w:p>
    <w:p w14:paraId="39F29BFE">
      <w:pPr>
        <w:spacing w:before="53" w:line="213" w:lineRule="auto"/>
        <w:ind w:left="4440"/>
        <w:rPr>
          <w:rFonts w:ascii="黑体" w:hAnsi="黑体" w:eastAsia="黑体" w:cs="黑体"/>
          <w:sz w:val="16"/>
          <w:szCs w:val="16"/>
        </w:rPr>
      </w:pPr>
      <w:r>
        <w:rPr>
          <w:rFonts w:ascii="黑体" w:hAnsi="黑体" w:eastAsia="黑体" w:cs="黑体"/>
          <w:spacing w:val="4"/>
          <w:sz w:val="16"/>
          <w:szCs w:val="16"/>
        </w:rPr>
        <w:t>25年的积累，校友网络阵容强大，覆盖</w:t>
      </w:r>
      <w:r>
        <w:rPr>
          <w:rFonts w:ascii="Times New Roman" w:hAnsi="Times New Roman" w:eastAsia="Times New Roman" w:cs="Times New Roman"/>
          <w:b/>
          <w:bCs/>
          <w:color w:val="13C5A7"/>
          <w:spacing w:val="4"/>
          <w:sz w:val="16"/>
          <w:szCs w:val="16"/>
        </w:rPr>
        <w:t xml:space="preserve">90%  </w:t>
      </w:r>
      <w:r>
        <w:rPr>
          <w:rFonts w:ascii="黑体" w:hAnsi="黑体" w:eastAsia="黑体" w:cs="黑体"/>
          <w:spacing w:val="4"/>
          <w:sz w:val="16"/>
          <w:szCs w:val="16"/>
        </w:rPr>
        <w:t>大中型</w:t>
      </w:r>
      <w:r>
        <w:rPr>
          <w:rFonts w:ascii="黑体" w:hAnsi="黑体" w:eastAsia="黑体" w:cs="黑体"/>
          <w:spacing w:val="3"/>
          <w:sz w:val="16"/>
          <w:szCs w:val="16"/>
        </w:rPr>
        <w:t>城建、产业、金融企业，校友会下</w:t>
      </w:r>
    </w:p>
    <w:p w14:paraId="14A9178B">
      <w:pPr>
        <w:spacing w:before="159" w:line="330" w:lineRule="auto"/>
        <w:ind w:left="4440" w:right="1300" w:firstLine="2"/>
        <w:rPr>
          <w:rFonts w:ascii="黑体" w:hAnsi="黑体" w:eastAsia="黑体" w:cs="黑体"/>
          <w:sz w:val="16"/>
          <w:szCs w:val="16"/>
        </w:rPr>
      </w:pPr>
      <w:r>
        <w:rPr>
          <w:rFonts w:ascii="黑体" w:hAnsi="黑体" w:eastAsia="黑体" w:cs="黑体"/>
          <w:b/>
          <w:bCs/>
          <w:spacing w:val="1"/>
          <w:sz w:val="16"/>
          <w:szCs w:val="16"/>
        </w:rPr>
        <w:t>辖</w:t>
      </w:r>
      <w:r>
        <w:rPr>
          <w:rFonts w:ascii="黑体" w:hAnsi="黑体" w:eastAsia="黑体" w:cs="黑体"/>
          <w:b/>
          <w:bCs/>
          <w:color w:val="13C5A7"/>
          <w:spacing w:val="1"/>
          <w:sz w:val="16"/>
          <w:szCs w:val="16"/>
        </w:rPr>
        <w:t>4</w:t>
      </w:r>
      <w:r>
        <w:rPr>
          <w:rFonts w:ascii="黑体" w:hAnsi="黑体" w:eastAsia="黑体" w:cs="黑体"/>
          <w:color w:val="13C5A7"/>
          <w:spacing w:val="1"/>
          <w:sz w:val="16"/>
          <w:szCs w:val="16"/>
        </w:rPr>
        <w:t xml:space="preserve"> </w:t>
      </w:r>
      <w:r>
        <w:rPr>
          <w:rFonts w:ascii="黑体" w:hAnsi="黑体" w:eastAsia="黑体" w:cs="黑体"/>
          <w:b/>
          <w:bCs/>
          <w:color w:val="13C5A7"/>
          <w:spacing w:val="1"/>
          <w:sz w:val="16"/>
          <w:szCs w:val="16"/>
        </w:rPr>
        <w:t>大</w:t>
      </w:r>
      <w:r>
        <w:rPr>
          <w:rFonts w:ascii="黑体" w:hAnsi="黑体" w:eastAsia="黑体" w:cs="黑体"/>
          <w:b/>
          <w:bCs/>
          <w:spacing w:val="1"/>
          <w:sz w:val="16"/>
          <w:szCs w:val="16"/>
        </w:rPr>
        <w:t>行</w:t>
      </w:r>
      <w:r>
        <w:rPr>
          <w:rFonts w:ascii="黑体" w:hAnsi="黑体" w:eastAsia="黑体" w:cs="黑体"/>
          <w:spacing w:val="1"/>
          <w:sz w:val="16"/>
          <w:szCs w:val="16"/>
        </w:rPr>
        <w:t>业分会、</w:t>
      </w:r>
      <w:r>
        <w:rPr>
          <w:rFonts w:ascii="黑体" w:hAnsi="黑体" w:eastAsia="黑体" w:cs="黑体"/>
          <w:b/>
          <w:bCs/>
          <w:color w:val="13C5A7"/>
          <w:spacing w:val="1"/>
          <w:sz w:val="16"/>
          <w:szCs w:val="16"/>
        </w:rPr>
        <w:t>6</w:t>
      </w:r>
      <w:r>
        <w:rPr>
          <w:rFonts w:ascii="黑体" w:hAnsi="黑体" w:eastAsia="黑体" w:cs="黑体"/>
          <w:color w:val="13C5A7"/>
          <w:spacing w:val="46"/>
          <w:sz w:val="16"/>
          <w:szCs w:val="16"/>
        </w:rPr>
        <w:t xml:space="preserve"> </w:t>
      </w:r>
      <w:r>
        <w:rPr>
          <w:rFonts w:ascii="黑体" w:hAnsi="黑体" w:eastAsia="黑体" w:cs="黑体"/>
          <w:b/>
          <w:bCs/>
          <w:color w:val="13C5A7"/>
          <w:spacing w:val="1"/>
          <w:sz w:val="16"/>
          <w:szCs w:val="16"/>
        </w:rPr>
        <w:t>大</w:t>
      </w:r>
      <w:r>
        <w:rPr>
          <w:rFonts w:ascii="黑体" w:hAnsi="黑体" w:eastAsia="黑体" w:cs="黑体"/>
          <w:b/>
          <w:bCs/>
          <w:spacing w:val="1"/>
          <w:sz w:val="16"/>
          <w:szCs w:val="16"/>
        </w:rPr>
        <w:t>区</w:t>
      </w:r>
      <w:r>
        <w:rPr>
          <w:rFonts w:ascii="黑体" w:hAnsi="黑体" w:eastAsia="黑体" w:cs="黑体"/>
          <w:spacing w:val="1"/>
          <w:sz w:val="16"/>
          <w:szCs w:val="16"/>
        </w:rPr>
        <w:t>域分会、中房智库</w:t>
      </w:r>
      <w:r>
        <w:rPr>
          <w:rFonts w:ascii="黑体" w:hAnsi="黑体" w:eastAsia="黑体" w:cs="黑体"/>
          <w:b/>
          <w:bCs/>
          <w:color w:val="13C5A7"/>
          <w:spacing w:val="1"/>
          <w:sz w:val="16"/>
          <w:szCs w:val="16"/>
        </w:rPr>
        <w:t>3</w:t>
      </w:r>
      <w:r>
        <w:rPr>
          <w:rFonts w:ascii="黑体" w:hAnsi="黑体" w:eastAsia="黑体" w:cs="黑体"/>
          <w:color w:val="13C5A7"/>
          <w:spacing w:val="-26"/>
          <w:sz w:val="16"/>
          <w:szCs w:val="16"/>
        </w:rPr>
        <w:t xml:space="preserve"> </w:t>
      </w:r>
      <w:r>
        <w:rPr>
          <w:rFonts w:ascii="黑体" w:hAnsi="黑体" w:eastAsia="黑体" w:cs="黑体"/>
          <w:b/>
          <w:bCs/>
          <w:color w:val="13C5A7"/>
          <w:spacing w:val="1"/>
          <w:sz w:val="16"/>
          <w:szCs w:val="16"/>
        </w:rPr>
        <w:t>2</w:t>
      </w:r>
      <w:r>
        <w:rPr>
          <w:rFonts w:ascii="黑体" w:hAnsi="黑体" w:eastAsia="黑体" w:cs="黑体"/>
          <w:color w:val="13C5A7"/>
          <w:spacing w:val="-25"/>
          <w:sz w:val="16"/>
          <w:szCs w:val="16"/>
        </w:rPr>
        <w:t xml:space="preserve"> </w:t>
      </w:r>
      <w:r>
        <w:rPr>
          <w:rFonts w:ascii="黑体" w:hAnsi="黑体" w:eastAsia="黑体" w:cs="黑体"/>
          <w:b/>
          <w:bCs/>
          <w:color w:val="13C5A7"/>
          <w:spacing w:val="1"/>
          <w:sz w:val="16"/>
          <w:szCs w:val="16"/>
        </w:rPr>
        <w:t>个</w:t>
      </w:r>
      <w:r>
        <w:rPr>
          <w:rFonts w:ascii="黑体" w:hAnsi="黑体" w:eastAsia="黑体" w:cs="黑体"/>
          <w:spacing w:val="1"/>
          <w:sz w:val="16"/>
          <w:szCs w:val="16"/>
        </w:rPr>
        <w:t>专业委</w:t>
      </w:r>
      <w:r>
        <w:rPr>
          <w:rFonts w:ascii="黑体" w:hAnsi="黑体" w:eastAsia="黑体" w:cs="黑体"/>
          <w:sz w:val="16"/>
          <w:szCs w:val="16"/>
        </w:rPr>
        <w:t>员会、</w:t>
      </w:r>
      <w:r>
        <w:rPr>
          <w:rFonts w:ascii="黑体" w:hAnsi="黑体" w:eastAsia="黑体" w:cs="黑体"/>
          <w:color w:val="13C5A7"/>
          <w:sz w:val="16"/>
          <w:szCs w:val="16"/>
        </w:rPr>
        <w:t>6</w:t>
      </w:r>
      <w:r>
        <w:rPr>
          <w:rFonts w:ascii="黑体" w:hAnsi="黑体" w:eastAsia="黑体" w:cs="黑体"/>
          <w:color w:val="13C5A7"/>
          <w:spacing w:val="38"/>
          <w:sz w:val="16"/>
          <w:szCs w:val="16"/>
        </w:rPr>
        <w:t xml:space="preserve"> </w:t>
      </w:r>
      <w:r>
        <w:rPr>
          <w:rFonts w:ascii="黑体" w:hAnsi="黑体" w:eastAsia="黑体" w:cs="黑体"/>
          <w:color w:val="13C5A7"/>
          <w:sz w:val="16"/>
          <w:szCs w:val="16"/>
        </w:rPr>
        <w:t>个</w:t>
      </w:r>
      <w:r>
        <w:rPr>
          <w:rFonts w:ascii="黑体" w:hAnsi="黑体" w:eastAsia="黑体" w:cs="黑体"/>
          <w:sz w:val="16"/>
          <w:szCs w:val="16"/>
        </w:rPr>
        <w:t xml:space="preserve">地产圈俱乐部、中 </w:t>
      </w:r>
      <w:r>
        <w:rPr>
          <w:rFonts w:ascii="黑体" w:hAnsi="黑体" w:eastAsia="黑体" w:cs="黑体"/>
          <w:spacing w:val="20"/>
          <w:sz w:val="16"/>
          <w:szCs w:val="16"/>
        </w:rPr>
        <w:t>房产业创新联盟、公益基金等组织</w:t>
      </w:r>
      <w:r>
        <w:rPr>
          <w:rFonts w:ascii="黑体" w:hAnsi="黑体" w:eastAsia="黑体" w:cs="黑体"/>
          <w:b/>
          <w:bCs/>
          <w:color w:val="13C5A7"/>
          <w:spacing w:val="20"/>
          <w:sz w:val="16"/>
          <w:szCs w:val="16"/>
        </w:rPr>
        <w:t>，以地缘、专业或兴趣为纽带，以学促友</w:t>
      </w:r>
      <w:r>
        <w:rPr>
          <w:rFonts w:ascii="黑体" w:hAnsi="黑体" w:eastAsia="黑体" w:cs="黑体"/>
          <w:color w:val="13C5A7"/>
          <w:spacing w:val="20"/>
          <w:sz w:val="16"/>
          <w:szCs w:val="16"/>
        </w:rPr>
        <w:t>，</w:t>
      </w:r>
      <w:r>
        <w:rPr>
          <w:rFonts w:ascii="黑体" w:hAnsi="黑体" w:eastAsia="黑体" w:cs="黑体"/>
          <w:color w:val="13C5A7"/>
          <w:spacing w:val="6"/>
          <w:sz w:val="16"/>
          <w:szCs w:val="16"/>
        </w:rPr>
        <w:t xml:space="preserve"> </w:t>
      </w:r>
      <w:r>
        <w:rPr>
          <w:rFonts w:ascii="黑体" w:hAnsi="黑体" w:eastAsia="黑体" w:cs="黑体"/>
          <w:b/>
          <w:bCs/>
          <w:color w:val="13C5A7"/>
          <w:spacing w:val="22"/>
          <w:sz w:val="16"/>
          <w:szCs w:val="16"/>
        </w:rPr>
        <w:t>以友促商，共建校友经济生态圈。</w:t>
      </w:r>
    </w:p>
    <w:p w14:paraId="3F4D3221">
      <w:pPr>
        <w:pStyle w:val="2"/>
        <w:spacing w:line="303" w:lineRule="auto"/>
      </w:pPr>
    </w:p>
    <w:p w14:paraId="5D182B44">
      <w:pPr>
        <w:pStyle w:val="2"/>
        <w:spacing w:line="303" w:lineRule="auto"/>
      </w:pPr>
    </w:p>
    <w:p w14:paraId="00054495">
      <w:pPr>
        <w:pStyle w:val="2"/>
        <w:spacing w:line="304" w:lineRule="auto"/>
      </w:pPr>
    </w:p>
    <w:p w14:paraId="18C8F150">
      <w:pPr>
        <w:spacing w:before="53" w:line="339" w:lineRule="auto"/>
        <w:ind w:left="4440" w:right="1380"/>
        <w:rPr>
          <w:rFonts w:ascii="黑体" w:hAnsi="黑体" w:eastAsia="黑体" w:cs="黑体"/>
          <w:sz w:val="16"/>
          <w:szCs w:val="16"/>
        </w:rPr>
      </w:pPr>
      <w:r>
        <w:rPr>
          <w:rFonts w:ascii="黑体" w:hAnsi="黑体" w:eastAsia="黑体" w:cs="黑体"/>
          <w:spacing w:val="6"/>
          <w:sz w:val="16"/>
          <w:szCs w:val="16"/>
        </w:rPr>
        <w:t>丰富多彩的课外交流学习，国内外参观考察、名校游学、走进行业标杆/上市公司、</w:t>
      </w:r>
      <w:r>
        <w:rPr>
          <w:rFonts w:ascii="黑体" w:hAnsi="黑体" w:eastAsia="黑体" w:cs="黑体"/>
          <w:spacing w:val="16"/>
          <w:sz w:val="16"/>
          <w:szCs w:val="16"/>
        </w:rPr>
        <w:t xml:space="preserve"> </w:t>
      </w:r>
      <w:r>
        <w:rPr>
          <w:rFonts w:ascii="黑体" w:hAnsi="黑体" w:eastAsia="黑体" w:cs="黑体"/>
          <w:spacing w:val="1"/>
          <w:sz w:val="16"/>
          <w:szCs w:val="16"/>
        </w:rPr>
        <w:t>私董会、思享会、研习社、球赛竞技等各类交流活动，借鉴经验，增进了解。</w:t>
      </w:r>
    </w:p>
    <w:p w14:paraId="3793B607">
      <w:pPr>
        <w:spacing w:line="339" w:lineRule="auto"/>
        <w:rPr>
          <w:rFonts w:ascii="黑体" w:hAnsi="黑体" w:eastAsia="黑体" w:cs="黑体"/>
          <w:sz w:val="16"/>
          <w:szCs w:val="16"/>
        </w:rPr>
        <w:sectPr>
          <w:pgSz w:w="11900" w:h="16840"/>
          <w:pgMar w:top="400" w:right="0" w:bottom="0" w:left="0" w:header="0" w:footer="0" w:gutter="0"/>
          <w:cols w:space="720" w:num="1"/>
        </w:sectPr>
      </w:pPr>
    </w:p>
    <w:p w14:paraId="4BA142BF">
      <w:pPr>
        <w:pStyle w:val="2"/>
        <w:spacing w:line="370" w:lineRule="auto"/>
      </w:pPr>
    </w:p>
    <w:p w14:paraId="5E2D61BF">
      <w:pPr>
        <w:pStyle w:val="2"/>
        <w:spacing w:before="150" w:line="219" w:lineRule="auto"/>
        <w:ind w:left="626"/>
        <w:rPr>
          <w:sz w:val="15"/>
          <w:szCs w:val="15"/>
        </w:rPr>
      </w:pPr>
      <w:r>
        <w:drawing>
          <wp:anchor distT="0" distB="0" distL="0" distR="0" simplePos="0" relativeHeight="251668480" behindDoc="1" locked="0" layoutInCell="1" allowOverlap="1">
            <wp:simplePos x="0" y="0"/>
            <wp:positionH relativeFrom="column">
              <wp:posOffset>0</wp:posOffset>
            </wp:positionH>
            <wp:positionV relativeFrom="paragraph">
              <wp:posOffset>-489585</wp:posOffset>
            </wp:positionV>
            <wp:extent cx="7556500" cy="10693400"/>
            <wp:effectExtent l="0" t="0" r="0" b="0"/>
            <wp:wrapNone/>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17"/>
                    <a:stretch>
                      <a:fillRect/>
                    </a:stretch>
                  </pic:blipFill>
                  <pic:spPr>
                    <a:xfrm>
                      <a:off x="0" y="0"/>
                      <a:ext cx="7556500" cy="10693400"/>
                    </a:xfrm>
                    <a:prstGeom prst="rect">
                      <a:avLst/>
                    </a:prstGeom>
                  </pic:spPr>
                </pic:pic>
              </a:graphicData>
            </a:graphic>
          </wp:anchor>
        </w:drawing>
      </w:r>
      <w:r>
        <w:rPr>
          <w:rFonts w:ascii="宋体" w:hAnsi="宋体" w:eastAsia="宋体" w:cs="宋体"/>
          <w:b/>
          <w:bCs/>
          <w:spacing w:val="9"/>
          <w:sz w:val="46"/>
          <w:szCs w:val="46"/>
        </w:rPr>
        <w:t>项目特色</w:t>
      </w:r>
      <w:r>
        <w:rPr>
          <w:rFonts w:ascii="宋体" w:hAnsi="宋体" w:eastAsia="宋体" w:cs="宋体"/>
          <w:spacing w:val="-132"/>
          <w:sz w:val="46"/>
          <w:szCs w:val="46"/>
        </w:rPr>
        <w:t xml:space="preserve"> </w:t>
      </w:r>
      <w:r>
        <w:rPr>
          <w:sz w:val="15"/>
          <w:szCs w:val="15"/>
        </w:rPr>
        <w:t>IPROJECT</w:t>
      </w:r>
      <w:r>
        <w:rPr>
          <w:spacing w:val="9"/>
          <w:sz w:val="15"/>
          <w:szCs w:val="15"/>
        </w:rPr>
        <w:t xml:space="preserve">  </w:t>
      </w:r>
      <w:r>
        <w:rPr>
          <w:sz w:val="15"/>
          <w:szCs w:val="15"/>
        </w:rPr>
        <w:t>CHARACTERISTICs</w:t>
      </w:r>
    </w:p>
    <w:p w14:paraId="6A965BA5">
      <w:pPr>
        <w:spacing w:before="278" w:line="229" w:lineRule="auto"/>
        <w:ind w:left="619" w:right="2447"/>
        <w:rPr>
          <w:rFonts w:ascii="黑体" w:hAnsi="黑体" w:eastAsia="黑体" w:cs="黑体"/>
          <w:sz w:val="55"/>
          <w:szCs w:val="55"/>
        </w:rPr>
      </w:pPr>
      <w:r>
        <w:rPr>
          <w:rFonts w:ascii="黑体" w:hAnsi="黑体" w:eastAsia="黑体" w:cs="黑体"/>
          <w:color w:val="00C691"/>
          <w:spacing w:val="34"/>
          <w:sz w:val="55"/>
          <w:szCs w:val="55"/>
        </w:rPr>
        <w:t>构建融</w:t>
      </w:r>
      <w:r>
        <w:rPr>
          <w:rFonts w:ascii="黑体" w:hAnsi="黑体" w:eastAsia="黑体" w:cs="黑体"/>
          <w:spacing w:val="34"/>
          <w:sz w:val="55"/>
          <w:szCs w:val="55"/>
        </w:rPr>
        <w:t>「商</w:t>
      </w:r>
      <w:r>
        <w:rPr>
          <w:rFonts w:ascii="黑体" w:hAnsi="黑体" w:eastAsia="黑体" w:cs="黑体"/>
          <w:color w:val="31C30C"/>
          <w:spacing w:val="34"/>
          <w:sz w:val="55"/>
          <w:szCs w:val="55"/>
        </w:rPr>
        <w:t>学+智库+产业+资本+平</w:t>
      </w:r>
      <w:r>
        <w:rPr>
          <w:rFonts w:ascii="黑体" w:hAnsi="黑体" w:eastAsia="黑体" w:cs="黑体"/>
          <w:color w:val="31C30C"/>
          <w:spacing w:val="3"/>
          <w:sz w:val="55"/>
          <w:szCs w:val="55"/>
        </w:rPr>
        <w:t xml:space="preserve"> </w:t>
      </w:r>
      <w:r>
        <w:rPr>
          <w:rFonts w:ascii="黑体" w:hAnsi="黑体" w:eastAsia="黑体" w:cs="黑体"/>
          <w:color w:val="00C691"/>
          <w:spacing w:val="22"/>
          <w:sz w:val="55"/>
          <w:szCs w:val="55"/>
        </w:rPr>
        <w:t>台」于</w:t>
      </w:r>
      <w:r>
        <w:rPr>
          <w:rFonts w:ascii="黑体" w:hAnsi="黑体" w:eastAsia="黑体" w:cs="黑体"/>
          <w:spacing w:val="22"/>
          <w:sz w:val="55"/>
          <w:szCs w:val="55"/>
        </w:rPr>
        <w:t>一体的</w:t>
      </w:r>
      <w:r>
        <w:rPr>
          <w:rFonts w:ascii="黑体" w:hAnsi="黑体" w:eastAsia="黑体" w:cs="黑体"/>
          <w:color w:val="31C30C"/>
          <w:spacing w:val="22"/>
          <w:sz w:val="55"/>
          <w:szCs w:val="55"/>
        </w:rPr>
        <w:t>产业生态链体系</w:t>
      </w:r>
    </w:p>
    <w:p w14:paraId="6F402547">
      <w:pPr>
        <w:pStyle w:val="2"/>
        <w:spacing w:line="248" w:lineRule="auto"/>
      </w:pPr>
    </w:p>
    <w:p w14:paraId="58E4E3BF">
      <w:pPr>
        <w:pStyle w:val="2"/>
        <w:spacing w:line="248" w:lineRule="auto"/>
      </w:pPr>
    </w:p>
    <w:p w14:paraId="2461FD71">
      <w:pPr>
        <w:pStyle w:val="2"/>
        <w:spacing w:line="248" w:lineRule="auto"/>
      </w:pPr>
    </w:p>
    <w:p w14:paraId="3B959659">
      <w:pPr>
        <w:pStyle w:val="2"/>
        <w:spacing w:line="249" w:lineRule="auto"/>
      </w:pPr>
    </w:p>
    <w:p w14:paraId="4EDCD7B2">
      <w:pPr>
        <w:pStyle w:val="2"/>
        <w:spacing w:line="249" w:lineRule="auto"/>
      </w:pPr>
    </w:p>
    <w:p w14:paraId="343422C7">
      <w:pPr>
        <w:spacing w:before="78" w:line="423" w:lineRule="auto"/>
        <w:ind w:left="619" w:right="2485" w:firstLine="540"/>
        <w:rPr>
          <w:rFonts w:ascii="黑体" w:hAnsi="黑体" w:eastAsia="黑体" w:cs="黑体"/>
          <w:sz w:val="24"/>
          <w:szCs w:val="24"/>
        </w:rPr>
      </w:pPr>
      <w:r>
        <w:rPr>
          <w:rFonts w:ascii="黑体" w:hAnsi="黑体" w:eastAsia="黑体" w:cs="黑体"/>
          <w:spacing w:val="9"/>
          <w:sz w:val="24"/>
          <w:szCs w:val="24"/>
        </w:rPr>
        <w:t>持续25年的教学深耕，积极推动融合全产业领域资源与校友间的务实合作，</w:t>
      </w:r>
      <w:r>
        <w:rPr>
          <w:rFonts w:ascii="黑体" w:hAnsi="黑体" w:eastAsia="黑体" w:cs="黑体"/>
          <w:spacing w:val="13"/>
          <w:sz w:val="24"/>
          <w:szCs w:val="24"/>
        </w:rPr>
        <w:t xml:space="preserve"> </w:t>
      </w:r>
      <w:r>
        <w:rPr>
          <w:rFonts w:ascii="黑体" w:hAnsi="黑体" w:eastAsia="黑体" w:cs="黑体"/>
          <w:spacing w:val="11"/>
          <w:sz w:val="24"/>
          <w:szCs w:val="24"/>
        </w:rPr>
        <w:t>近年来战略合作及深度链接一带一路商学院联盟各高校、华南高商企业家校友等</w:t>
      </w:r>
      <w:r>
        <w:rPr>
          <w:rFonts w:ascii="黑体" w:hAnsi="黑体" w:eastAsia="黑体" w:cs="黑体"/>
          <w:spacing w:val="4"/>
          <w:sz w:val="24"/>
          <w:szCs w:val="24"/>
        </w:rPr>
        <w:t xml:space="preserve"> </w:t>
      </w:r>
      <w:r>
        <w:rPr>
          <w:rFonts w:ascii="黑体" w:hAnsi="黑体" w:eastAsia="黑体" w:cs="黑体"/>
          <w:spacing w:val="11"/>
          <w:sz w:val="24"/>
          <w:szCs w:val="24"/>
        </w:rPr>
        <w:t>资源，逐步构建起以城建与产业创新发展为核心的产业间相互支撑，业务上相互</w:t>
      </w:r>
      <w:r>
        <w:rPr>
          <w:rFonts w:ascii="黑体" w:hAnsi="黑体" w:eastAsia="黑体" w:cs="黑体"/>
          <w:spacing w:val="8"/>
          <w:sz w:val="24"/>
          <w:szCs w:val="24"/>
        </w:rPr>
        <w:t xml:space="preserve"> </w:t>
      </w:r>
      <w:r>
        <w:rPr>
          <w:rFonts w:ascii="黑体" w:hAnsi="黑体" w:eastAsia="黑体" w:cs="黑体"/>
          <w:spacing w:val="11"/>
          <w:sz w:val="24"/>
          <w:szCs w:val="24"/>
        </w:rPr>
        <w:t>供给，客户资源相互共享，融「商学+智库+产</w:t>
      </w:r>
      <w:r>
        <w:rPr>
          <w:rFonts w:ascii="黑体" w:hAnsi="黑体" w:eastAsia="黑体" w:cs="黑体"/>
          <w:spacing w:val="10"/>
          <w:sz w:val="24"/>
          <w:szCs w:val="24"/>
        </w:rPr>
        <w:t>业+资本+平台」于一体的中房产业</w:t>
      </w:r>
      <w:r>
        <w:rPr>
          <w:rFonts w:ascii="黑体" w:hAnsi="黑体" w:eastAsia="黑体" w:cs="黑体"/>
          <w:sz w:val="24"/>
          <w:szCs w:val="24"/>
        </w:rPr>
        <w:t xml:space="preserve"> </w:t>
      </w:r>
      <w:r>
        <w:rPr>
          <w:rFonts w:ascii="黑体" w:hAnsi="黑体" w:eastAsia="黑体" w:cs="黑体"/>
          <w:spacing w:val="6"/>
          <w:sz w:val="24"/>
          <w:szCs w:val="24"/>
        </w:rPr>
        <w:t>生态链体系，为历届校友提供全方位的产业资源融合</w:t>
      </w:r>
      <w:r>
        <w:rPr>
          <w:rFonts w:ascii="黑体" w:hAnsi="黑体" w:eastAsia="黑体" w:cs="黑体"/>
          <w:spacing w:val="5"/>
          <w:sz w:val="24"/>
          <w:szCs w:val="24"/>
        </w:rPr>
        <w:t>与链接服务。</w:t>
      </w:r>
    </w:p>
    <w:p w14:paraId="76D8B0F5">
      <w:pPr>
        <w:pStyle w:val="2"/>
        <w:spacing w:line="308" w:lineRule="auto"/>
      </w:pPr>
    </w:p>
    <w:p w14:paraId="0359B8DB">
      <w:pPr>
        <w:pStyle w:val="2"/>
        <w:spacing w:line="308" w:lineRule="auto"/>
      </w:pPr>
    </w:p>
    <w:p w14:paraId="6AB06AD6">
      <w:pPr>
        <w:spacing w:line="1120" w:lineRule="exact"/>
        <w:ind w:firstLine="8719"/>
      </w:pPr>
      <w:r>
        <w:rPr>
          <w:position w:val="-22"/>
        </w:rPr>
        <w:drawing>
          <wp:inline distT="0" distB="0" distL="0" distR="0">
            <wp:extent cx="1676400" cy="711200"/>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18"/>
                    <a:stretch>
                      <a:fillRect/>
                    </a:stretch>
                  </pic:blipFill>
                  <pic:spPr>
                    <a:xfrm>
                      <a:off x="0" y="0"/>
                      <a:ext cx="1676410" cy="711218"/>
                    </a:xfrm>
                    <a:prstGeom prst="rect">
                      <a:avLst/>
                    </a:prstGeom>
                  </pic:spPr>
                </pic:pic>
              </a:graphicData>
            </a:graphic>
          </wp:inline>
        </w:drawing>
      </w:r>
    </w:p>
    <w:p w14:paraId="2BF15E74">
      <w:pPr>
        <w:spacing w:before="1"/>
      </w:pPr>
    </w:p>
    <w:p w14:paraId="1959DBD6"/>
    <w:p w14:paraId="25F121B7"/>
    <w:p w14:paraId="166523F0"/>
    <w:p w14:paraId="55331B2A"/>
    <w:p w14:paraId="0A9E7C5D"/>
    <w:p w14:paraId="50102574"/>
    <w:p w14:paraId="6AC6A0A3"/>
    <w:p w14:paraId="6D2A2831">
      <w:pPr>
        <w:sectPr>
          <w:pgSz w:w="11900" w:h="16840"/>
          <w:pgMar w:top="400" w:right="0" w:bottom="0" w:left="0" w:header="0" w:footer="0" w:gutter="0"/>
          <w:cols w:equalWidth="0" w:num="1">
            <w:col w:w="11900"/>
          </w:cols>
        </w:sectPr>
      </w:pPr>
    </w:p>
    <w:p w14:paraId="462BF603">
      <w:pPr>
        <w:pStyle w:val="2"/>
        <w:spacing w:before="128" w:line="198" w:lineRule="auto"/>
        <w:ind w:left="1140"/>
        <w:rPr>
          <w:sz w:val="84"/>
          <w:szCs w:val="84"/>
        </w:rPr>
      </w:pPr>
      <w:r>
        <w:rPr>
          <w:b/>
          <w:bCs/>
          <w:color w:val="FFFFFF"/>
          <w:spacing w:val="-8"/>
          <w:sz w:val="84"/>
          <w:szCs w:val="84"/>
        </w:rPr>
        <w:t>BUSINESS</w:t>
      </w:r>
    </w:p>
    <w:p w14:paraId="482EC87D">
      <w:pPr>
        <w:pStyle w:val="2"/>
        <w:spacing w:line="280" w:lineRule="auto"/>
      </w:pPr>
    </w:p>
    <w:p w14:paraId="77C401FB">
      <w:pPr>
        <w:pStyle w:val="2"/>
        <w:spacing w:line="281" w:lineRule="auto"/>
      </w:pPr>
    </w:p>
    <w:p w14:paraId="1782E2BD">
      <w:pPr>
        <w:pStyle w:val="2"/>
        <w:spacing w:line="281" w:lineRule="auto"/>
      </w:pPr>
    </w:p>
    <w:p w14:paraId="5119EA20">
      <w:pPr>
        <w:pStyle w:val="2"/>
        <w:spacing w:line="281" w:lineRule="auto"/>
      </w:pPr>
    </w:p>
    <w:p w14:paraId="79E3D351">
      <w:pPr>
        <w:pStyle w:val="2"/>
        <w:spacing w:line="281" w:lineRule="auto"/>
      </w:pPr>
    </w:p>
    <w:p w14:paraId="07B58789">
      <w:pPr>
        <w:pStyle w:val="2"/>
        <w:spacing w:before="207" w:line="384" w:lineRule="auto"/>
        <w:ind w:left="3409" w:right="666" w:hanging="1759"/>
        <w:rPr>
          <w:sz w:val="46"/>
          <w:szCs w:val="46"/>
        </w:rPr>
      </w:pPr>
      <w:r>
        <w:rPr>
          <w:b/>
          <w:bCs/>
          <w:color w:val="FFFFFF"/>
          <w:spacing w:val="-7"/>
          <w:sz w:val="72"/>
          <w:szCs w:val="72"/>
        </w:rPr>
        <w:t>NDUSTRIES</w:t>
      </w:r>
      <w:r>
        <w:rPr>
          <w:b/>
          <w:bCs/>
          <w:color w:val="FFFFFF"/>
          <w:spacing w:val="4"/>
          <w:sz w:val="72"/>
          <w:szCs w:val="72"/>
        </w:rPr>
        <w:t xml:space="preserve"> </w:t>
      </w:r>
      <w:r>
        <w:rPr>
          <w:b/>
          <w:bCs/>
          <w:color w:val="FFFFFF"/>
          <w:spacing w:val="-3"/>
          <w:sz w:val="46"/>
          <w:szCs w:val="46"/>
        </w:rPr>
        <w:t>CAPITAL</w:t>
      </w:r>
    </w:p>
    <w:p w14:paraId="0745197D">
      <w:pPr>
        <w:pStyle w:val="2"/>
        <w:spacing w:line="14" w:lineRule="auto"/>
        <w:rPr>
          <w:sz w:val="2"/>
        </w:rPr>
      </w:pPr>
      <w:r>
        <w:rPr>
          <w:sz w:val="2"/>
          <w:szCs w:val="2"/>
        </w:rPr>
        <w:br w:type="column"/>
      </w:r>
    </w:p>
    <w:p w14:paraId="2D0C14DB">
      <w:pPr>
        <w:pStyle w:val="2"/>
        <w:spacing w:line="284" w:lineRule="auto"/>
      </w:pPr>
    </w:p>
    <w:p w14:paraId="2915556F">
      <w:pPr>
        <w:pStyle w:val="2"/>
        <w:spacing w:line="284" w:lineRule="auto"/>
      </w:pPr>
    </w:p>
    <w:p w14:paraId="0301CEF3">
      <w:pPr>
        <w:pStyle w:val="2"/>
        <w:spacing w:line="285" w:lineRule="auto"/>
      </w:pPr>
    </w:p>
    <w:p w14:paraId="079A265F">
      <w:pPr>
        <w:pStyle w:val="2"/>
        <w:spacing w:line="285" w:lineRule="auto"/>
      </w:pPr>
    </w:p>
    <w:p w14:paraId="5FCAF9FE">
      <w:pPr>
        <w:pStyle w:val="2"/>
        <w:spacing w:before="159" w:line="198" w:lineRule="auto"/>
        <w:rPr>
          <w:sz w:val="55"/>
          <w:szCs w:val="55"/>
        </w:rPr>
      </w:pPr>
      <w:r>
        <w:rPr>
          <w:b/>
          <w:bCs/>
          <w:spacing w:val="-2"/>
          <w:sz w:val="55"/>
          <w:szCs w:val="55"/>
        </w:rPr>
        <w:t>THINK-TANKS</w:t>
      </w:r>
    </w:p>
    <w:p w14:paraId="196705A9">
      <w:pPr>
        <w:pStyle w:val="2"/>
        <w:spacing w:line="243" w:lineRule="auto"/>
      </w:pPr>
    </w:p>
    <w:p w14:paraId="133BAF41">
      <w:pPr>
        <w:pStyle w:val="2"/>
        <w:spacing w:line="243" w:lineRule="auto"/>
      </w:pPr>
    </w:p>
    <w:p w14:paraId="2F8941AB">
      <w:pPr>
        <w:pStyle w:val="2"/>
        <w:spacing w:line="243" w:lineRule="auto"/>
      </w:pPr>
    </w:p>
    <w:p w14:paraId="4618324D">
      <w:pPr>
        <w:pStyle w:val="2"/>
        <w:spacing w:line="243" w:lineRule="auto"/>
      </w:pPr>
    </w:p>
    <w:p w14:paraId="314925F8">
      <w:pPr>
        <w:pStyle w:val="2"/>
        <w:spacing w:line="243" w:lineRule="auto"/>
      </w:pPr>
    </w:p>
    <w:p w14:paraId="1E8C4816">
      <w:pPr>
        <w:pStyle w:val="2"/>
        <w:spacing w:line="243" w:lineRule="auto"/>
      </w:pPr>
    </w:p>
    <w:p w14:paraId="3AADEE75">
      <w:pPr>
        <w:pStyle w:val="2"/>
        <w:spacing w:line="243" w:lineRule="auto"/>
      </w:pPr>
    </w:p>
    <w:p w14:paraId="56E206DF">
      <w:pPr>
        <w:pStyle w:val="2"/>
        <w:spacing w:line="243" w:lineRule="auto"/>
      </w:pPr>
    </w:p>
    <w:p w14:paraId="5221A804">
      <w:pPr>
        <w:pStyle w:val="2"/>
        <w:spacing w:line="243" w:lineRule="auto"/>
      </w:pPr>
    </w:p>
    <w:p w14:paraId="5523BD45">
      <w:pPr>
        <w:pStyle w:val="2"/>
        <w:spacing w:line="244" w:lineRule="auto"/>
      </w:pPr>
    </w:p>
    <w:p w14:paraId="14495FF1">
      <w:pPr>
        <w:pStyle w:val="2"/>
        <w:spacing w:line="244" w:lineRule="auto"/>
      </w:pPr>
    </w:p>
    <w:p w14:paraId="7F71DB5C">
      <w:pPr>
        <w:pStyle w:val="2"/>
        <w:spacing w:before="207" w:line="157" w:lineRule="auto"/>
        <w:ind w:left="19"/>
        <w:rPr>
          <w:sz w:val="72"/>
          <w:szCs w:val="72"/>
        </w:rPr>
      </w:pPr>
      <w:r>
        <w:rPr>
          <w:b/>
          <w:bCs/>
          <w:color w:val="FFFFFF"/>
          <w:spacing w:val="-6"/>
          <w:sz w:val="72"/>
          <w:szCs w:val="72"/>
        </w:rPr>
        <w:t>PLATFORM</w:t>
      </w:r>
    </w:p>
    <w:p w14:paraId="35800E8C">
      <w:pPr>
        <w:spacing w:line="157" w:lineRule="auto"/>
        <w:rPr>
          <w:sz w:val="72"/>
          <w:szCs w:val="72"/>
        </w:rPr>
        <w:sectPr>
          <w:type w:val="continuous"/>
          <w:pgSz w:w="11900" w:h="16840"/>
          <w:pgMar w:top="400" w:right="0" w:bottom="0" w:left="0" w:header="0" w:footer="0" w:gutter="0"/>
          <w:cols w:equalWidth="0" w:num="2">
            <w:col w:w="6421" w:space="100"/>
            <w:col w:w="5380"/>
          </w:cols>
        </w:sectPr>
      </w:pPr>
    </w:p>
    <w:p w14:paraId="69B0BB58">
      <w:pPr>
        <w:pStyle w:val="2"/>
        <w:spacing w:line="247" w:lineRule="auto"/>
      </w:pPr>
    </w:p>
    <w:p w14:paraId="46BE3F8D">
      <w:pPr>
        <w:pStyle w:val="2"/>
        <w:spacing w:line="247" w:lineRule="auto"/>
      </w:pPr>
    </w:p>
    <w:p w14:paraId="7059B0F7">
      <w:pPr>
        <w:pStyle w:val="2"/>
        <w:spacing w:line="247" w:lineRule="auto"/>
      </w:pPr>
    </w:p>
    <w:p w14:paraId="405A54A9">
      <w:pPr>
        <w:pStyle w:val="2"/>
        <w:spacing w:line="248" w:lineRule="auto"/>
      </w:pPr>
    </w:p>
    <w:p w14:paraId="2458B8D0">
      <w:pPr>
        <w:pStyle w:val="2"/>
        <w:spacing w:line="248" w:lineRule="auto"/>
      </w:pPr>
    </w:p>
    <w:p w14:paraId="240B1726">
      <w:pPr>
        <w:pStyle w:val="2"/>
        <w:spacing w:line="248" w:lineRule="auto"/>
      </w:pPr>
    </w:p>
    <w:p w14:paraId="32194240">
      <w:pPr>
        <w:pStyle w:val="2"/>
        <w:spacing w:line="248" w:lineRule="auto"/>
      </w:pPr>
    </w:p>
    <w:p w14:paraId="2E4C64EE">
      <w:pPr>
        <w:pStyle w:val="2"/>
        <w:spacing w:before="104" w:line="198" w:lineRule="auto"/>
        <w:ind w:left="629"/>
        <w:rPr>
          <w:sz w:val="36"/>
          <w:szCs w:val="36"/>
        </w:rPr>
      </w:pPr>
      <w:r>
        <w:drawing>
          <wp:anchor distT="0" distB="0" distL="0" distR="0" simplePos="0" relativeHeight="251669504" behindDoc="1" locked="0" layoutInCell="1" allowOverlap="1">
            <wp:simplePos x="0" y="0"/>
            <wp:positionH relativeFrom="column">
              <wp:posOffset>0</wp:posOffset>
            </wp:positionH>
            <wp:positionV relativeFrom="paragraph">
              <wp:posOffset>-1360805</wp:posOffset>
            </wp:positionV>
            <wp:extent cx="7556500" cy="10693400"/>
            <wp:effectExtent l="0" t="0" r="0" b="0"/>
            <wp:wrapNone/>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19"/>
                    <a:stretch>
                      <a:fillRect/>
                    </a:stretch>
                  </pic:blipFill>
                  <pic:spPr>
                    <a:xfrm>
                      <a:off x="0" y="0"/>
                      <a:ext cx="7556500" cy="10693400"/>
                    </a:xfrm>
                    <a:prstGeom prst="rect">
                      <a:avLst/>
                    </a:prstGeom>
                  </pic:spPr>
                </pic:pic>
              </a:graphicData>
            </a:graphic>
          </wp:anchor>
        </w:drawing>
      </w:r>
      <w:r>
        <w:rPr>
          <w:b/>
          <w:bCs/>
          <w:color w:val="00C1A7"/>
          <w:spacing w:val="-5"/>
          <w:sz w:val="36"/>
          <w:szCs w:val="36"/>
        </w:rPr>
        <w:t xml:space="preserve">OUR </w:t>
      </w:r>
      <w:r>
        <w:rPr>
          <w:b/>
          <w:bCs/>
          <w:color w:val="4FC800"/>
          <w:spacing w:val="-5"/>
          <w:sz w:val="36"/>
          <w:szCs w:val="36"/>
        </w:rPr>
        <w:t>CURRICULUM</w:t>
      </w:r>
      <w:r>
        <w:rPr>
          <w:b/>
          <w:bCs/>
          <w:color w:val="4FC800"/>
          <w:spacing w:val="58"/>
          <w:sz w:val="36"/>
          <w:szCs w:val="36"/>
        </w:rPr>
        <w:t xml:space="preserve"> </w:t>
      </w:r>
      <w:r>
        <w:rPr>
          <w:b/>
          <w:bCs/>
          <w:color w:val="4FC800"/>
          <w:spacing w:val="-5"/>
          <w:sz w:val="36"/>
          <w:szCs w:val="36"/>
        </w:rPr>
        <w:t>&amp;PROGRAMME</w:t>
      </w:r>
    </w:p>
    <w:p w14:paraId="2B0BC090">
      <w:pPr>
        <w:spacing w:before="132" w:line="220" w:lineRule="auto"/>
        <w:ind w:left="640"/>
        <w:rPr>
          <w:rFonts w:ascii="宋体" w:hAnsi="宋体" w:eastAsia="宋体" w:cs="宋体"/>
          <w:sz w:val="74"/>
          <w:szCs w:val="74"/>
        </w:rPr>
      </w:pPr>
      <w:r>
        <w:rPr>
          <w:rFonts w:ascii="宋体" w:hAnsi="宋体" w:eastAsia="宋体" w:cs="宋体"/>
          <w:b/>
          <w:bCs/>
          <w:spacing w:val="4"/>
          <w:sz w:val="74"/>
          <w:szCs w:val="74"/>
        </w:rPr>
        <w:t>课程设置与赋能方案</w:t>
      </w:r>
    </w:p>
    <w:p w14:paraId="62EB9AAB">
      <w:pPr>
        <w:pStyle w:val="2"/>
        <w:spacing w:line="245" w:lineRule="auto"/>
      </w:pPr>
    </w:p>
    <w:p w14:paraId="4B70D355">
      <w:pPr>
        <w:pStyle w:val="2"/>
        <w:spacing w:line="245" w:lineRule="auto"/>
      </w:pPr>
    </w:p>
    <w:p w14:paraId="1E36C9F4">
      <w:pPr>
        <w:pStyle w:val="2"/>
        <w:spacing w:line="245" w:lineRule="auto"/>
      </w:pPr>
    </w:p>
    <w:p w14:paraId="45BB6D8E">
      <w:pPr>
        <w:pStyle w:val="2"/>
        <w:spacing w:line="245" w:lineRule="auto"/>
      </w:pPr>
    </w:p>
    <w:p w14:paraId="7168A26E">
      <w:pPr>
        <w:pStyle w:val="2"/>
        <w:spacing w:line="245" w:lineRule="auto"/>
      </w:pPr>
    </w:p>
    <w:p w14:paraId="681D0E7E">
      <w:pPr>
        <w:pStyle w:val="2"/>
        <w:spacing w:line="245" w:lineRule="auto"/>
      </w:pPr>
    </w:p>
    <w:p w14:paraId="50EEB28B">
      <w:pPr>
        <w:pStyle w:val="2"/>
        <w:spacing w:line="245" w:lineRule="auto"/>
      </w:pPr>
    </w:p>
    <w:p w14:paraId="3D678867">
      <w:pPr>
        <w:pStyle w:val="2"/>
        <w:spacing w:line="245" w:lineRule="auto"/>
      </w:pPr>
    </w:p>
    <w:p w14:paraId="2B95BB8E">
      <w:pPr>
        <w:pStyle w:val="2"/>
        <w:spacing w:line="245" w:lineRule="auto"/>
      </w:pPr>
    </w:p>
    <w:p w14:paraId="68E37A58">
      <w:pPr>
        <w:pStyle w:val="2"/>
        <w:spacing w:line="245" w:lineRule="auto"/>
      </w:pPr>
    </w:p>
    <w:p w14:paraId="731F88E5">
      <w:pPr>
        <w:pStyle w:val="2"/>
        <w:spacing w:line="245" w:lineRule="auto"/>
      </w:pPr>
    </w:p>
    <w:p w14:paraId="752BBBB9">
      <w:pPr>
        <w:pStyle w:val="2"/>
        <w:spacing w:line="245" w:lineRule="auto"/>
      </w:pPr>
    </w:p>
    <w:p w14:paraId="02CBCBE5">
      <w:pPr>
        <w:pStyle w:val="2"/>
        <w:spacing w:line="245" w:lineRule="auto"/>
      </w:pPr>
    </w:p>
    <w:p w14:paraId="7877C951">
      <w:pPr>
        <w:pStyle w:val="2"/>
        <w:spacing w:line="245" w:lineRule="auto"/>
      </w:pPr>
    </w:p>
    <w:p w14:paraId="48EC9A3A">
      <w:pPr>
        <w:pStyle w:val="2"/>
        <w:spacing w:line="245" w:lineRule="auto"/>
      </w:pPr>
    </w:p>
    <w:p w14:paraId="781E6C6A">
      <w:pPr>
        <w:pStyle w:val="2"/>
        <w:spacing w:line="245" w:lineRule="auto"/>
      </w:pPr>
    </w:p>
    <w:p w14:paraId="258349F7">
      <w:pPr>
        <w:pStyle w:val="2"/>
        <w:spacing w:line="245" w:lineRule="auto"/>
      </w:pPr>
    </w:p>
    <w:p w14:paraId="1FF419C7">
      <w:pPr>
        <w:pStyle w:val="2"/>
        <w:spacing w:line="245" w:lineRule="auto"/>
      </w:pPr>
    </w:p>
    <w:p w14:paraId="3A0F3BA7">
      <w:pPr>
        <w:pStyle w:val="2"/>
        <w:spacing w:line="245" w:lineRule="auto"/>
      </w:pPr>
    </w:p>
    <w:p w14:paraId="3BB6E3B5">
      <w:pPr>
        <w:pStyle w:val="2"/>
        <w:spacing w:line="245" w:lineRule="auto"/>
      </w:pPr>
    </w:p>
    <w:p w14:paraId="1F1130EB">
      <w:pPr>
        <w:pStyle w:val="2"/>
        <w:spacing w:line="245" w:lineRule="auto"/>
      </w:pPr>
    </w:p>
    <w:p w14:paraId="132A8FE8">
      <w:pPr>
        <w:pStyle w:val="2"/>
        <w:spacing w:line="245" w:lineRule="auto"/>
      </w:pPr>
    </w:p>
    <w:p w14:paraId="2ECC71A6">
      <w:pPr>
        <w:pStyle w:val="2"/>
        <w:spacing w:line="246" w:lineRule="auto"/>
      </w:pPr>
    </w:p>
    <w:p w14:paraId="0D447FE2">
      <w:pPr>
        <w:pStyle w:val="2"/>
        <w:spacing w:line="246" w:lineRule="auto"/>
      </w:pPr>
    </w:p>
    <w:p w14:paraId="54309C09">
      <w:pPr>
        <w:pStyle w:val="2"/>
        <w:spacing w:line="246" w:lineRule="auto"/>
      </w:pPr>
    </w:p>
    <w:p w14:paraId="68ECF613">
      <w:pPr>
        <w:pStyle w:val="2"/>
        <w:spacing w:line="246" w:lineRule="auto"/>
      </w:pPr>
    </w:p>
    <w:p w14:paraId="7517DE29">
      <w:pPr>
        <w:pStyle w:val="2"/>
        <w:spacing w:line="246" w:lineRule="auto"/>
      </w:pPr>
    </w:p>
    <w:p w14:paraId="7BC1300A">
      <w:pPr>
        <w:pStyle w:val="2"/>
        <w:spacing w:line="246" w:lineRule="auto"/>
      </w:pPr>
    </w:p>
    <w:p w14:paraId="68657C2E">
      <w:pPr>
        <w:spacing w:before="198" w:line="221" w:lineRule="auto"/>
        <w:ind w:left="638"/>
        <w:rPr>
          <w:rFonts w:ascii="黑体" w:hAnsi="黑体" w:eastAsia="黑体" w:cs="黑体"/>
          <w:sz w:val="61"/>
          <w:szCs w:val="61"/>
        </w:rPr>
      </w:pPr>
      <w:r>
        <w:rPr>
          <w:rFonts w:ascii="黑体" w:hAnsi="黑体" w:eastAsia="黑体" w:cs="黑体"/>
          <w:b/>
          <w:bCs/>
          <w:color w:val="00C294"/>
          <w:spacing w:val="-4"/>
          <w:sz w:val="61"/>
          <w:szCs w:val="61"/>
        </w:rPr>
        <w:t>学习空间</w:t>
      </w:r>
    </w:p>
    <w:p w14:paraId="23154B6F">
      <w:pPr>
        <w:spacing w:before="88" w:line="219" w:lineRule="auto"/>
        <w:ind w:left="635"/>
        <w:rPr>
          <w:rFonts w:ascii="宋体" w:hAnsi="宋体" w:eastAsia="宋体" w:cs="宋体"/>
          <w:sz w:val="36"/>
          <w:szCs w:val="36"/>
        </w:rPr>
      </w:pPr>
      <w:r>
        <w:rPr>
          <w:rFonts w:ascii="宋体" w:hAnsi="宋体" w:eastAsia="宋体" w:cs="宋体"/>
          <w:b/>
          <w:bCs/>
          <w:color w:val="00C1A7"/>
          <w:sz w:val="36"/>
          <w:szCs w:val="36"/>
        </w:rPr>
        <w:t>城建与产业</w:t>
      </w:r>
      <w:r>
        <w:rPr>
          <w:rFonts w:ascii="宋体" w:hAnsi="宋体" w:eastAsia="宋体" w:cs="宋体"/>
          <w:b/>
          <w:bCs/>
          <w:color w:val="50CA00"/>
          <w:sz w:val="36"/>
          <w:szCs w:val="36"/>
        </w:rPr>
        <w:t>创新领域最系统完善的知识体系</w:t>
      </w:r>
    </w:p>
    <w:p w14:paraId="5BF0E6EE">
      <w:pPr>
        <w:pStyle w:val="2"/>
        <w:spacing w:line="349" w:lineRule="auto"/>
      </w:pPr>
    </w:p>
    <w:p w14:paraId="7571A74B">
      <w:pPr>
        <w:spacing w:before="156" w:line="220" w:lineRule="auto"/>
        <w:ind w:left="636"/>
        <w:rPr>
          <w:rFonts w:ascii="宋体" w:hAnsi="宋体" w:eastAsia="宋体" w:cs="宋体"/>
          <w:sz w:val="48"/>
          <w:szCs w:val="48"/>
        </w:rPr>
      </w:pPr>
      <w:r>
        <w:rPr>
          <w:rFonts w:ascii="宋体" w:hAnsi="宋体" w:eastAsia="宋体" w:cs="宋体"/>
          <w:b/>
          <w:bCs/>
          <w:spacing w:val="-6"/>
          <w:sz w:val="48"/>
          <w:szCs w:val="48"/>
        </w:rPr>
        <w:t>四大方向</w:t>
      </w:r>
    </w:p>
    <w:p w14:paraId="7711726E">
      <w:pPr>
        <w:pStyle w:val="2"/>
        <w:spacing w:line="318" w:lineRule="auto"/>
      </w:pPr>
    </w:p>
    <w:p w14:paraId="58DEDED9">
      <w:pPr>
        <w:pStyle w:val="2"/>
        <w:spacing w:line="319" w:lineRule="auto"/>
      </w:pPr>
    </w:p>
    <w:p w14:paraId="5CE8C2BB">
      <w:pPr>
        <w:spacing w:before="88" w:line="222" w:lineRule="auto"/>
        <w:ind w:left="1643"/>
        <w:rPr>
          <w:rFonts w:ascii="黑体" w:hAnsi="黑体" w:eastAsia="黑体" w:cs="黑体"/>
          <w:sz w:val="27"/>
          <w:szCs w:val="27"/>
        </w:rPr>
      </w:pPr>
      <w:r>
        <w:pict>
          <v:shape id="_x0000_s1026" o:spid="_x0000_s1026" o:spt="202" type="#_x0000_t202" style="position:absolute;left:0pt;margin-left:351.65pt;margin-top:3.35pt;height:18.15pt;width:144.65pt;z-index:251671552;mso-width-relative:page;mso-height-relative:page;" filled="f" stroked="f" coordsize="21600,21600">
            <v:path/>
            <v:fill on="f" focussize="0,0"/>
            <v:stroke on="f"/>
            <v:imagedata o:title=""/>
            <o:lock v:ext="edit" aspectratio="f"/>
            <v:textbox inset="0mm,0mm,0mm,0mm">
              <w:txbxContent>
                <w:p w14:paraId="19A40A77">
                  <w:pPr>
                    <w:spacing w:before="19" w:line="221" w:lineRule="auto"/>
                    <w:ind w:left="20"/>
                    <w:rPr>
                      <w:rFonts w:ascii="黑体" w:hAnsi="黑体" w:eastAsia="黑体" w:cs="黑体"/>
                      <w:sz w:val="27"/>
                      <w:szCs w:val="27"/>
                    </w:rPr>
                  </w:pPr>
                  <w:r>
                    <w:rPr>
                      <w:rFonts w:ascii="黑体" w:hAnsi="黑体" w:eastAsia="黑体" w:cs="黑体"/>
                      <w:b/>
                      <w:bCs/>
                      <w:spacing w:val="-13"/>
                      <w:sz w:val="27"/>
                      <w:szCs w:val="27"/>
                    </w:rPr>
                    <w:t>行业知识、产业创新升级</w:t>
                  </w:r>
                </w:p>
              </w:txbxContent>
            </v:textbox>
          </v:shape>
        </w:pict>
      </w:r>
      <w:r>
        <w:rPr>
          <w:rFonts w:ascii="黑体" w:hAnsi="黑体" w:eastAsia="黑体" w:cs="黑体"/>
          <w:b/>
          <w:bCs/>
          <w:spacing w:val="-13"/>
          <w:sz w:val="27"/>
          <w:szCs w:val="27"/>
        </w:rPr>
        <w:t>宏观环境、经济政策分析</w:t>
      </w:r>
    </w:p>
    <w:p w14:paraId="1093B7E4">
      <w:pPr>
        <w:pStyle w:val="2"/>
        <w:spacing w:line="264" w:lineRule="auto"/>
      </w:pPr>
    </w:p>
    <w:p w14:paraId="390BC700">
      <w:pPr>
        <w:pStyle w:val="2"/>
        <w:spacing w:line="264" w:lineRule="auto"/>
      </w:pPr>
    </w:p>
    <w:p w14:paraId="27940F7F">
      <w:pPr>
        <w:pStyle w:val="2"/>
        <w:spacing w:line="264" w:lineRule="auto"/>
      </w:pPr>
    </w:p>
    <w:p w14:paraId="3A575A90">
      <w:pPr>
        <w:spacing w:before="89" w:line="222" w:lineRule="auto"/>
        <w:ind w:left="1643"/>
        <w:rPr>
          <w:rFonts w:ascii="黑体" w:hAnsi="黑体" w:eastAsia="黑体" w:cs="黑体"/>
          <w:sz w:val="27"/>
          <w:szCs w:val="27"/>
        </w:rPr>
      </w:pPr>
      <w:r>
        <w:pict>
          <v:shape id="_x0000_s1027" o:spid="_x0000_s1027" o:spt="202" type="#_x0000_t202" style="position:absolute;left:0pt;margin-left:351.65pt;margin-top:2.9pt;height:18.25pt;width:144.75pt;z-index:251670528;mso-width-relative:page;mso-height-relative:page;" filled="f" stroked="f" coordsize="21600,21600">
            <v:path/>
            <v:fill on="f" focussize="0,0"/>
            <v:stroke on="f"/>
            <v:imagedata o:title=""/>
            <o:lock v:ext="edit" aspectratio="f"/>
            <v:textbox inset="0mm,0mm,0mm,0mm">
              <w:txbxContent>
                <w:p w14:paraId="4550184B">
                  <w:pPr>
                    <w:spacing w:before="19" w:line="222" w:lineRule="auto"/>
                    <w:ind w:left="20"/>
                    <w:rPr>
                      <w:rFonts w:ascii="黑体" w:hAnsi="黑体" w:eastAsia="黑体" w:cs="黑体"/>
                      <w:sz w:val="27"/>
                      <w:szCs w:val="27"/>
                    </w:rPr>
                  </w:pPr>
                  <w:r>
                    <w:rPr>
                      <w:rFonts w:ascii="黑体" w:hAnsi="黑体" w:eastAsia="黑体" w:cs="黑体"/>
                      <w:b/>
                      <w:bCs/>
                      <w:spacing w:val="-13"/>
                      <w:sz w:val="27"/>
                      <w:szCs w:val="27"/>
                    </w:rPr>
                    <w:t>金融资本、资产运维整合</w:t>
                  </w:r>
                </w:p>
              </w:txbxContent>
            </v:textbox>
          </v:shape>
        </w:pict>
      </w:r>
      <w:r>
        <w:rPr>
          <w:rFonts w:ascii="黑体" w:hAnsi="黑体" w:eastAsia="黑体" w:cs="黑体"/>
          <w:b/>
          <w:bCs/>
          <w:spacing w:val="-13"/>
          <w:sz w:val="27"/>
          <w:szCs w:val="27"/>
        </w:rPr>
        <w:t>综合管理、领导能力提升</w:t>
      </w:r>
    </w:p>
    <w:p w14:paraId="33C81F28">
      <w:pPr>
        <w:spacing w:line="222" w:lineRule="auto"/>
        <w:rPr>
          <w:rFonts w:ascii="黑体" w:hAnsi="黑体" w:eastAsia="黑体" w:cs="黑体"/>
          <w:sz w:val="27"/>
          <w:szCs w:val="27"/>
        </w:rPr>
        <w:sectPr>
          <w:pgSz w:w="11900" w:h="16840"/>
          <w:pgMar w:top="400" w:right="0" w:bottom="0" w:left="0" w:header="0" w:footer="0" w:gutter="0"/>
          <w:cols w:space="720" w:num="1"/>
        </w:sectPr>
      </w:pPr>
    </w:p>
    <w:p w14:paraId="6356EB49">
      <w:pPr>
        <w:pStyle w:val="2"/>
        <w:spacing w:line="279" w:lineRule="auto"/>
      </w:pPr>
    </w:p>
    <w:p w14:paraId="1595FC4D">
      <w:pPr>
        <w:pStyle w:val="2"/>
        <w:spacing w:line="279" w:lineRule="auto"/>
      </w:pPr>
    </w:p>
    <w:p w14:paraId="63E30377">
      <w:pPr>
        <w:pStyle w:val="2"/>
        <w:spacing w:line="280" w:lineRule="auto"/>
      </w:pPr>
    </w:p>
    <w:p w14:paraId="6989562F">
      <w:pPr>
        <w:spacing w:before="156" w:line="222" w:lineRule="auto"/>
        <w:ind w:left="6"/>
        <w:rPr>
          <w:rFonts w:ascii="黑体" w:hAnsi="黑体" w:eastAsia="黑体" w:cs="黑体"/>
          <w:sz w:val="48"/>
          <w:szCs w:val="48"/>
        </w:rPr>
      </w:pPr>
      <w:r>
        <w:rPr>
          <w:rFonts w:ascii="黑体" w:hAnsi="黑体" w:eastAsia="黑体" w:cs="黑体"/>
          <w:b/>
          <w:bCs/>
          <w:spacing w:val="-11"/>
          <w:sz w:val="48"/>
          <w:szCs w:val="48"/>
        </w:rPr>
        <w:t>五大模块</w:t>
      </w:r>
    </w:p>
    <w:p w14:paraId="786C542B">
      <w:pPr>
        <w:pStyle w:val="2"/>
        <w:spacing w:line="253" w:lineRule="auto"/>
      </w:pPr>
    </w:p>
    <w:p w14:paraId="7F151C78">
      <w:pPr>
        <w:pStyle w:val="2"/>
        <w:spacing w:line="253" w:lineRule="auto"/>
      </w:pPr>
    </w:p>
    <w:p w14:paraId="32DBACC9">
      <w:pPr>
        <w:spacing w:before="110" w:line="222" w:lineRule="auto"/>
        <w:ind w:left="4"/>
        <w:rPr>
          <w:rFonts w:ascii="黑体" w:hAnsi="黑体" w:eastAsia="黑体" w:cs="黑体"/>
          <w:sz w:val="34"/>
          <w:szCs w:val="34"/>
        </w:rPr>
      </w:pPr>
      <w:r>
        <w:rPr>
          <w:rFonts w:ascii="黑体" w:hAnsi="黑体" w:eastAsia="黑体" w:cs="黑体"/>
          <w:b/>
          <w:bCs/>
          <w:color w:val="00BFAB"/>
          <w:spacing w:val="-23"/>
          <w:sz w:val="34"/>
          <w:szCs w:val="34"/>
        </w:rPr>
        <w:t>模块一：宏</w:t>
      </w:r>
      <w:r>
        <w:rPr>
          <w:rFonts w:ascii="黑体" w:hAnsi="黑体" w:eastAsia="黑体" w:cs="黑体"/>
          <w:b/>
          <w:bCs/>
          <w:color w:val="5ACA04"/>
          <w:spacing w:val="-23"/>
          <w:sz w:val="34"/>
          <w:szCs w:val="34"/>
        </w:rPr>
        <w:t>观经济周期趋势与政策环境分析</w:t>
      </w:r>
    </w:p>
    <w:p w14:paraId="4851E03D">
      <w:pPr>
        <w:spacing w:before="272" w:line="228" w:lineRule="auto"/>
        <w:rPr>
          <w:rFonts w:ascii="黑体" w:hAnsi="黑体" w:eastAsia="黑体" w:cs="黑体"/>
          <w:sz w:val="23"/>
          <w:szCs w:val="23"/>
        </w:rPr>
      </w:pPr>
      <w:r>
        <w:rPr>
          <w:rFonts w:ascii="黑体" w:hAnsi="黑体" w:eastAsia="黑体" w:cs="黑体"/>
          <w:spacing w:val="-5"/>
          <w:sz w:val="23"/>
          <w:szCs w:val="23"/>
        </w:rPr>
        <w:t>□大国博弈：世界格局的分化与重塑</w:t>
      </w:r>
      <w:r>
        <w:rPr>
          <w:rFonts w:ascii="黑体" w:hAnsi="黑体" w:eastAsia="黑体" w:cs="黑体"/>
          <w:spacing w:val="2"/>
          <w:sz w:val="23"/>
          <w:szCs w:val="23"/>
        </w:rPr>
        <w:t xml:space="preserve">                  </w:t>
      </w:r>
      <w:r>
        <w:rPr>
          <w:rFonts w:ascii="黑体" w:hAnsi="黑体" w:eastAsia="黑体" w:cs="黑体"/>
          <w:spacing w:val="-5"/>
          <w:sz w:val="23"/>
          <w:szCs w:val="23"/>
        </w:rPr>
        <w:t>□宏观经济</w:t>
      </w:r>
      <w:r>
        <w:rPr>
          <w:rFonts w:ascii="黑体" w:hAnsi="黑体" w:eastAsia="黑体" w:cs="黑体"/>
          <w:spacing w:val="-6"/>
          <w:sz w:val="23"/>
          <w:szCs w:val="23"/>
        </w:rPr>
        <w:t>周期与产业政策、趋势分析</w:t>
      </w:r>
    </w:p>
    <w:p w14:paraId="17DF1AF6">
      <w:pPr>
        <w:spacing w:before="185" w:line="221" w:lineRule="auto"/>
        <w:rPr>
          <w:rFonts w:ascii="黑体" w:hAnsi="黑体" w:eastAsia="黑体" w:cs="黑体"/>
          <w:sz w:val="23"/>
          <w:szCs w:val="23"/>
        </w:rPr>
      </w:pPr>
      <w:r>
        <w:rPr>
          <w:rFonts w:ascii="黑体" w:hAnsi="黑体" w:eastAsia="黑体" w:cs="黑体"/>
          <w:spacing w:val="2"/>
          <w:sz w:val="23"/>
          <w:szCs w:val="23"/>
        </w:rPr>
        <w:t>□世界各国金融形势与货币政策对未来影响           □重点经济区域发展机遇</w:t>
      </w:r>
      <w:r>
        <w:rPr>
          <w:rFonts w:ascii="黑体" w:hAnsi="黑体" w:eastAsia="黑体" w:cs="黑体"/>
          <w:spacing w:val="1"/>
          <w:sz w:val="23"/>
          <w:szCs w:val="23"/>
        </w:rPr>
        <w:t>与产业结构</w:t>
      </w:r>
    </w:p>
    <w:p w14:paraId="45955C76">
      <w:pPr>
        <w:spacing w:before="184" w:line="221" w:lineRule="auto"/>
        <w:rPr>
          <w:rFonts w:ascii="黑体" w:hAnsi="黑体" w:eastAsia="黑体" w:cs="黑体"/>
          <w:sz w:val="23"/>
          <w:szCs w:val="23"/>
        </w:rPr>
      </w:pPr>
      <w:r>
        <w:rPr>
          <w:rFonts w:ascii="黑体" w:hAnsi="黑体" w:eastAsia="黑体" w:cs="黑体"/>
          <w:spacing w:val="2"/>
          <w:sz w:val="23"/>
          <w:szCs w:val="23"/>
        </w:rPr>
        <w:t>□全球化与逆全球化背景下的中国战略               □</w:t>
      </w:r>
      <w:r>
        <w:rPr>
          <w:rFonts w:ascii="黑体" w:hAnsi="黑体" w:eastAsia="黑体" w:cs="黑体"/>
          <w:spacing w:val="1"/>
          <w:sz w:val="23"/>
          <w:szCs w:val="23"/>
        </w:rPr>
        <w:t>解读未来五年国家发展规划战略与导向</w:t>
      </w:r>
    </w:p>
    <w:p w14:paraId="50EAAAD8">
      <w:pPr>
        <w:spacing w:before="185" w:line="221" w:lineRule="auto"/>
        <w:rPr>
          <w:rFonts w:ascii="黑体" w:hAnsi="黑体" w:eastAsia="黑体" w:cs="黑体"/>
          <w:sz w:val="23"/>
          <w:szCs w:val="23"/>
        </w:rPr>
      </w:pPr>
      <w:r>
        <w:rPr>
          <w:rFonts w:ascii="黑体" w:hAnsi="黑体" w:eastAsia="黑体" w:cs="黑体"/>
          <w:spacing w:val="2"/>
          <w:sz w:val="23"/>
          <w:szCs w:val="23"/>
        </w:rPr>
        <w:t>□世界各国不同发展阶段产业发展规律借鉴           □中国特色的政治经</w:t>
      </w:r>
      <w:r>
        <w:rPr>
          <w:rFonts w:ascii="黑体" w:hAnsi="黑体" w:eastAsia="黑体" w:cs="黑体"/>
          <w:spacing w:val="1"/>
          <w:sz w:val="23"/>
          <w:szCs w:val="23"/>
        </w:rPr>
        <w:t>济学分析与解读</w:t>
      </w:r>
    </w:p>
    <w:p w14:paraId="49158FBA">
      <w:pPr>
        <w:pStyle w:val="2"/>
        <w:spacing w:line="253" w:lineRule="auto"/>
      </w:pPr>
    </w:p>
    <w:p w14:paraId="62CDCCD8">
      <w:pPr>
        <w:pStyle w:val="2"/>
        <w:spacing w:line="253" w:lineRule="auto"/>
      </w:pPr>
    </w:p>
    <w:p w14:paraId="57F650C4">
      <w:pPr>
        <w:pStyle w:val="2"/>
        <w:spacing w:line="253" w:lineRule="auto"/>
      </w:pPr>
    </w:p>
    <w:p w14:paraId="2F1CFC35">
      <w:pPr>
        <w:pStyle w:val="2"/>
        <w:spacing w:line="253" w:lineRule="auto"/>
      </w:pPr>
    </w:p>
    <w:p w14:paraId="45754F41">
      <w:pPr>
        <w:pStyle w:val="2"/>
        <w:spacing w:line="253" w:lineRule="auto"/>
      </w:pPr>
    </w:p>
    <w:p w14:paraId="6B9223EA">
      <w:pPr>
        <w:spacing w:before="110" w:line="221" w:lineRule="auto"/>
        <w:ind w:left="4"/>
        <w:rPr>
          <w:rFonts w:ascii="黑体" w:hAnsi="黑体" w:eastAsia="黑体" w:cs="黑体"/>
          <w:sz w:val="34"/>
          <w:szCs w:val="34"/>
        </w:rPr>
      </w:pPr>
      <w:r>
        <w:rPr>
          <w:rFonts w:ascii="黑体" w:hAnsi="黑体" w:eastAsia="黑体" w:cs="黑体"/>
          <w:b/>
          <w:bCs/>
          <w:color w:val="00C28E"/>
          <w:spacing w:val="-30"/>
          <w:sz w:val="34"/>
          <w:szCs w:val="34"/>
        </w:rPr>
        <w:t>模块二：城</w:t>
      </w:r>
      <w:r>
        <w:rPr>
          <w:rFonts w:ascii="黑体" w:hAnsi="黑体" w:eastAsia="黑体" w:cs="黑体"/>
          <w:b/>
          <w:bCs/>
          <w:color w:val="5DC800"/>
          <w:spacing w:val="-30"/>
          <w:sz w:val="34"/>
          <w:szCs w:val="34"/>
        </w:rPr>
        <w:t>建、新基建与地产后开发时代新机遇</w:t>
      </w:r>
    </w:p>
    <w:p w14:paraId="7C1B4D5A">
      <w:pPr>
        <w:spacing w:before="43"/>
      </w:pPr>
    </w:p>
    <w:p w14:paraId="366D42DC">
      <w:pPr>
        <w:sectPr>
          <w:pgSz w:w="11900" w:h="16840"/>
          <w:pgMar w:top="400" w:right="922" w:bottom="0" w:left="659" w:header="0" w:footer="0" w:gutter="0"/>
          <w:cols w:equalWidth="0" w:num="1">
            <w:col w:w="10318"/>
          </w:cols>
        </w:sectPr>
      </w:pPr>
    </w:p>
    <w:p w14:paraId="1D2188BA">
      <w:pPr>
        <w:spacing w:before="2" w:line="220" w:lineRule="auto"/>
        <w:rPr>
          <w:rFonts w:ascii="黑体" w:hAnsi="黑体" w:eastAsia="黑体" w:cs="黑体"/>
          <w:sz w:val="23"/>
          <w:szCs w:val="23"/>
        </w:rPr>
      </w:pPr>
      <w:r>
        <w:rPr>
          <w:rFonts w:ascii="黑体" w:hAnsi="黑体" w:eastAsia="黑体" w:cs="黑体"/>
          <w:spacing w:val="1"/>
          <w:sz w:val="23"/>
          <w:szCs w:val="23"/>
        </w:rPr>
        <w:t>□新基建在后开发时代的机遇与模式探索</w:t>
      </w:r>
    </w:p>
    <w:p w14:paraId="0C7EC87C">
      <w:pPr>
        <w:spacing w:before="204" w:line="221" w:lineRule="auto"/>
        <w:rPr>
          <w:rFonts w:ascii="黑体" w:hAnsi="黑体" w:eastAsia="黑体" w:cs="黑体"/>
          <w:sz w:val="23"/>
          <w:szCs w:val="23"/>
        </w:rPr>
      </w:pPr>
      <w:r>
        <w:rPr>
          <w:rFonts w:ascii="黑体" w:hAnsi="黑体" w:eastAsia="黑体" w:cs="黑体"/>
          <w:spacing w:val="1"/>
          <w:sz w:val="23"/>
          <w:szCs w:val="23"/>
        </w:rPr>
        <w:t>□新基建新在哪?介入的方式和盈利空间</w:t>
      </w:r>
    </w:p>
    <w:p w14:paraId="0C972483">
      <w:pPr>
        <w:spacing w:before="185" w:line="221" w:lineRule="auto"/>
        <w:rPr>
          <w:rFonts w:ascii="黑体" w:hAnsi="黑体" w:eastAsia="黑体" w:cs="黑体"/>
          <w:sz w:val="23"/>
          <w:szCs w:val="23"/>
        </w:rPr>
      </w:pPr>
      <w:r>
        <w:rPr>
          <w:rFonts w:ascii="黑体" w:hAnsi="黑体" w:eastAsia="黑体" w:cs="黑体"/>
          <w:spacing w:val="1"/>
          <w:sz w:val="23"/>
          <w:szCs w:val="23"/>
        </w:rPr>
        <w:t>□新型城镇化建设与产城融合带来的机遇</w:t>
      </w:r>
    </w:p>
    <w:p w14:paraId="0D1C5806">
      <w:pPr>
        <w:spacing w:before="184" w:line="221" w:lineRule="auto"/>
        <w:rPr>
          <w:rFonts w:ascii="黑体" w:hAnsi="黑体" w:eastAsia="黑体" w:cs="黑体"/>
          <w:sz w:val="23"/>
          <w:szCs w:val="23"/>
        </w:rPr>
      </w:pPr>
      <w:r>
        <w:rPr>
          <w:rFonts w:ascii="黑体" w:hAnsi="黑体" w:eastAsia="黑体" w:cs="黑体"/>
          <w:spacing w:val="-6"/>
          <w:sz w:val="23"/>
          <w:szCs w:val="23"/>
        </w:rPr>
        <w:t>□国内城建与地产开发、投资环境与趋势</w:t>
      </w:r>
    </w:p>
    <w:p w14:paraId="65011D45">
      <w:pPr>
        <w:spacing w:before="185" w:line="221" w:lineRule="auto"/>
        <w:rPr>
          <w:rFonts w:ascii="黑体" w:hAnsi="黑体" w:eastAsia="黑体" w:cs="黑体"/>
          <w:sz w:val="23"/>
          <w:szCs w:val="23"/>
        </w:rPr>
      </w:pPr>
      <w:r>
        <w:rPr>
          <w:rFonts w:ascii="黑体" w:hAnsi="黑体" w:eastAsia="黑体" w:cs="黑体"/>
          <w:spacing w:val="1"/>
          <w:sz w:val="23"/>
          <w:szCs w:val="23"/>
        </w:rPr>
        <w:t>□传统地产商业模式困境与创新方向</w:t>
      </w:r>
    </w:p>
    <w:p w14:paraId="73A97FC6">
      <w:pPr>
        <w:spacing w:before="184" w:line="220" w:lineRule="auto"/>
        <w:rPr>
          <w:rFonts w:ascii="黑体" w:hAnsi="黑体" w:eastAsia="黑体" w:cs="黑体"/>
          <w:sz w:val="23"/>
          <w:szCs w:val="23"/>
        </w:rPr>
      </w:pPr>
      <w:r>
        <w:rPr>
          <w:rFonts w:ascii="黑体" w:hAnsi="黑体" w:eastAsia="黑体" w:cs="黑体"/>
          <w:sz w:val="23"/>
          <w:szCs w:val="23"/>
        </w:rPr>
        <w:t>□不同类型房企战略性转型升级的模式与路径</w:t>
      </w:r>
    </w:p>
    <w:p w14:paraId="3C123996">
      <w:pPr>
        <w:spacing w:before="177" w:line="221" w:lineRule="auto"/>
        <w:rPr>
          <w:rFonts w:ascii="黑体" w:hAnsi="黑体" w:eastAsia="黑体" w:cs="黑体"/>
          <w:sz w:val="23"/>
          <w:szCs w:val="23"/>
        </w:rPr>
      </w:pPr>
      <w:r>
        <w:rPr>
          <w:rFonts w:ascii="黑体" w:hAnsi="黑体" w:eastAsia="黑体" w:cs="黑体"/>
          <w:spacing w:val="1"/>
          <w:sz w:val="23"/>
          <w:szCs w:val="23"/>
        </w:rPr>
        <w:t>□后开发时代地产开发5大核心关键指标</w:t>
      </w:r>
    </w:p>
    <w:p w14:paraId="55EE9F48">
      <w:pPr>
        <w:spacing w:before="184" w:line="221" w:lineRule="auto"/>
        <w:rPr>
          <w:rFonts w:ascii="黑体" w:hAnsi="黑体" w:eastAsia="黑体" w:cs="黑体"/>
          <w:sz w:val="23"/>
          <w:szCs w:val="23"/>
        </w:rPr>
      </w:pPr>
      <w:r>
        <w:rPr>
          <w:rFonts w:ascii="黑体" w:hAnsi="黑体" w:eastAsia="黑体" w:cs="黑体"/>
          <w:spacing w:val="-5"/>
          <w:sz w:val="23"/>
          <w:szCs w:val="23"/>
        </w:rPr>
        <w:t>□产业地产的政策环境、市场前景与发展趋势</w:t>
      </w:r>
    </w:p>
    <w:p w14:paraId="38BB5F58">
      <w:pPr>
        <w:spacing w:before="205" w:line="221" w:lineRule="auto"/>
        <w:rPr>
          <w:rFonts w:ascii="黑体" w:hAnsi="黑体" w:eastAsia="黑体" w:cs="黑体"/>
          <w:sz w:val="23"/>
          <w:szCs w:val="23"/>
        </w:rPr>
      </w:pPr>
      <w:r>
        <w:rPr>
          <w:rFonts w:ascii="黑体" w:hAnsi="黑体" w:eastAsia="黑体" w:cs="黑体"/>
          <w:spacing w:val="-5"/>
          <w:sz w:val="23"/>
          <w:szCs w:val="23"/>
        </w:rPr>
        <w:t>□文旅、康养产业的市场前景与创新发展模式</w:t>
      </w:r>
    </w:p>
    <w:p w14:paraId="3F1BA8C6">
      <w:pPr>
        <w:spacing w:before="185" w:line="221" w:lineRule="auto"/>
        <w:rPr>
          <w:rFonts w:ascii="黑体" w:hAnsi="黑体" w:eastAsia="黑体" w:cs="黑体"/>
          <w:sz w:val="23"/>
          <w:szCs w:val="23"/>
        </w:rPr>
      </w:pPr>
      <w:r>
        <w:rPr>
          <w:rFonts w:ascii="黑体" w:hAnsi="黑体" w:eastAsia="黑体" w:cs="黑体"/>
          <w:spacing w:val="-5"/>
          <w:sz w:val="23"/>
          <w:szCs w:val="23"/>
        </w:rPr>
        <w:t>□产业园区与工业园区的开发、招商与运营管理</w:t>
      </w:r>
    </w:p>
    <w:p w14:paraId="4CBDA8CD">
      <w:pPr>
        <w:pStyle w:val="2"/>
        <w:spacing w:line="245" w:lineRule="auto"/>
      </w:pPr>
    </w:p>
    <w:p w14:paraId="739907D9">
      <w:pPr>
        <w:pStyle w:val="2"/>
        <w:spacing w:line="245" w:lineRule="auto"/>
      </w:pPr>
    </w:p>
    <w:p w14:paraId="11A528A5">
      <w:pPr>
        <w:pStyle w:val="2"/>
        <w:spacing w:line="245" w:lineRule="auto"/>
      </w:pPr>
    </w:p>
    <w:p w14:paraId="560D0E48">
      <w:pPr>
        <w:pStyle w:val="2"/>
        <w:spacing w:line="245" w:lineRule="auto"/>
      </w:pPr>
    </w:p>
    <w:p w14:paraId="0FB856CC">
      <w:pPr>
        <w:pStyle w:val="2"/>
        <w:spacing w:line="245" w:lineRule="auto"/>
      </w:pPr>
    </w:p>
    <w:p w14:paraId="7CEB4900">
      <w:pPr>
        <w:spacing w:before="111" w:line="221" w:lineRule="auto"/>
        <w:ind w:left="4"/>
        <w:rPr>
          <w:rFonts w:ascii="黑体" w:hAnsi="黑体" w:eastAsia="黑体" w:cs="黑体"/>
          <w:sz w:val="34"/>
          <w:szCs w:val="34"/>
        </w:rPr>
      </w:pPr>
      <w:r>
        <w:rPr>
          <w:rFonts w:ascii="黑体" w:hAnsi="黑体" w:eastAsia="黑体" w:cs="黑体"/>
          <w:b/>
          <w:bCs/>
          <w:color w:val="00C2A1"/>
          <w:spacing w:val="-25"/>
          <w:sz w:val="34"/>
          <w:szCs w:val="34"/>
        </w:rPr>
        <w:t>模块三：</w:t>
      </w:r>
      <w:r>
        <w:rPr>
          <w:rFonts w:ascii="黑体" w:hAnsi="黑体" w:eastAsia="黑体" w:cs="黑体"/>
          <w:b/>
          <w:bCs/>
          <w:color w:val="57CB00"/>
          <w:spacing w:val="-25"/>
          <w:sz w:val="34"/>
          <w:szCs w:val="34"/>
        </w:rPr>
        <w:t>企业运营管理提升与模式创新</w:t>
      </w:r>
    </w:p>
    <w:p w14:paraId="791E33C1">
      <w:pPr>
        <w:spacing w:before="286" w:line="222" w:lineRule="auto"/>
        <w:rPr>
          <w:rFonts w:ascii="黑体" w:hAnsi="黑体" w:eastAsia="黑体" w:cs="黑体"/>
          <w:sz w:val="23"/>
          <w:szCs w:val="23"/>
        </w:rPr>
      </w:pPr>
      <w:r>
        <w:rPr>
          <w:rFonts w:ascii="黑体" w:hAnsi="黑体" w:eastAsia="黑体" w:cs="黑体"/>
          <w:spacing w:val="4"/>
          <w:sz w:val="23"/>
          <w:szCs w:val="23"/>
        </w:rPr>
        <w:t>□企业品牌与战略管理</w:t>
      </w:r>
    </w:p>
    <w:p w14:paraId="2F11F462">
      <w:pPr>
        <w:spacing w:before="182" w:line="222" w:lineRule="auto"/>
        <w:rPr>
          <w:rFonts w:ascii="黑体" w:hAnsi="黑体" w:eastAsia="黑体" w:cs="黑体"/>
          <w:sz w:val="23"/>
          <w:szCs w:val="23"/>
        </w:rPr>
      </w:pPr>
      <w:r>
        <w:rPr>
          <w:rFonts w:ascii="黑体" w:hAnsi="黑体" w:eastAsia="黑体" w:cs="黑体"/>
          <w:spacing w:val="-6"/>
          <w:sz w:val="23"/>
          <w:szCs w:val="23"/>
        </w:rPr>
        <w:t>□人才领航：打造面向未来的人才战略体系</w:t>
      </w:r>
    </w:p>
    <w:p w14:paraId="3558EF52">
      <w:pPr>
        <w:spacing w:before="175" w:line="223" w:lineRule="auto"/>
        <w:rPr>
          <w:rFonts w:ascii="黑体" w:hAnsi="黑体" w:eastAsia="黑体" w:cs="黑体"/>
          <w:sz w:val="23"/>
          <w:szCs w:val="23"/>
        </w:rPr>
      </w:pPr>
      <w:r>
        <w:rPr>
          <w:rFonts w:ascii="黑体" w:hAnsi="黑体" w:eastAsia="黑体" w:cs="黑体"/>
          <w:spacing w:val="-5"/>
          <w:sz w:val="23"/>
          <w:szCs w:val="23"/>
        </w:rPr>
        <w:t>□运营管理体系搭建、关键点管控与运营机制</w:t>
      </w:r>
    </w:p>
    <w:p w14:paraId="337B5D11">
      <w:pPr>
        <w:spacing w:before="200" w:line="221" w:lineRule="auto"/>
        <w:rPr>
          <w:rFonts w:ascii="黑体" w:hAnsi="黑体" w:eastAsia="黑体" w:cs="黑体"/>
          <w:sz w:val="23"/>
          <w:szCs w:val="23"/>
        </w:rPr>
      </w:pPr>
      <w:r>
        <w:rPr>
          <w:rFonts w:ascii="黑体" w:hAnsi="黑体" w:eastAsia="黑体" w:cs="黑体"/>
          <w:spacing w:val="1"/>
          <w:sz w:val="23"/>
          <w:szCs w:val="23"/>
        </w:rPr>
        <w:t>□商业模式持续迭代创新与再造</w:t>
      </w:r>
    </w:p>
    <w:p w14:paraId="66C91FC8">
      <w:pPr>
        <w:spacing w:before="185" w:line="221" w:lineRule="auto"/>
        <w:rPr>
          <w:rFonts w:ascii="黑体" w:hAnsi="黑体" w:eastAsia="黑体" w:cs="黑体"/>
          <w:sz w:val="23"/>
          <w:szCs w:val="23"/>
        </w:rPr>
      </w:pPr>
      <w:r>
        <w:rPr>
          <w:rFonts w:ascii="黑体" w:hAnsi="黑体" w:eastAsia="黑体" w:cs="黑体"/>
          <w:spacing w:val="-6"/>
          <w:sz w:val="23"/>
          <w:szCs w:val="23"/>
        </w:rPr>
        <w:t>□企业重要业务开拓模式、路径与客户维护工作坊</w:t>
      </w:r>
    </w:p>
    <w:p w14:paraId="146F6C75">
      <w:pPr>
        <w:spacing w:before="185" w:line="187" w:lineRule="auto"/>
        <w:rPr>
          <w:rFonts w:ascii="黑体" w:hAnsi="黑体" w:eastAsia="黑体" w:cs="黑体"/>
          <w:sz w:val="23"/>
          <w:szCs w:val="23"/>
        </w:rPr>
      </w:pPr>
      <w:r>
        <w:rPr>
          <w:rFonts w:ascii="黑体" w:hAnsi="黑体" w:eastAsia="黑体" w:cs="黑体"/>
          <w:sz w:val="23"/>
          <w:szCs w:val="23"/>
        </w:rPr>
        <w:t>□数字化时代新媒体营销思维创新与社群经营</w:t>
      </w:r>
    </w:p>
    <w:p w14:paraId="44710E1A">
      <w:pPr>
        <w:pStyle w:val="2"/>
        <w:spacing w:line="14" w:lineRule="auto"/>
        <w:rPr>
          <w:sz w:val="2"/>
        </w:rPr>
      </w:pPr>
      <w:r>
        <w:rPr>
          <w:sz w:val="2"/>
          <w:szCs w:val="2"/>
        </w:rPr>
        <w:br w:type="column"/>
      </w:r>
    </w:p>
    <w:p w14:paraId="31D2E566">
      <w:pPr>
        <w:spacing w:before="1" w:line="219" w:lineRule="auto"/>
        <w:rPr>
          <w:rFonts w:ascii="黑体" w:hAnsi="黑体" w:eastAsia="黑体" w:cs="黑体"/>
          <w:sz w:val="23"/>
          <w:szCs w:val="23"/>
        </w:rPr>
      </w:pPr>
      <w:r>
        <w:rPr>
          <w:rFonts w:hint="eastAsia" w:ascii="黑体" w:hAnsi="黑体" w:eastAsia="黑体" w:cs="黑体"/>
          <w:spacing w:val="2"/>
          <w:sz w:val="23"/>
          <w:szCs w:val="23"/>
          <w:lang w:eastAsia="zh-CN"/>
        </w:rPr>
        <w:t>□</w:t>
      </w:r>
      <w:r>
        <w:rPr>
          <w:rFonts w:ascii="黑体" w:hAnsi="黑体" w:eastAsia="黑体" w:cs="黑体"/>
          <w:spacing w:val="2"/>
          <w:sz w:val="23"/>
          <w:szCs w:val="23"/>
        </w:rPr>
        <w:t>城市更新项目的难点痛点解析</w:t>
      </w:r>
    </w:p>
    <w:p w14:paraId="1C3CF1AC">
      <w:pPr>
        <w:spacing w:before="205" w:line="221" w:lineRule="auto"/>
        <w:rPr>
          <w:rFonts w:ascii="黑体" w:hAnsi="黑体" w:eastAsia="黑体" w:cs="黑体"/>
          <w:sz w:val="23"/>
          <w:szCs w:val="23"/>
        </w:rPr>
      </w:pPr>
      <w:r>
        <w:rPr>
          <w:rFonts w:ascii="黑体" w:hAnsi="黑体" w:eastAsia="黑体" w:cs="黑体"/>
          <w:sz w:val="23"/>
          <w:szCs w:val="23"/>
        </w:rPr>
        <w:t>□商业地产发展周期与商业地产模式升级</w:t>
      </w:r>
    </w:p>
    <w:p w14:paraId="51C97629">
      <w:pPr>
        <w:spacing w:before="185" w:line="222" w:lineRule="auto"/>
        <w:rPr>
          <w:rFonts w:ascii="黑体" w:hAnsi="黑体" w:eastAsia="黑体" w:cs="黑体"/>
          <w:sz w:val="23"/>
          <w:szCs w:val="23"/>
        </w:rPr>
      </w:pPr>
      <w:r>
        <w:rPr>
          <w:rFonts w:ascii="黑体" w:hAnsi="黑体" w:eastAsia="黑体" w:cs="黑体"/>
          <w:spacing w:val="-6"/>
          <w:sz w:val="23"/>
          <w:szCs w:val="23"/>
        </w:rPr>
        <w:t>□乡村振兴政策红利、产业机遇与挑战</w:t>
      </w:r>
    </w:p>
    <w:p w14:paraId="2FFDF69B">
      <w:pPr>
        <w:spacing w:before="184" w:line="222" w:lineRule="auto"/>
        <w:rPr>
          <w:rFonts w:ascii="黑体" w:hAnsi="黑体" w:eastAsia="黑体" w:cs="黑体"/>
          <w:sz w:val="23"/>
          <w:szCs w:val="23"/>
        </w:rPr>
      </w:pPr>
      <w:r>
        <w:rPr>
          <w:rFonts w:ascii="黑体" w:hAnsi="黑体" w:eastAsia="黑体" w:cs="黑体"/>
          <w:spacing w:val="-5"/>
          <w:sz w:val="23"/>
          <w:szCs w:val="23"/>
        </w:rPr>
        <w:t>□基于产品力提升的项目前期策划、精准定位</w:t>
      </w:r>
    </w:p>
    <w:p w14:paraId="2CA5DEAC">
      <w:pPr>
        <w:spacing w:before="183" w:line="221" w:lineRule="auto"/>
        <w:rPr>
          <w:rFonts w:ascii="黑体" w:hAnsi="黑体" w:eastAsia="黑体" w:cs="黑体"/>
          <w:sz w:val="23"/>
          <w:szCs w:val="23"/>
        </w:rPr>
      </w:pPr>
      <w:r>
        <w:rPr>
          <w:rFonts w:ascii="黑体" w:hAnsi="黑体" w:eastAsia="黑体" w:cs="黑体"/>
          <w:spacing w:val="-5"/>
          <w:sz w:val="23"/>
          <w:szCs w:val="23"/>
        </w:rPr>
        <w:t>□项目总产品研发、定位与设计把控及案例</w:t>
      </w:r>
    </w:p>
    <w:p w14:paraId="2E8FCD66">
      <w:pPr>
        <w:spacing w:before="185" w:line="222" w:lineRule="auto"/>
        <w:rPr>
          <w:rFonts w:ascii="黑体" w:hAnsi="黑体" w:eastAsia="黑体" w:cs="黑体"/>
          <w:sz w:val="23"/>
          <w:szCs w:val="23"/>
        </w:rPr>
      </w:pPr>
      <w:r>
        <w:rPr>
          <w:rFonts w:ascii="黑体" w:hAnsi="黑体" w:eastAsia="黑体" w:cs="黑体"/>
          <w:spacing w:val="1"/>
          <w:sz w:val="23"/>
          <w:szCs w:val="23"/>
        </w:rPr>
        <w:t>□全程精细化工程项目管理与成本控制</w:t>
      </w:r>
    </w:p>
    <w:p w14:paraId="6123A719">
      <w:pPr>
        <w:spacing w:before="173" w:line="221" w:lineRule="auto"/>
        <w:jc w:val="right"/>
        <w:rPr>
          <w:rFonts w:ascii="黑体" w:hAnsi="黑体" w:eastAsia="黑体" w:cs="黑体"/>
          <w:sz w:val="23"/>
          <w:szCs w:val="23"/>
        </w:rPr>
      </w:pPr>
      <w:r>
        <w:rPr>
          <w:rFonts w:ascii="黑体" w:hAnsi="黑体" w:eastAsia="黑体" w:cs="黑体"/>
          <w:spacing w:val="-11"/>
          <w:sz w:val="23"/>
          <w:szCs w:val="23"/>
        </w:rPr>
        <w:t>□新科技、新材料、人工智能如何赋能项目成功</w:t>
      </w:r>
    </w:p>
    <w:p w14:paraId="46CA3365">
      <w:pPr>
        <w:spacing w:before="184" w:line="221" w:lineRule="auto"/>
        <w:rPr>
          <w:rFonts w:ascii="黑体" w:hAnsi="黑体" w:eastAsia="黑体" w:cs="黑体"/>
          <w:sz w:val="23"/>
          <w:szCs w:val="23"/>
        </w:rPr>
      </w:pPr>
      <w:r>
        <w:rPr>
          <w:rFonts w:ascii="黑体" w:hAnsi="黑体" w:eastAsia="黑体" w:cs="黑体"/>
          <w:sz w:val="23"/>
          <w:szCs w:val="23"/>
        </w:rPr>
        <w:t>□物业管理思维革新与社区多种经营创新</w:t>
      </w:r>
    </w:p>
    <w:p w14:paraId="3BCDC196">
      <w:pPr>
        <w:spacing w:before="184" w:line="220" w:lineRule="auto"/>
        <w:rPr>
          <w:rFonts w:ascii="黑体" w:hAnsi="黑体" w:eastAsia="黑体" w:cs="黑体"/>
          <w:sz w:val="23"/>
          <w:szCs w:val="23"/>
        </w:rPr>
      </w:pPr>
      <w:r>
        <w:rPr>
          <w:rFonts w:ascii="黑体" w:hAnsi="黑体" w:eastAsia="黑体" w:cs="黑体"/>
          <w:spacing w:val="-6"/>
          <w:sz w:val="23"/>
          <w:szCs w:val="23"/>
        </w:rPr>
        <w:t>□保障性住房与长租公寓开发、运营新模式</w:t>
      </w:r>
    </w:p>
    <w:p w14:paraId="5F16661D">
      <w:pPr>
        <w:spacing w:before="207" w:line="221" w:lineRule="auto"/>
        <w:rPr>
          <w:rFonts w:ascii="黑体" w:hAnsi="黑体" w:eastAsia="黑体" w:cs="黑体"/>
          <w:sz w:val="23"/>
          <w:szCs w:val="23"/>
        </w:rPr>
      </w:pPr>
      <w:r>
        <w:rPr>
          <w:rFonts w:ascii="黑体" w:hAnsi="黑体" w:eastAsia="黑体" w:cs="黑体"/>
          <w:spacing w:val="1"/>
          <w:sz w:val="23"/>
          <w:szCs w:val="23"/>
        </w:rPr>
        <w:t>□海外地产投资开发模式与路径研讨</w:t>
      </w:r>
    </w:p>
    <w:p w14:paraId="26313284">
      <w:pPr>
        <w:pStyle w:val="2"/>
        <w:spacing w:line="243" w:lineRule="auto"/>
      </w:pPr>
    </w:p>
    <w:p w14:paraId="0ADADE39">
      <w:pPr>
        <w:pStyle w:val="2"/>
        <w:spacing w:line="243" w:lineRule="auto"/>
      </w:pPr>
    </w:p>
    <w:p w14:paraId="76F05FEB">
      <w:pPr>
        <w:pStyle w:val="2"/>
        <w:spacing w:line="243" w:lineRule="auto"/>
      </w:pPr>
    </w:p>
    <w:p w14:paraId="44B4AC5A">
      <w:pPr>
        <w:pStyle w:val="2"/>
        <w:spacing w:line="243" w:lineRule="auto"/>
      </w:pPr>
    </w:p>
    <w:p w14:paraId="587DEDF1">
      <w:pPr>
        <w:pStyle w:val="2"/>
        <w:spacing w:line="244" w:lineRule="auto"/>
      </w:pPr>
    </w:p>
    <w:p w14:paraId="38B585A1">
      <w:pPr>
        <w:pStyle w:val="2"/>
        <w:spacing w:line="244" w:lineRule="auto"/>
      </w:pPr>
    </w:p>
    <w:p w14:paraId="29AD709F">
      <w:pPr>
        <w:pStyle w:val="2"/>
        <w:spacing w:line="244" w:lineRule="auto"/>
      </w:pPr>
    </w:p>
    <w:p w14:paraId="609F26F2">
      <w:pPr>
        <w:pStyle w:val="2"/>
        <w:spacing w:line="244" w:lineRule="auto"/>
      </w:pPr>
    </w:p>
    <w:p w14:paraId="5F9BA56D">
      <w:pPr>
        <w:spacing w:before="75" w:line="221" w:lineRule="auto"/>
        <w:rPr>
          <w:rFonts w:ascii="黑体" w:hAnsi="黑体" w:eastAsia="黑体" w:cs="黑体"/>
          <w:sz w:val="23"/>
          <w:szCs w:val="23"/>
        </w:rPr>
      </w:pPr>
      <w:r>
        <w:rPr>
          <w:rFonts w:ascii="黑体" w:hAnsi="黑体" w:eastAsia="黑体" w:cs="黑体"/>
          <w:sz w:val="23"/>
          <w:szCs w:val="23"/>
        </w:rPr>
        <w:t>□立体化新媒体营销矩阵体系构建与落地实施</w:t>
      </w:r>
    </w:p>
    <w:p w14:paraId="05FBB591">
      <w:pPr>
        <w:spacing w:before="185" w:line="222" w:lineRule="auto"/>
        <w:rPr>
          <w:rFonts w:ascii="黑体" w:hAnsi="黑体" w:eastAsia="黑体" w:cs="黑体"/>
          <w:sz w:val="23"/>
          <w:szCs w:val="23"/>
        </w:rPr>
      </w:pPr>
      <w:r>
        <w:rPr>
          <w:rFonts w:ascii="黑体" w:hAnsi="黑体" w:eastAsia="黑体" w:cs="黑体"/>
          <w:spacing w:val="1"/>
          <w:sz w:val="23"/>
          <w:szCs w:val="23"/>
        </w:rPr>
        <w:t>□企业数字化管理提升与应用案例</w:t>
      </w:r>
    </w:p>
    <w:p w14:paraId="512E97F3">
      <w:pPr>
        <w:spacing w:before="175" w:line="222" w:lineRule="auto"/>
        <w:rPr>
          <w:rFonts w:ascii="黑体" w:hAnsi="黑体" w:eastAsia="黑体" w:cs="黑体"/>
          <w:sz w:val="23"/>
          <w:szCs w:val="23"/>
        </w:rPr>
      </w:pPr>
      <w:r>
        <w:rPr>
          <w:rFonts w:ascii="黑体" w:hAnsi="黑体" w:eastAsia="黑体" w:cs="黑体"/>
          <w:spacing w:val="2"/>
          <w:sz w:val="23"/>
          <w:szCs w:val="23"/>
        </w:rPr>
        <w:t>□管理者的6大核心管理技能提升</w:t>
      </w:r>
    </w:p>
    <w:p w14:paraId="283112EC">
      <w:pPr>
        <w:spacing w:before="190" w:line="219" w:lineRule="auto"/>
        <w:rPr>
          <w:rFonts w:ascii="黑体" w:hAnsi="黑体" w:eastAsia="黑体" w:cs="黑体"/>
          <w:sz w:val="23"/>
          <w:szCs w:val="23"/>
        </w:rPr>
      </w:pPr>
      <w:r>
        <w:rPr>
          <w:rFonts w:ascii="黑体" w:hAnsi="黑体" w:eastAsia="黑体" w:cs="黑体"/>
          <w:spacing w:val="-6"/>
          <w:sz w:val="23"/>
          <w:szCs w:val="23"/>
        </w:rPr>
        <w:t>□领导力、管理能力及团队执行力提升</w:t>
      </w:r>
    </w:p>
    <w:p w14:paraId="5651A238">
      <w:pPr>
        <w:spacing w:before="201" w:line="223" w:lineRule="auto"/>
        <w:rPr>
          <w:rFonts w:ascii="黑体" w:hAnsi="黑体" w:eastAsia="黑体" w:cs="黑体"/>
          <w:sz w:val="23"/>
          <w:szCs w:val="23"/>
        </w:rPr>
      </w:pPr>
      <w:r>
        <w:rPr>
          <w:rFonts w:ascii="黑体" w:hAnsi="黑体" w:eastAsia="黑体" w:cs="黑体"/>
          <w:spacing w:val="3"/>
          <w:sz w:val="23"/>
          <w:szCs w:val="23"/>
        </w:rPr>
        <w:t>□易经管理智慧与企业管理应用</w:t>
      </w:r>
    </w:p>
    <w:p w14:paraId="6874AB81">
      <w:pPr>
        <w:spacing w:before="180" w:line="187" w:lineRule="auto"/>
        <w:rPr>
          <w:rFonts w:ascii="黑体" w:hAnsi="黑体" w:eastAsia="黑体" w:cs="黑体"/>
          <w:sz w:val="23"/>
          <w:szCs w:val="23"/>
        </w:rPr>
      </w:pPr>
      <w:r>
        <w:rPr>
          <w:rFonts w:ascii="黑体" w:hAnsi="黑体" w:eastAsia="黑体" w:cs="黑体"/>
          <w:spacing w:val="3"/>
          <w:sz w:val="23"/>
          <w:szCs w:val="23"/>
        </w:rPr>
        <w:t>□企业决策者人文哲学修养</w:t>
      </w:r>
    </w:p>
    <w:p w14:paraId="556B806A">
      <w:pPr>
        <w:spacing w:line="187" w:lineRule="auto"/>
        <w:rPr>
          <w:rFonts w:ascii="黑体" w:hAnsi="黑体" w:eastAsia="黑体" w:cs="黑体"/>
          <w:sz w:val="23"/>
          <w:szCs w:val="23"/>
        </w:rPr>
        <w:sectPr>
          <w:type w:val="continuous"/>
          <w:pgSz w:w="11900" w:h="16840"/>
          <w:pgMar w:top="400" w:right="922" w:bottom="0" w:left="659" w:header="0" w:footer="0" w:gutter="0"/>
          <w:cols w:equalWidth="0" w:num="2">
            <w:col w:w="5600" w:space="100"/>
            <w:col w:w="4618"/>
          </w:cols>
        </w:sectPr>
      </w:pPr>
    </w:p>
    <w:p w14:paraId="71A08638">
      <w:pPr>
        <w:pStyle w:val="2"/>
        <w:spacing w:line="285" w:lineRule="auto"/>
      </w:pPr>
    </w:p>
    <w:p w14:paraId="1422F342">
      <w:pPr>
        <w:pStyle w:val="2"/>
        <w:spacing w:line="285" w:lineRule="auto"/>
      </w:pPr>
    </w:p>
    <w:p w14:paraId="6894DE4D">
      <w:pPr>
        <w:pStyle w:val="2"/>
        <w:spacing w:line="285" w:lineRule="auto"/>
      </w:pPr>
    </w:p>
    <w:p w14:paraId="12FB9227">
      <w:pPr>
        <w:pStyle w:val="2"/>
        <w:spacing w:line="285" w:lineRule="auto"/>
      </w:pPr>
    </w:p>
    <w:p w14:paraId="68FBCE21">
      <w:pPr>
        <w:pStyle w:val="2"/>
        <w:spacing w:line="286" w:lineRule="auto"/>
      </w:pPr>
    </w:p>
    <w:p w14:paraId="3E215E9B">
      <w:pPr>
        <w:spacing w:before="111" w:line="221" w:lineRule="auto"/>
        <w:ind w:left="654"/>
        <w:rPr>
          <w:rFonts w:ascii="黑体" w:hAnsi="黑体" w:eastAsia="黑体" w:cs="黑体"/>
          <w:sz w:val="34"/>
          <w:szCs w:val="34"/>
        </w:rPr>
      </w:pPr>
      <w:r>
        <w:drawing>
          <wp:anchor distT="0" distB="0" distL="0" distR="0" simplePos="0" relativeHeight="251672576" behindDoc="1" locked="0" layoutInCell="1" allowOverlap="1">
            <wp:simplePos x="0" y="0"/>
            <wp:positionH relativeFrom="column">
              <wp:posOffset>0</wp:posOffset>
            </wp:positionH>
            <wp:positionV relativeFrom="paragraph">
              <wp:posOffset>-1165225</wp:posOffset>
            </wp:positionV>
            <wp:extent cx="7556500" cy="10693400"/>
            <wp:effectExtent l="0" t="0" r="0" b="0"/>
            <wp:wrapNone/>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20"/>
                    <a:stretch>
                      <a:fillRect/>
                    </a:stretch>
                  </pic:blipFill>
                  <pic:spPr>
                    <a:xfrm>
                      <a:off x="0" y="0"/>
                      <a:ext cx="7556500" cy="10693400"/>
                    </a:xfrm>
                    <a:prstGeom prst="rect">
                      <a:avLst/>
                    </a:prstGeom>
                  </pic:spPr>
                </pic:pic>
              </a:graphicData>
            </a:graphic>
          </wp:anchor>
        </w:drawing>
      </w:r>
      <w:r>
        <w:rPr>
          <w:rFonts w:ascii="黑体" w:hAnsi="黑体" w:eastAsia="黑体" w:cs="黑体"/>
          <w:b/>
          <w:bCs/>
          <w:color w:val="00C3A9"/>
          <w:spacing w:val="-25"/>
          <w:sz w:val="34"/>
          <w:szCs w:val="34"/>
        </w:rPr>
        <w:t>模块四：产业</w:t>
      </w:r>
      <w:r>
        <w:rPr>
          <w:rFonts w:ascii="黑体" w:hAnsi="黑体" w:eastAsia="黑体" w:cs="黑体"/>
          <w:b/>
          <w:bCs/>
          <w:color w:val="56C700"/>
          <w:spacing w:val="-25"/>
          <w:sz w:val="34"/>
          <w:szCs w:val="34"/>
        </w:rPr>
        <w:t>转型升级与新兴产业发展趋势、介入策略</w:t>
      </w:r>
    </w:p>
    <w:p w14:paraId="2AF4F06B">
      <w:pPr>
        <w:spacing w:before="3"/>
      </w:pPr>
    </w:p>
    <w:p w14:paraId="5CB05A53">
      <w:pPr>
        <w:sectPr>
          <w:pgSz w:w="11900" w:h="16840"/>
          <w:pgMar w:top="400" w:right="0" w:bottom="0" w:left="0" w:header="0" w:footer="0" w:gutter="0"/>
          <w:cols w:equalWidth="0" w:num="1">
            <w:col w:w="11900"/>
          </w:cols>
        </w:sectPr>
      </w:pPr>
    </w:p>
    <w:p w14:paraId="26A3794A">
      <w:pPr>
        <w:spacing w:before="1" w:line="220" w:lineRule="auto"/>
        <w:ind w:left="649"/>
        <w:rPr>
          <w:rFonts w:ascii="黑体" w:hAnsi="黑体" w:eastAsia="黑体" w:cs="黑体"/>
          <w:sz w:val="23"/>
          <w:szCs w:val="23"/>
        </w:rPr>
      </w:pPr>
      <w:r>
        <w:rPr>
          <w:rFonts w:ascii="黑体" w:hAnsi="黑体" w:eastAsia="黑体" w:cs="黑体"/>
          <w:spacing w:val="6"/>
          <w:sz w:val="23"/>
          <w:szCs w:val="23"/>
        </w:rPr>
        <w:t>□传统产业发展周期与市场前景分析</w:t>
      </w:r>
    </w:p>
    <w:p w14:paraId="7B630319">
      <w:pPr>
        <w:spacing w:before="204" w:line="221" w:lineRule="auto"/>
        <w:ind w:left="649"/>
        <w:rPr>
          <w:rFonts w:ascii="黑体" w:hAnsi="黑体" w:eastAsia="黑体" w:cs="黑体"/>
          <w:sz w:val="23"/>
          <w:szCs w:val="23"/>
        </w:rPr>
      </w:pPr>
      <w:r>
        <w:rPr>
          <w:rFonts w:ascii="黑体" w:hAnsi="黑体" w:eastAsia="黑体" w:cs="黑体"/>
          <w:spacing w:val="6"/>
          <w:sz w:val="23"/>
          <w:szCs w:val="23"/>
        </w:rPr>
        <w:t>□产业不同发展阶段带来的机遇与挑战</w:t>
      </w:r>
    </w:p>
    <w:p w14:paraId="285936D8">
      <w:pPr>
        <w:spacing w:before="184" w:line="221" w:lineRule="auto"/>
        <w:ind w:left="649"/>
        <w:rPr>
          <w:rFonts w:ascii="黑体" w:hAnsi="黑体" w:eastAsia="黑体" w:cs="黑体"/>
          <w:sz w:val="23"/>
          <w:szCs w:val="23"/>
        </w:rPr>
      </w:pPr>
      <w:r>
        <w:rPr>
          <w:rFonts w:ascii="黑体" w:hAnsi="黑体" w:eastAsia="黑体" w:cs="黑体"/>
          <w:spacing w:val="5"/>
          <w:sz w:val="23"/>
          <w:szCs w:val="23"/>
        </w:rPr>
        <w:t>□企业不同发展阶段赢利模式的匹配与创新</w:t>
      </w:r>
    </w:p>
    <w:p w14:paraId="6BD2EF0C">
      <w:pPr>
        <w:spacing w:before="184" w:line="221" w:lineRule="auto"/>
        <w:ind w:left="649"/>
        <w:rPr>
          <w:rFonts w:ascii="黑体" w:hAnsi="黑体" w:eastAsia="黑体" w:cs="黑体"/>
          <w:sz w:val="23"/>
          <w:szCs w:val="23"/>
        </w:rPr>
      </w:pPr>
      <w:r>
        <w:rPr>
          <w:rFonts w:ascii="黑体" w:hAnsi="黑体" w:eastAsia="黑体" w:cs="黑体"/>
          <w:spacing w:val="6"/>
          <w:sz w:val="23"/>
          <w:szCs w:val="23"/>
        </w:rPr>
        <w:t>□企业战略性转型升级的模式与路径</w:t>
      </w:r>
    </w:p>
    <w:p w14:paraId="01F59442">
      <w:pPr>
        <w:spacing w:before="185" w:line="221" w:lineRule="auto"/>
        <w:ind w:left="649"/>
        <w:rPr>
          <w:rFonts w:ascii="黑体" w:hAnsi="黑体" w:eastAsia="黑体" w:cs="黑体"/>
          <w:sz w:val="23"/>
          <w:szCs w:val="23"/>
        </w:rPr>
      </w:pPr>
      <w:r>
        <w:rPr>
          <w:rFonts w:ascii="黑体" w:hAnsi="黑体" w:eastAsia="黑体" w:cs="黑体"/>
          <w:spacing w:val="-7"/>
          <w:sz w:val="23"/>
          <w:szCs w:val="23"/>
        </w:rPr>
        <w:t>□新兴产业、科技领域发展机遇、路径与趋势</w:t>
      </w:r>
    </w:p>
    <w:p w14:paraId="5FBE6ADC">
      <w:pPr>
        <w:spacing w:before="184" w:line="221" w:lineRule="auto"/>
        <w:ind w:left="649"/>
        <w:rPr>
          <w:rFonts w:ascii="黑体" w:hAnsi="黑体" w:eastAsia="黑体" w:cs="黑体"/>
          <w:sz w:val="23"/>
          <w:szCs w:val="23"/>
        </w:rPr>
      </w:pPr>
      <w:r>
        <w:rPr>
          <w:rFonts w:ascii="黑体" w:hAnsi="黑体" w:eastAsia="黑体" w:cs="黑体"/>
          <w:spacing w:val="4"/>
          <w:sz w:val="23"/>
          <w:szCs w:val="23"/>
        </w:rPr>
        <w:t>□传统企业转型新兴产业领域的时机与策略</w:t>
      </w:r>
    </w:p>
    <w:p w14:paraId="6F976469">
      <w:pPr>
        <w:spacing w:before="185" w:line="221" w:lineRule="auto"/>
        <w:ind w:left="649"/>
        <w:rPr>
          <w:rFonts w:ascii="黑体" w:hAnsi="黑体" w:eastAsia="黑体" w:cs="黑体"/>
          <w:sz w:val="23"/>
          <w:szCs w:val="23"/>
        </w:rPr>
      </w:pPr>
      <w:r>
        <w:rPr>
          <w:rFonts w:ascii="黑体" w:hAnsi="黑体" w:eastAsia="黑体" w:cs="黑体"/>
          <w:spacing w:val="-7"/>
          <w:sz w:val="23"/>
          <w:szCs w:val="23"/>
        </w:rPr>
        <w:t>□数字化、人工智、新科技催化产业升级</w:t>
      </w:r>
    </w:p>
    <w:p w14:paraId="4BC4F45F">
      <w:pPr>
        <w:pStyle w:val="2"/>
        <w:spacing w:line="266" w:lineRule="auto"/>
      </w:pPr>
    </w:p>
    <w:p w14:paraId="02BB7246">
      <w:pPr>
        <w:pStyle w:val="2"/>
        <w:spacing w:line="267" w:lineRule="auto"/>
      </w:pPr>
    </w:p>
    <w:p w14:paraId="69BE4310">
      <w:pPr>
        <w:pStyle w:val="2"/>
        <w:spacing w:line="267" w:lineRule="auto"/>
      </w:pPr>
    </w:p>
    <w:p w14:paraId="74B1895E">
      <w:pPr>
        <w:pStyle w:val="2"/>
        <w:spacing w:line="267" w:lineRule="auto"/>
      </w:pPr>
    </w:p>
    <w:p w14:paraId="44F7D48D">
      <w:pPr>
        <w:spacing w:before="111" w:line="219" w:lineRule="auto"/>
        <w:ind w:left="654"/>
        <w:rPr>
          <w:rFonts w:ascii="宋体" w:hAnsi="宋体" w:eastAsia="宋体" w:cs="宋体"/>
          <w:sz w:val="34"/>
          <w:szCs w:val="34"/>
        </w:rPr>
      </w:pPr>
      <w:r>
        <w:rPr>
          <w:rFonts w:ascii="宋体" w:hAnsi="宋体" w:eastAsia="宋体" w:cs="宋体"/>
          <w:b/>
          <w:bCs/>
          <w:color w:val="00C3A2"/>
          <w:spacing w:val="-30"/>
          <w:sz w:val="34"/>
          <w:szCs w:val="34"/>
        </w:rPr>
        <w:t>模块五：</w:t>
      </w:r>
      <w:r>
        <w:rPr>
          <w:rFonts w:ascii="宋体" w:hAnsi="宋体" w:eastAsia="宋体" w:cs="宋体"/>
          <w:b/>
          <w:bCs/>
          <w:color w:val="5CC700"/>
          <w:spacing w:val="-30"/>
          <w:sz w:val="34"/>
          <w:szCs w:val="34"/>
        </w:rPr>
        <w:t>资产管理、资本运作与投融资</w:t>
      </w:r>
    </w:p>
    <w:p w14:paraId="7B49A8D9">
      <w:pPr>
        <w:spacing w:before="267" w:line="221" w:lineRule="auto"/>
        <w:ind w:left="649"/>
        <w:rPr>
          <w:rFonts w:ascii="黑体" w:hAnsi="黑体" w:eastAsia="黑体" w:cs="黑体"/>
          <w:sz w:val="23"/>
          <w:szCs w:val="23"/>
        </w:rPr>
      </w:pPr>
      <w:r>
        <w:rPr>
          <w:rFonts w:ascii="黑体" w:hAnsi="黑体" w:eastAsia="黑体" w:cs="黑体"/>
          <w:spacing w:val="-2"/>
          <w:sz w:val="23"/>
          <w:szCs w:val="23"/>
        </w:rPr>
        <w:t>□资本助推新时代、新经济与产业升级</w:t>
      </w:r>
    </w:p>
    <w:p w14:paraId="52F37D0B">
      <w:pPr>
        <w:spacing w:before="184" w:line="221" w:lineRule="auto"/>
        <w:ind w:left="649"/>
        <w:rPr>
          <w:rFonts w:ascii="黑体" w:hAnsi="黑体" w:eastAsia="黑体" w:cs="黑体"/>
          <w:sz w:val="23"/>
          <w:szCs w:val="23"/>
        </w:rPr>
      </w:pPr>
      <w:r>
        <w:rPr>
          <w:rFonts w:ascii="黑体" w:hAnsi="黑体" w:eastAsia="黑体" w:cs="黑体"/>
          <w:spacing w:val="-2"/>
          <w:sz w:val="23"/>
          <w:szCs w:val="23"/>
        </w:rPr>
        <w:t>□项目投融资研判、决策与模式创新</w:t>
      </w:r>
    </w:p>
    <w:p w14:paraId="53F4B497">
      <w:pPr>
        <w:spacing w:before="185" w:line="221" w:lineRule="auto"/>
        <w:ind w:left="649"/>
        <w:rPr>
          <w:rFonts w:ascii="黑体" w:hAnsi="黑体" w:eastAsia="黑体" w:cs="黑体"/>
          <w:sz w:val="23"/>
          <w:szCs w:val="23"/>
        </w:rPr>
      </w:pPr>
      <w:r>
        <w:rPr>
          <w:rFonts w:ascii="黑体" w:hAnsi="黑体" w:eastAsia="黑体" w:cs="黑体"/>
          <w:spacing w:val="6"/>
          <w:sz w:val="23"/>
          <w:szCs w:val="23"/>
        </w:rPr>
        <w:t>□轻资产运营管理模式与创新案例</w:t>
      </w:r>
    </w:p>
    <w:p w14:paraId="03B44A4C">
      <w:pPr>
        <w:spacing w:before="195" w:line="221" w:lineRule="auto"/>
        <w:ind w:left="649"/>
        <w:rPr>
          <w:rFonts w:ascii="黑体" w:hAnsi="黑体" w:eastAsia="黑体" w:cs="黑体"/>
          <w:sz w:val="23"/>
          <w:szCs w:val="23"/>
        </w:rPr>
      </w:pPr>
      <w:r>
        <w:rPr>
          <w:rFonts w:ascii="黑体" w:hAnsi="黑体" w:eastAsia="黑体" w:cs="黑体"/>
          <w:spacing w:val="-6"/>
          <w:sz w:val="23"/>
          <w:szCs w:val="23"/>
        </w:rPr>
        <w:t>□最新金融、货币、财税政策对企业的影响</w:t>
      </w:r>
    </w:p>
    <w:p w14:paraId="512994C8">
      <w:pPr>
        <w:spacing w:before="185" w:line="222" w:lineRule="auto"/>
        <w:ind w:left="649"/>
        <w:rPr>
          <w:rFonts w:ascii="黑体" w:hAnsi="黑体" w:eastAsia="黑体" w:cs="黑体"/>
          <w:sz w:val="23"/>
          <w:szCs w:val="23"/>
        </w:rPr>
      </w:pPr>
      <w:r>
        <w:rPr>
          <w:rFonts w:ascii="黑体" w:hAnsi="黑体" w:eastAsia="黑体" w:cs="黑体"/>
          <w:spacing w:val="-7"/>
          <w:sz w:val="23"/>
          <w:szCs w:val="23"/>
        </w:rPr>
        <w:t>□资产管理、证券化、信托基金模式分析</w:t>
      </w:r>
    </w:p>
    <w:p w14:paraId="204BC911">
      <w:pPr>
        <w:spacing w:before="183" w:line="187" w:lineRule="auto"/>
        <w:ind w:left="649"/>
        <w:rPr>
          <w:rFonts w:ascii="黑体" w:hAnsi="黑体" w:eastAsia="黑体" w:cs="黑体"/>
          <w:sz w:val="23"/>
          <w:szCs w:val="23"/>
        </w:rPr>
      </w:pPr>
      <w:r>
        <w:rPr>
          <w:rFonts w:ascii="黑体" w:hAnsi="黑体" w:eastAsia="黑体" w:cs="黑体"/>
          <w:sz w:val="23"/>
          <w:szCs w:val="23"/>
        </w:rPr>
        <w:t>□企业上市、股权投融资与兼并收购</w:t>
      </w:r>
    </w:p>
    <w:p w14:paraId="7BC28C70">
      <w:pPr>
        <w:pStyle w:val="2"/>
        <w:spacing w:line="14" w:lineRule="auto"/>
        <w:rPr>
          <w:sz w:val="2"/>
        </w:rPr>
      </w:pPr>
      <w:r>
        <w:rPr>
          <w:sz w:val="2"/>
          <w:szCs w:val="2"/>
        </w:rPr>
        <w:br w:type="column"/>
      </w:r>
    </w:p>
    <w:p w14:paraId="2492D5F6">
      <w:pPr>
        <w:spacing w:line="221" w:lineRule="auto"/>
        <w:rPr>
          <w:rFonts w:ascii="黑体" w:hAnsi="黑体" w:eastAsia="黑体" w:cs="黑体"/>
          <w:sz w:val="23"/>
          <w:szCs w:val="23"/>
        </w:rPr>
      </w:pPr>
      <w:r>
        <w:rPr>
          <w:rFonts w:ascii="黑体" w:hAnsi="黑体" w:eastAsia="黑体" w:cs="黑体"/>
          <w:spacing w:val="4"/>
          <w:sz w:val="23"/>
          <w:szCs w:val="23"/>
        </w:rPr>
        <w:t>□一带一路合作与产业出海的机遇与挑战</w:t>
      </w:r>
    </w:p>
    <w:p w14:paraId="1BB156D8">
      <w:pPr>
        <w:spacing w:before="202" w:line="221" w:lineRule="auto"/>
        <w:rPr>
          <w:rFonts w:ascii="黑体" w:hAnsi="黑体" w:eastAsia="黑体" w:cs="黑体"/>
          <w:sz w:val="23"/>
          <w:szCs w:val="23"/>
        </w:rPr>
      </w:pPr>
      <w:r>
        <w:rPr>
          <w:rFonts w:ascii="黑体" w:hAnsi="黑体" w:eastAsia="黑体" w:cs="黑体"/>
          <w:spacing w:val="4"/>
          <w:sz w:val="23"/>
          <w:szCs w:val="23"/>
        </w:rPr>
        <w:t>□海外新兴经济体的发展阶段分析与投资机遇</w:t>
      </w:r>
    </w:p>
    <w:p w14:paraId="6B7D5E90">
      <w:pPr>
        <w:spacing w:before="184" w:line="221" w:lineRule="auto"/>
        <w:rPr>
          <w:rFonts w:ascii="黑体" w:hAnsi="黑体" w:eastAsia="黑体" w:cs="黑体"/>
          <w:sz w:val="23"/>
          <w:szCs w:val="23"/>
        </w:rPr>
      </w:pPr>
      <w:r>
        <w:rPr>
          <w:rFonts w:ascii="黑体" w:hAnsi="黑体" w:eastAsia="黑体" w:cs="黑体"/>
          <w:spacing w:val="5"/>
          <w:sz w:val="23"/>
          <w:szCs w:val="23"/>
        </w:rPr>
        <w:t>□海外新兴经济体的产业结构与比较优势</w:t>
      </w:r>
    </w:p>
    <w:p w14:paraId="137735B0">
      <w:pPr>
        <w:spacing w:before="184" w:line="221" w:lineRule="auto"/>
        <w:rPr>
          <w:rFonts w:ascii="黑体" w:hAnsi="黑体" w:eastAsia="黑体" w:cs="黑体"/>
          <w:sz w:val="23"/>
          <w:szCs w:val="23"/>
        </w:rPr>
      </w:pPr>
      <w:r>
        <w:rPr>
          <w:rFonts w:ascii="黑体" w:hAnsi="黑体" w:eastAsia="黑体" w:cs="黑体"/>
          <w:spacing w:val="4"/>
          <w:sz w:val="23"/>
          <w:szCs w:val="23"/>
        </w:rPr>
        <w:t>□海南自贸岛的发展机遇红利与产业结构优势</w:t>
      </w:r>
    </w:p>
    <w:p w14:paraId="1573D9A2">
      <w:pPr>
        <w:spacing w:before="186" w:line="222" w:lineRule="auto"/>
        <w:rPr>
          <w:rFonts w:ascii="黑体" w:hAnsi="黑体" w:eastAsia="黑体" w:cs="黑体"/>
          <w:sz w:val="23"/>
          <w:szCs w:val="23"/>
        </w:rPr>
      </w:pPr>
      <w:r>
        <w:rPr>
          <w:rFonts w:ascii="黑体" w:hAnsi="黑体" w:eastAsia="黑体" w:cs="黑体"/>
          <w:spacing w:val="-1"/>
          <w:sz w:val="23"/>
          <w:szCs w:val="23"/>
        </w:rPr>
        <w:t>□产业出海、产业国际化的实施路径与案例研讨</w:t>
      </w:r>
    </w:p>
    <w:p w14:paraId="09ACB6AF">
      <w:pPr>
        <w:spacing w:before="182" w:line="221" w:lineRule="auto"/>
        <w:rPr>
          <w:rFonts w:ascii="黑体" w:hAnsi="黑体" w:eastAsia="黑体" w:cs="黑体"/>
          <w:sz w:val="23"/>
          <w:szCs w:val="23"/>
        </w:rPr>
      </w:pPr>
      <w:r>
        <w:rPr>
          <w:rFonts w:ascii="黑体" w:hAnsi="黑体" w:eastAsia="黑体" w:cs="黑体"/>
          <w:spacing w:val="4"/>
          <w:sz w:val="23"/>
          <w:szCs w:val="23"/>
        </w:rPr>
        <w:t>□海外新兴经济体产业投资环境与机遇游学考察</w:t>
      </w:r>
    </w:p>
    <w:p w14:paraId="3A67ABA5">
      <w:pPr>
        <w:spacing w:before="185" w:line="221" w:lineRule="auto"/>
        <w:rPr>
          <w:rFonts w:ascii="黑体" w:hAnsi="黑体" w:eastAsia="黑体" w:cs="黑体"/>
          <w:sz w:val="23"/>
          <w:szCs w:val="23"/>
        </w:rPr>
      </w:pPr>
      <w:r>
        <w:rPr>
          <w:rFonts w:ascii="黑体" w:hAnsi="黑体" w:eastAsia="黑体" w:cs="黑体"/>
          <w:spacing w:val="4"/>
          <w:sz w:val="23"/>
          <w:szCs w:val="23"/>
        </w:rPr>
        <w:t>□不同经济体产业分工带来的企业长效红利</w:t>
      </w:r>
    </w:p>
    <w:p w14:paraId="21A439AC">
      <w:pPr>
        <w:pStyle w:val="2"/>
        <w:spacing w:line="252" w:lineRule="auto"/>
      </w:pPr>
    </w:p>
    <w:p w14:paraId="697D9395">
      <w:pPr>
        <w:pStyle w:val="2"/>
        <w:spacing w:line="252" w:lineRule="auto"/>
      </w:pPr>
    </w:p>
    <w:p w14:paraId="66625FB2">
      <w:pPr>
        <w:pStyle w:val="2"/>
        <w:spacing w:line="253" w:lineRule="auto"/>
      </w:pPr>
    </w:p>
    <w:p w14:paraId="78CC0C3B">
      <w:pPr>
        <w:pStyle w:val="2"/>
        <w:spacing w:line="253" w:lineRule="auto"/>
      </w:pPr>
    </w:p>
    <w:p w14:paraId="5041403F">
      <w:pPr>
        <w:pStyle w:val="2"/>
        <w:spacing w:line="253" w:lineRule="auto"/>
      </w:pPr>
    </w:p>
    <w:p w14:paraId="6E6623F9">
      <w:pPr>
        <w:pStyle w:val="2"/>
        <w:spacing w:line="253" w:lineRule="auto"/>
      </w:pPr>
    </w:p>
    <w:p w14:paraId="5BAA0C51">
      <w:pPr>
        <w:pStyle w:val="2"/>
        <w:spacing w:line="253" w:lineRule="auto"/>
      </w:pPr>
    </w:p>
    <w:p w14:paraId="2F09D506">
      <w:pPr>
        <w:spacing w:before="75" w:line="222" w:lineRule="auto"/>
        <w:rPr>
          <w:rFonts w:ascii="黑体" w:hAnsi="黑体" w:eastAsia="黑体" w:cs="黑体"/>
          <w:sz w:val="23"/>
          <w:szCs w:val="23"/>
        </w:rPr>
      </w:pPr>
      <w:r>
        <w:rPr>
          <w:rFonts w:ascii="黑体" w:hAnsi="黑体" w:eastAsia="黑体" w:cs="黑体"/>
          <w:spacing w:val="-10"/>
          <w:sz w:val="23"/>
          <w:szCs w:val="23"/>
        </w:rPr>
        <w:t>□</w:t>
      </w:r>
      <w:r>
        <w:rPr>
          <w:rFonts w:ascii="黑体" w:hAnsi="黑体" w:eastAsia="黑体" w:cs="黑体"/>
          <w:spacing w:val="41"/>
          <w:sz w:val="23"/>
          <w:szCs w:val="23"/>
        </w:rPr>
        <w:t xml:space="preserve"> </w:t>
      </w:r>
      <w:r>
        <w:rPr>
          <w:rFonts w:ascii="黑体" w:hAnsi="黑体" w:eastAsia="黑体" w:cs="黑体"/>
          <w:spacing w:val="-10"/>
          <w:sz w:val="23"/>
          <w:szCs w:val="23"/>
        </w:rPr>
        <w:t>不良资产处置、并购核心要点与案例分析</w:t>
      </w:r>
    </w:p>
    <w:p w14:paraId="288D7ECA">
      <w:pPr>
        <w:spacing w:before="183" w:line="221" w:lineRule="auto"/>
        <w:rPr>
          <w:rFonts w:ascii="黑体" w:hAnsi="黑体" w:eastAsia="黑体" w:cs="黑体"/>
          <w:sz w:val="23"/>
          <w:szCs w:val="23"/>
        </w:rPr>
      </w:pPr>
      <w:r>
        <w:rPr>
          <w:rFonts w:ascii="黑体" w:hAnsi="黑体" w:eastAsia="黑体" w:cs="黑体"/>
          <w:spacing w:val="-3"/>
          <w:sz w:val="23"/>
          <w:szCs w:val="23"/>
        </w:rPr>
        <w:t>□</w:t>
      </w:r>
      <w:r>
        <w:rPr>
          <w:rFonts w:ascii="黑体" w:hAnsi="黑体" w:eastAsia="黑体" w:cs="黑体"/>
          <w:spacing w:val="35"/>
          <w:sz w:val="23"/>
          <w:szCs w:val="23"/>
        </w:rPr>
        <w:t xml:space="preserve"> </w:t>
      </w:r>
      <w:r>
        <w:rPr>
          <w:rFonts w:ascii="黑体" w:hAnsi="黑体" w:eastAsia="黑体" w:cs="黑体"/>
          <w:spacing w:val="-3"/>
          <w:sz w:val="23"/>
          <w:szCs w:val="23"/>
        </w:rPr>
        <w:t>企业财务管理透视经营财务的三张表</w:t>
      </w:r>
    </w:p>
    <w:p w14:paraId="247F5FAE">
      <w:pPr>
        <w:spacing w:before="185" w:line="221" w:lineRule="auto"/>
        <w:rPr>
          <w:rFonts w:ascii="黑体" w:hAnsi="黑体" w:eastAsia="黑体" w:cs="黑体"/>
          <w:sz w:val="23"/>
          <w:szCs w:val="23"/>
        </w:rPr>
      </w:pPr>
      <w:r>
        <w:rPr>
          <w:rFonts w:ascii="黑体" w:hAnsi="黑体" w:eastAsia="黑体" w:cs="黑体"/>
          <w:spacing w:val="-1"/>
          <w:sz w:val="23"/>
          <w:szCs w:val="23"/>
        </w:rPr>
        <w:t>□ 产业发展环境分析与私募基金股权投资</w:t>
      </w:r>
    </w:p>
    <w:p w14:paraId="77502139">
      <w:pPr>
        <w:spacing w:before="195" w:line="221" w:lineRule="auto"/>
        <w:rPr>
          <w:rFonts w:ascii="黑体" w:hAnsi="黑体" w:eastAsia="黑体" w:cs="黑体"/>
          <w:sz w:val="23"/>
          <w:szCs w:val="23"/>
        </w:rPr>
      </w:pPr>
      <w:r>
        <w:rPr>
          <w:rFonts w:ascii="黑体" w:hAnsi="黑体" w:eastAsia="黑体" w:cs="黑体"/>
          <w:spacing w:val="-2"/>
          <w:sz w:val="23"/>
          <w:szCs w:val="23"/>
        </w:rPr>
        <w:t>□经济、金融环境与股票投资</w:t>
      </w:r>
    </w:p>
    <w:p w14:paraId="073FE693">
      <w:pPr>
        <w:spacing w:before="185" w:line="222" w:lineRule="auto"/>
        <w:rPr>
          <w:rFonts w:ascii="黑体" w:hAnsi="黑体" w:eastAsia="黑体" w:cs="黑体"/>
          <w:sz w:val="23"/>
          <w:szCs w:val="23"/>
        </w:rPr>
      </w:pPr>
      <w:r>
        <w:rPr>
          <w:rFonts w:ascii="黑体" w:hAnsi="黑体" w:eastAsia="黑体" w:cs="黑体"/>
          <w:spacing w:val="9"/>
          <w:sz w:val="23"/>
          <w:szCs w:val="23"/>
        </w:rPr>
        <w:t>□企业家投资逻辑与财富管理</w:t>
      </w:r>
    </w:p>
    <w:p w14:paraId="76A6A31A">
      <w:pPr>
        <w:spacing w:before="183" w:line="187" w:lineRule="auto"/>
        <w:rPr>
          <w:rFonts w:ascii="黑体" w:hAnsi="黑体" w:eastAsia="黑体" w:cs="黑体"/>
          <w:sz w:val="23"/>
          <w:szCs w:val="23"/>
        </w:rPr>
      </w:pPr>
      <w:r>
        <w:rPr>
          <w:rFonts w:ascii="黑体" w:hAnsi="黑体" w:eastAsia="黑体" w:cs="黑体"/>
          <w:spacing w:val="10"/>
          <w:sz w:val="23"/>
          <w:szCs w:val="23"/>
        </w:rPr>
        <w:t>□资产配置与家族财富传承</w:t>
      </w:r>
    </w:p>
    <w:p w14:paraId="6E511D95">
      <w:pPr>
        <w:spacing w:line="187" w:lineRule="auto"/>
        <w:rPr>
          <w:rFonts w:ascii="黑体" w:hAnsi="黑体" w:eastAsia="黑体" w:cs="黑体"/>
          <w:sz w:val="23"/>
          <w:szCs w:val="23"/>
        </w:rPr>
        <w:sectPr>
          <w:type w:val="continuous"/>
          <w:pgSz w:w="11900" w:h="16840"/>
          <w:pgMar w:top="400" w:right="0" w:bottom="0" w:left="0" w:header="0" w:footer="0" w:gutter="0"/>
          <w:cols w:equalWidth="0" w:num="2">
            <w:col w:w="6240" w:space="100"/>
            <w:col w:w="5561"/>
          </w:cols>
        </w:sectPr>
      </w:pPr>
    </w:p>
    <w:p w14:paraId="56C8DE2A">
      <w:pPr>
        <w:pStyle w:val="2"/>
        <w:spacing w:line="290" w:lineRule="auto"/>
      </w:pPr>
    </w:p>
    <w:p w14:paraId="46A4B80F">
      <w:pPr>
        <w:pStyle w:val="2"/>
        <w:spacing w:line="290" w:lineRule="auto"/>
      </w:pPr>
    </w:p>
    <w:p w14:paraId="4CB414F4">
      <w:pPr>
        <w:pStyle w:val="2"/>
        <w:spacing w:line="290" w:lineRule="auto"/>
      </w:pPr>
    </w:p>
    <w:p w14:paraId="650263EE">
      <w:pPr>
        <w:pStyle w:val="2"/>
        <w:spacing w:line="291" w:lineRule="auto"/>
      </w:pPr>
    </w:p>
    <w:p w14:paraId="065AD06C">
      <w:pPr>
        <w:spacing w:before="189" w:line="223" w:lineRule="auto"/>
        <w:ind w:left="8"/>
        <w:rPr>
          <w:rFonts w:ascii="黑体" w:hAnsi="黑体" w:eastAsia="黑体" w:cs="黑体"/>
          <w:sz w:val="58"/>
          <w:szCs w:val="58"/>
        </w:rPr>
      </w:pPr>
      <w:r>
        <w:rPr>
          <w:rFonts w:ascii="黑体" w:hAnsi="黑体" w:eastAsia="黑体" w:cs="黑体"/>
          <w:b/>
          <w:bCs/>
          <w:color w:val="00C4A3"/>
          <w:sz w:val="58"/>
          <w:szCs w:val="58"/>
        </w:rPr>
        <w:t>事业空间</w:t>
      </w:r>
    </w:p>
    <w:p w14:paraId="01746D1D">
      <w:pPr>
        <w:spacing w:before="141" w:line="219" w:lineRule="auto"/>
        <w:ind w:left="4"/>
        <w:rPr>
          <w:rFonts w:ascii="宋体" w:hAnsi="宋体" w:eastAsia="宋体" w:cs="宋体"/>
          <w:sz w:val="34"/>
          <w:szCs w:val="34"/>
        </w:rPr>
      </w:pPr>
      <w:r>
        <w:rPr>
          <w:rFonts w:ascii="宋体" w:hAnsi="宋体" w:eastAsia="宋体" w:cs="宋体"/>
          <w:b/>
          <w:bCs/>
          <w:color w:val="00C59D"/>
          <w:spacing w:val="15"/>
          <w:sz w:val="34"/>
          <w:szCs w:val="34"/>
        </w:rPr>
        <w:t>多种形式的海</w:t>
      </w:r>
      <w:r>
        <w:rPr>
          <w:rFonts w:ascii="宋体" w:hAnsi="宋体" w:eastAsia="宋体" w:cs="宋体"/>
          <w:b/>
          <w:bCs/>
          <w:color w:val="5DC900"/>
          <w:spacing w:val="15"/>
          <w:sz w:val="34"/>
          <w:szCs w:val="34"/>
        </w:rPr>
        <w:t>量资源赋能为学员事业发展注入源源动力</w:t>
      </w:r>
    </w:p>
    <w:p w14:paraId="36C5B069">
      <w:pPr>
        <w:pStyle w:val="2"/>
        <w:spacing w:line="262" w:lineRule="auto"/>
      </w:pPr>
    </w:p>
    <w:p w14:paraId="3610D684">
      <w:pPr>
        <w:pStyle w:val="2"/>
        <w:spacing w:line="262" w:lineRule="auto"/>
      </w:pPr>
    </w:p>
    <w:p w14:paraId="31CD2890">
      <w:pPr>
        <w:spacing w:before="110" w:line="218" w:lineRule="auto"/>
        <w:ind w:left="4"/>
        <w:rPr>
          <w:rFonts w:ascii="黑体" w:hAnsi="黑体" w:eastAsia="黑体" w:cs="黑体"/>
          <w:sz w:val="34"/>
          <w:szCs w:val="34"/>
        </w:rPr>
      </w:pPr>
      <w:r>
        <w:rPr>
          <w:rFonts w:ascii="黑体" w:hAnsi="黑体" w:eastAsia="黑体" w:cs="黑体"/>
          <w:b/>
          <w:bCs/>
          <w:color w:val="00C496"/>
          <w:spacing w:val="-31"/>
          <w:sz w:val="34"/>
          <w:szCs w:val="34"/>
        </w:rPr>
        <w:t>模块一：标杆</w:t>
      </w:r>
      <w:r>
        <w:rPr>
          <w:rFonts w:ascii="黑体" w:hAnsi="黑体" w:eastAsia="黑体" w:cs="黑体"/>
          <w:b/>
          <w:bCs/>
          <w:color w:val="5DC800"/>
          <w:spacing w:val="-31"/>
          <w:sz w:val="34"/>
          <w:szCs w:val="34"/>
        </w:rPr>
        <w:t>企业案例实践、深度参访研讨——中房思享会</w:t>
      </w:r>
    </w:p>
    <w:p w14:paraId="24D95202">
      <w:pPr>
        <w:spacing w:before="285" w:line="347" w:lineRule="auto"/>
        <w:ind w:right="1" w:firstLine="460"/>
        <w:rPr>
          <w:rFonts w:ascii="黑体" w:hAnsi="黑体" w:eastAsia="黑体" w:cs="黑体"/>
          <w:sz w:val="24"/>
          <w:szCs w:val="24"/>
        </w:rPr>
      </w:pPr>
      <w:r>
        <w:rPr>
          <w:rFonts w:ascii="黑体" w:hAnsi="黑体" w:eastAsia="黑体" w:cs="黑体"/>
          <w:spacing w:val="-16"/>
          <w:sz w:val="24"/>
          <w:szCs w:val="24"/>
        </w:rPr>
        <w:t>每月一次行业标杆企业深度参访考察，交流研讨创新的产业发展模式、技术、成长路径与未来空间，向</w:t>
      </w:r>
      <w:r>
        <w:rPr>
          <w:rFonts w:ascii="黑体" w:hAnsi="黑体" w:eastAsia="黑体" w:cs="黑体"/>
          <w:spacing w:val="18"/>
          <w:sz w:val="24"/>
          <w:szCs w:val="24"/>
        </w:rPr>
        <w:t xml:space="preserve"> </w:t>
      </w:r>
      <w:r>
        <w:rPr>
          <w:rFonts w:ascii="黑体" w:hAnsi="黑体" w:eastAsia="黑体" w:cs="黑体"/>
          <w:spacing w:val="-16"/>
          <w:sz w:val="24"/>
          <w:szCs w:val="24"/>
        </w:rPr>
        <w:t>细分领域明星企业、标杆企业学习借鉴。</w:t>
      </w:r>
    </w:p>
    <w:p w14:paraId="19265535">
      <w:pPr>
        <w:pStyle w:val="2"/>
        <w:spacing w:line="283" w:lineRule="auto"/>
      </w:pPr>
    </w:p>
    <w:p w14:paraId="47BAC7D6">
      <w:pPr>
        <w:pStyle w:val="2"/>
        <w:spacing w:line="283" w:lineRule="auto"/>
      </w:pPr>
    </w:p>
    <w:p w14:paraId="6AE1BCE6">
      <w:pPr>
        <w:pStyle w:val="2"/>
        <w:spacing w:line="283" w:lineRule="auto"/>
      </w:pPr>
    </w:p>
    <w:p w14:paraId="32C19B4E">
      <w:pPr>
        <w:pStyle w:val="2"/>
        <w:spacing w:line="284" w:lineRule="auto"/>
      </w:pPr>
    </w:p>
    <w:p w14:paraId="2705D5BC">
      <w:pPr>
        <w:spacing w:before="110" w:line="218" w:lineRule="auto"/>
        <w:ind w:left="4"/>
        <w:rPr>
          <w:rFonts w:ascii="黑体" w:hAnsi="黑体" w:eastAsia="黑体" w:cs="黑体"/>
          <w:sz w:val="34"/>
          <w:szCs w:val="34"/>
        </w:rPr>
      </w:pPr>
      <w:r>
        <w:rPr>
          <w:rFonts w:ascii="黑体" w:hAnsi="黑体" w:eastAsia="黑体" w:cs="黑体"/>
          <w:b/>
          <w:bCs/>
          <w:color w:val="00C4A9"/>
          <w:spacing w:val="-26"/>
          <w:sz w:val="34"/>
          <w:szCs w:val="34"/>
        </w:rPr>
        <w:t>模块二：</w:t>
      </w:r>
      <w:r>
        <w:rPr>
          <w:rFonts w:ascii="黑体" w:hAnsi="黑体" w:eastAsia="黑体" w:cs="黑体"/>
          <w:b/>
          <w:bCs/>
          <w:color w:val="5DC800"/>
          <w:spacing w:val="-26"/>
          <w:sz w:val="34"/>
          <w:szCs w:val="34"/>
        </w:rPr>
        <w:t>学员企业发展实践私董会</w:t>
      </w:r>
    </w:p>
    <w:p w14:paraId="52322BC2">
      <w:pPr>
        <w:spacing w:before="287" w:line="335" w:lineRule="auto"/>
        <w:ind w:right="11" w:firstLine="460"/>
        <w:rPr>
          <w:rFonts w:ascii="黑体" w:hAnsi="黑体" w:eastAsia="黑体" w:cs="黑体"/>
          <w:sz w:val="24"/>
          <w:szCs w:val="24"/>
        </w:rPr>
      </w:pPr>
      <w:r>
        <w:rPr>
          <w:rFonts w:ascii="黑体" w:hAnsi="黑体" w:eastAsia="黑体" w:cs="黑体"/>
          <w:spacing w:val="-11"/>
          <w:sz w:val="24"/>
          <w:szCs w:val="24"/>
        </w:rPr>
        <w:t>每月一场针对学员自身企业创新发展、市场开拓、转型升级难点痛点的私董会，学员可以根据自身企</w:t>
      </w:r>
      <w:r>
        <w:rPr>
          <w:rFonts w:ascii="黑体" w:hAnsi="黑体" w:eastAsia="黑体" w:cs="黑体"/>
          <w:spacing w:val="11"/>
          <w:sz w:val="24"/>
          <w:szCs w:val="24"/>
        </w:rPr>
        <w:t xml:space="preserve"> </w:t>
      </w:r>
      <w:r>
        <w:rPr>
          <w:rFonts w:ascii="黑体" w:hAnsi="黑体" w:eastAsia="黑体" w:cs="黑体"/>
          <w:spacing w:val="-15"/>
          <w:sz w:val="24"/>
          <w:szCs w:val="24"/>
        </w:rPr>
        <w:t>业实际需求提出申请，学院统筹相关领域专家</w:t>
      </w:r>
      <w:r>
        <w:rPr>
          <w:rFonts w:ascii="黑体" w:hAnsi="黑体" w:eastAsia="黑体" w:cs="黑体"/>
          <w:spacing w:val="-16"/>
          <w:sz w:val="24"/>
          <w:szCs w:val="24"/>
        </w:rPr>
        <w:t>、精英构成私董会成员，闭门深入研讨解决企业发展难题。</w:t>
      </w:r>
    </w:p>
    <w:p w14:paraId="27C608D5">
      <w:pPr>
        <w:pStyle w:val="2"/>
        <w:spacing w:line="279" w:lineRule="auto"/>
      </w:pPr>
    </w:p>
    <w:p w14:paraId="321F71B6">
      <w:pPr>
        <w:pStyle w:val="2"/>
        <w:spacing w:line="280" w:lineRule="auto"/>
      </w:pPr>
    </w:p>
    <w:p w14:paraId="53D22E03">
      <w:pPr>
        <w:pStyle w:val="2"/>
        <w:spacing w:line="280" w:lineRule="auto"/>
      </w:pPr>
    </w:p>
    <w:p w14:paraId="33C80939">
      <w:pPr>
        <w:pStyle w:val="2"/>
        <w:spacing w:line="280" w:lineRule="auto"/>
      </w:pPr>
    </w:p>
    <w:p w14:paraId="3B83B7EE">
      <w:pPr>
        <w:spacing w:before="110" w:line="221" w:lineRule="auto"/>
        <w:ind w:left="4"/>
        <w:rPr>
          <w:rFonts w:ascii="黑体" w:hAnsi="黑体" w:eastAsia="黑体" w:cs="黑体"/>
          <w:sz w:val="34"/>
          <w:szCs w:val="34"/>
        </w:rPr>
      </w:pPr>
      <w:r>
        <w:rPr>
          <w:rFonts w:ascii="黑体" w:hAnsi="黑体" w:eastAsia="黑体" w:cs="黑体"/>
          <w:b/>
          <w:bCs/>
          <w:color w:val="00BF9F"/>
          <w:spacing w:val="-41"/>
          <w:sz w:val="34"/>
          <w:szCs w:val="34"/>
        </w:rPr>
        <w:t>模块三：</w:t>
      </w:r>
      <w:r>
        <w:rPr>
          <w:rFonts w:ascii="黑体" w:hAnsi="黑体" w:eastAsia="黑体" w:cs="黑体"/>
          <w:b/>
          <w:bCs/>
          <w:color w:val="64C60F"/>
          <w:spacing w:val="-41"/>
          <w:sz w:val="34"/>
          <w:szCs w:val="34"/>
        </w:rPr>
        <w:t>产业导入、业务链接、资源赋能</w:t>
      </w:r>
    </w:p>
    <w:p w14:paraId="20530779">
      <w:pPr>
        <w:spacing w:before="283" w:line="345" w:lineRule="auto"/>
        <w:ind w:right="4" w:firstLine="460"/>
        <w:jc w:val="both"/>
        <w:rPr>
          <w:rFonts w:ascii="黑体" w:hAnsi="黑体" w:eastAsia="黑体" w:cs="黑体"/>
          <w:sz w:val="24"/>
          <w:szCs w:val="24"/>
        </w:rPr>
      </w:pPr>
      <w:r>
        <w:rPr>
          <w:rFonts w:ascii="黑体" w:hAnsi="黑体" w:eastAsia="黑体" w:cs="黑体"/>
          <w:spacing w:val="-10"/>
          <w:sz w:val="24"/>
          <w:szCs w:val="24"/>
        </w:rPr>
        <w:t>通过学院的资源赋能中心不定期为有需要的</w:t>
      </w:r>
      <w:r>
        <w:rPr>
          <w:rFonts w:ascii="黑体" w:hAnsi="黑体" w:eastAsia="黑体" w:cs="黑体"/>
          <w:spacing w:val="-11"/>
          <w:sz w:val="24"/>
          <w:szCs w:val="24"/>
        </w:rPr>
        <w:t>学员组织针对性的产业资源对接，校友企业互访、招商发</w:t>
      </w:r>
      <w:r>
        <w:rPr>
          <w:rFonts w:ascii="黑体" w:hAnsi="黑体" w:eastAsia="黑体" w:cs="黑体"/>
          <w:sz w:val="24"/>
          <w:szCs w:val="24"/>
        </w:rPr>
        <w:t xml:space="preserve"> </w:t>
      </w:r>
      <w:r>
        <w:rPr>
          <w:rFonts w:ascii="黑体" w:hAnsi="黑体" w:eastAsia="黑体" w:cs="黑体"/>
          <w:spacing w:val="-15"/>
          <w:sz w:val="24"/>
          <w:szCs w:val="24"/>
        </w:rPr>
        <w:t>布会、项目路演会、政企洽商会、战略大讲堂等形</w:t>
      </w:r>
      <w:r>
        <w:rPr>
          <w:rFonts w:ascii="黑体" w:hAnsi="黑体" w:eastAsia="黑体" w:cs="黑体"/>
          <w:spacing w:val="-16"/>
          <w:sz w:val="24"/>
          <w:szCs w:val="24"/>
        </w:rPr>
        <w:t>式活动为学员广泛链接中大校友群体、华南高商企业家群</w:t>
      </w:r>
      <w:r>
        <w:rPr>
          <w:rFonts w:ascii="黑体" w:hAnsi="黑体" w:eastAsia="黑体" w:cs="黑体"/>
          <w:sz w:val="24"/>
          <w:szCs w:val="24"/>
        </w:rPr>
        <w:t xml:space="preserve"> </w:t>
      </w:r>
      <w:r>
        <w:rPr>
          <w:rFonts w:ascii="黑体" w:hAnsi="黑体" w:eastAsia="黑体" w:cs="黑体"/>
          <w:spacing w:val="-5"/>
          <w:sz w:val="24"/>
          <w:szCs w:val="24"/>
        </w:rPr>
        <w:t>体以及一带一路商学院联盟涉及到的海外数十个</w:t>
      </w:r>
      <w:r>
        <w:rPr>
          <w:rFonts w:ascii="黑体" w:hAnsi="黑体" w:eastAsia="黑体" w:cs="黑体"/>
          <w:spacing w:val="-6"/>
          <w:sz w:val="24"/>
          <w:szCs w:val="24"/>
        </w:rPr>
        <w:t>国家的政商领袖群体等内外部资源，可以对资源进行精</w:t>
      </w:r>
      <w:r>
        <w:rPr>
          <w:rFonts w:ascii="黑体" w:hAnsi="黑体" w:eastAsia="黑体" w:cs="黑体"/>
          <w:sz w:val="24"/>
          <w:szCs w:val="24"/>
        </w:rPr>
        <w:t xml:space="preserve"> </w:t>
      </w:r>
      <w:r>
        <w:rPr>
          <w:rFonts w:ascii="黑体" w:hAnsi="黑体" w:eastAsia="黑体" w:cs="黑体"/>
          <w:spacing w:val="-14"/>
          <w:sz w:val="24"/>
          <w:szCs w:val="24"/>
        </w:rPr>
        <w:t>准筛选和匹配，提供一对一的高标准资源赋</w:t>
      </w:r>
      <w:r>
        <w:rPr>
          <w:rFonts w:ascii="黑体" w:hAnsi="黑体" w:eastAsia="黑体" w:cs="黑体"/>
          <w:spacing w:val="-15"/>
          <w:sz w:val="24"/>
          <w:szCs w:val="24"/>
        </w:rPr>
        <w:t>能链接。</w:t>
      </w:r>
    </w:p>
    <w:p w14:paraId="6BF2B7EC">
      <w:pPr>
        <w:pStyle w:val="2"/>
        <w:spacing w:line="247" w:lineRule="auto"/>
      </w:pPr>
    </w:p>
    <w:p w14:paraId="115A758F">
      <w:pPr>
        <w:pStyle w:val="2"/>
        <w:spacing w:line="247" w:lineRule="auto"/>
      </w:pPr>
    </w:p>
    <w:p w14:paraId="57F291F5">
      <w:pPr>
        <w:pStyle w:val="2"/>
        <w:spacing w:line="248" w:lineRule="auto"/>
      </w:pPr>
    </w:p>
    <w:p w14:paraId="708E109F">
      <w:pPr>
        <w:pStyle w:val="2"/>
        <w:spacing w:line="248" w:lineRule="auto"/>
      </w:pPr>
    </w:p>
    <w:p w14:paraId="65092C14">
      <w:pPr>
        <w:spacing w:before="111" w:line="222" w:lineRule="auto"/>
        <w:ind w:left="4"/>
        <w:rPr>
          <w:rFonts w:ascii="黑体" w:hAnsi="黑体" w:eastAsia="黑体" w:cs="黑体"/>
          <w:sz w:val="34"/>
          <w:szCs w:val="34"/>
        </w:rPr>
      </w:pPr>
      <w:r>
        <w:rPr>
          <w:rFonts w:ascii="黑体" w:hAnsi="黑体" w:eastAsia="黑体" w:cs="黑体"/>
          <w:b/>
          <w:bCs/>
          <w:color w:val="00BEA4"/>
          <w:spacing w:val="-30"/>
          <w:sz w:val="34"/>
          <w:szCs w:val="34"/>
        </w:rPr>
        <w:t>模块四：构</w:t>
      </w:r>
      <w:r>
        <w:rPr>
          <w:rFonts w:ascii="黑体" w:hAnsi="黑体" w:eastAsia="黑体" w:cs="黑体"/>
          <w:b/>
          <w:bCs/>
          <w:color w:val="60C924"/>
          <w:spacing w:val="-30"/>
          <w:sz w:val="34"/>
          <w:szCs w:val="34"/>
        </w:rPr>
        <w:t>建第二增长极、产业布局与开拓赋能</w:t>
      </w:r>
    </w:p>
    <w:p w14:paraId="7C22B8A2">
      <w:pPr>
        <w:spacing w:before="273" w:line="349" w:lineRule="auto"/>
        <w:ind w:right="4" w:firstLine="460"/>
        <w:jc w:val="both"/>
        <w:rPr>
          <w:rFonts w:ascii="黑体" w:hAnsi="黑体" w:eastAsia="黑体" w:cs="黑体"/>
          <w:sz w:val="24"/>
          <w:szCs w:val="24"/>
        </w:rPr>
      </w:pPr>
      <w:r>
        <w:rPr>
          <w:rFonts w:ascii="黑体" w:hAnsi="黑体" w:eastAsia="黑体" w:cs="黑体"/>
          <w:spacing w:val="-18"/>
          <w:sz w:val="24"/>
          <w:szCs w:val="24"/>
        </w:rPr>
        <w:t>走出去、引进来，由学院产业研究中心牵头，组织「一带一路国际投资环境与机遇考」,为学员企业提供</w:t>
      </w:r>
      <w:r>
        <w:rPr>
          <w:rFonts w:ascii="黑体" w:hAnsi="黑体" w:eastAsia="黑体" w:cs="黑体"/>
          <w:sz w:val="24"/>
          <w:szCs w:val="24"/>
        </w:rPr>
        <w:t xml:space="preserve"> </w:t>
      </w:r>
      <w:r>
        <w:rPr>
          <w:rFonts w:ascii="黑体" w:hAnsi="黑体" w:eastAsia="黑体" w:cs="黑体"/>
          <w:spacing w:val="-15"/>
          <w:sz w:val="24"/>
          <w:szCs w:val="24"/>
        </w:rPr>
        <w:t>以结果为导向的产业出海、产业国际化、业务落地自贸港、</w:t>
      </w:r>
      <w:r>
        <w:rPr>
          <w:rFonts w:ascii="黑体" w:hAnsi="黑体" w:eastAsia="黑体" w:cs="黑体"/>
          <w:spacing w:val="-16"/>
          <w:sz w:val="24"/>
          <w:szCs w:val="24"/>
        </w:rPr>
        <w:t>企业升级转型、科研成果转化等专项服务，从产</w:t>
      </w:r>
      <w:r>
        <w:rPr>
          <w:rFonts w:ascii="黑体" w:hAnsi="黑体" w:eastAsia="黑体" w:cs="黑体"/>
          <w:sz w:val="24"/>
          <w:szCs w:val="24"/>
        </w:rPr>
        <w:t xml:space="preserve"> </w:t>
      </w:r>
      <w:r>
        <w:rPr>
          <w:rFonts w:ascii="黑体" w:hAnsi="黑体" w:eastAsia="黑体" w:cs="黑体"/>
          <w:spacing w:val="-20"/>
          <w:sz w:val="24"/>
          <w:szCs w:val="24"/>
        </w:rPr>
        <w:t>业研究、可行性分析、商业模式、项目落地执行方案、政商关系梳理、上下游产业链资源链接</w:t>
      </w:r>
      <w:r>
        <w:rPr>
          <w:rFonts w:ascii="黑体" w:hAnsi="黑体" w:eastAsia="黑体" w:cs="黑体"/>
          <w:spacing w:val="-21"/>
          <w:sz w:val="24"/>
          <w:szCs w:val="24"/>
        </w:rPr>
        <w:t>，到项目落地后</w:t>
      </w:r>
      <w:r>
        <w:rPr>
          <w:rFonts w:ascii="黑体" w:hAnsi="黑体" w:eastAsia="黑体" w:cs="黑体"/>
          <w:sz w:val="24"/>
          <w:szCs w:val="24"/>
        </w:rPr>
        <w:t xml:space="preserve"> </w:t>
      </w:r>
      <w:r>
        <w:rPr>
          <w:rFonts w:ascii="黑体" w:hAnsi="黑体" w:eastAsia="黑体" w:cs="黑体"/>
          <w:spacing w:val="-21"/>
          <w:sz w:val="24"/>
          <w:szCs w:val="24"/>
        </w:rPr>
        <w:t>的长期智库赋能、业务赋能、人才赋能、管理赋能、资金赋能等全过程陪跑服务。</w:t>
      </w:r>
    </w:p>
    <w:p w14:paraId="4398D71A">
      <w:pPr>
        <w:spacing w:before="14" w:line="355" w:lineRule="auto"/>
        <w:ind w:firstLine="460"/>
        <w:rPr>
          <w:rFonts w:ascii="黑体" w:hAnsi="黑体" w:eastAsia="黑体" w:cs="黑体"/>
          <w:sz w:val="24"/>
          <w:szCs w:val="24"/>
        </w:rPr>
      </w:pPr>
      <w:r>
        <w:rPr>
          <w:rFonts w:ascii="黑体" w:hAnsi="黑体" w:eastAsia="黑体" w:cs="黑体"/>
          <w:spacing w:val="-13"/>
          <w:sz w:val="24"/>
          <w:szCs w:val="24"/>
        </w:rPr>
        <w:t>从理论研究、智库辅导、产业资源链接、落地执行方案到政商关系赋能，「领军人才100强计划」助力</w:t>
      </w:r>
      <w:r>
        <w:rPr>
          <w:rFonts w:ascii="黑体" w:hAnsi="黑体" w:eastAsia="黑体" w:cs="黑体"/>
          <w:spacing w:val="17"/>
          <w:sz w:val="24"/>
          <w:szCs w:val="24"/>
        </w:rPr>
        <w:t xml:space="preserve"> </w:t>
      </w:r>
      <w:r>
        <w:rPr>
          <w:rFonts w:ascii="黑体" w:hAnsi="黑体" w:eastAsia="黑体" w:cs="黑体"/>
          <w:spacing w:val="-16"/>
          <w:sz w:val="24"/>
          <w:szCs w:val="24"/>
        </w:rPr>
        <w:t>100位有思想高度、有发展愿景、有社会担当、有产业创新精</w:t>
      </w:r>
      <w:r>
        <w:rPr>
          <w:rFonts w:ascii="黑体" w:hAnsi="黑体" w:eastAsia="黑体" w:cs="黑体"/>
          <w:spacing w:val="-17"/>
          <w:sz w:val="24"/>
          <w:szCs w:val="24"/>
        </w:rPr>
        <w:t>神的领军人才事业长足发展、基业长青。</w:t>
      </w:r>
    </w:p>
    <w:p w14:paraId="67586ECA">
      <w:pPr>
        <w:spacing w:line="355" w:lineRule="auto"/>
        <w:rPr>
          <w:rFonts w:ascii="黑体" w:hAnsi="黑体" w:eastAsia="黑体" w:cs="黑体"/>
          <w:sz w:val="24"/>
          <w:szCs w:val="24"/>
        </w:rPr>
        <w:sectPr>
          <w:pgSz w:w="11900" w:h="16840"/>
          <w:pgMar w:top="400" w:right="669" w:bottom="0" w:left="669" w:header="0" w:footer="0" w:gutter="0"/>
          <w:cols w:space="720" w:num="1"/>
        </w:sectPr>
      </w:pPr>
    </w:p>
    <w:p w14:paraId="547626CC">
      <w:pPr>
        <w:pStyle w:val="2"/>
        <w:spacing w:line="243" w:lineRule="auto"/>
      </w:pPr>
    </w:p>
    <w:p w14:paraId="2D94F871">
      <w:pPr>
        <w:pStyle w:val="2"/>
        <w:spacing w:line="243" w:lineRule="auto"/>
      </w:pPr>
    </w:p>
    <w:p w14:paraId="269FF8E3">
      <w:pPr>
        <w:pStyle w:val="2"/>
        <w:spacing w:line="244" w:lineRule="auto"/>
      </w:pPr>
    </w:p>
    <w:p w14:paraId="73415B3E">
      <w:pPr>
        <w:pStyle w:val="2"/>
        <w:spacing w:line="244" w:lineRule="auto"/>
      </w:pPr>
    </w:p>
    <w:p w14:paraId="598E6995">
      <w:pPr>
        <w:pStyle w:val="2"/>
        <w:spacing w:line="244" w:lineRule="auto"/>
      </w:pPr>
    </w:p>
    <w:p w14:paraId="71361EFD">
      <w:pPr>
        <w:spacing w:before="192" w:line="220" w:lineRule="auto"/>
        <w:ind w:left="648"/>
        <w:rPr>
          <w:rFonts w:ascii="宋体" w:hAnsi="宋体" w:eastAsia="宋体" w:cs="宋体"/>
          <w:sz w:val="59"/>
          <w:szCs w:val="59"/>
        </w:rPr>
      </w:pPr>
      <w:r>
        <w:drawing>
          <wp:anchor distT="0" distB="0" distL="0" distR="0" simplePos="0" relativeHeight="251673600" behindDoc="1" locked="0" layoutInCell="1" allowOverlap="1">
            <wp:simplePos x="0" y="0"/>
            <wp:positionH relativeFrom="column">
              <wp:posOffset>0</wp:posOffset>
            </wp:positionH>
            <wp:positionV relativeFrom="paragraph">
              <wp:posOffset>-1031875</wp:posOffset>
            </wp:positionV>
            <wp:extent cx="7556500" cy="10693400"/>
            <wp:effectExtent l="0" t="0" r="0" b="0"/>
            <wp:wrapNone/>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21"/>
                    <a:stretch>
                      <a:fillRect/>
                    </a:stretch>
                  </pic:blipFill>
                  <pic:spPr>
                    <a:xfrm>
                      <a:off x="0" y="0"/>
                      <a:ext cx="7556500" cy="10693400"/>
                    </a:xfrm>
                    <a:prstGeom prst="rect">
                      <a:avLst/>
                    </a:prstGeom>
                  </pic:spPr>
                </pic:pic>
              </a:graphicData>
            </a:graphic>
          </wp:anchor>
        </w:drawing>
      </w:r>
      <w:r>
        <w:rPr>
          <w:rFonts w:ascii="宋体" w:hAnsi="宋体" w:eastAsia="宋体" w:cs="宋体"/>
          <w:b/>
          <w:bCs/>
          <w:color w:val="00C4A3"/>
          <w:spacing w:val="11"/>
          <w:sz w:val="59"/>
          <w:szCs w:val="59"/>
        </w:rPr>
        <w:t>生活空间</w:t>
      </w:r>
    </w:p>
    <w:p w14:paraId="0E3D5A5C">
      <w:pPr>
        <w:spacing w:before="79" w:line="219" w:lineRule="auto"/>
        <w:ind w:left="645"/>
        <w:rPr>
          <w:rFonts w:ascii="宋体" w:hAnsi="宋体" w:eastAsia="宋体" w:cs="宋体"/>
          <w:sz w:val="36"/>
          <w:szCs w:val="36"/>
        </w:rPr>
      </w:pPr>
      <w:r>
        <w:rPr>
          <w:rFonts w:ascii="宋体" w:hAnsi="宋体" w:eastAsia="宋体" w:cs="宋体"/>
          <w:b/>
          <w:bCs/>
          <w:color w:val="00BF9F"/>
          <w:spacing w:val="-2"/>
          <w:sz w:val="36"/>
          <w:szCs w:val="36"/>
        </w:rPr>
        <w:t>助力知识学</w:t>
      </w:r>
      <w:r>
        <w:rPr>
          <w:rFonts w:ascii="宋体" w:hAnsi="宋体" w:eastAsia="宋体" w:cs="宋体"/>
          <w:b/>
          <w:bCs/>
          <w:color w:val="5CC700"/>
          <w:spacing w:val="-2"/>
          <w:sz w:val="36"/>
          <w:szCs w:val="36"/>
        </w:rPr>
        <w:t>习、赋能事业发展、关注身心健康</w:t>
      </w:r>
    </w:p>
    <w:p w14:paraId="107DB3E2">
      <w:pPr>
        <w:pStyle w:val="2"/>
        <w:spacing w:line="271" w:lineRule="auto"/>
      </w:pPr>
    </w:p>
    <w:p w14:paraId="56A9AF7B">
      <w:pPr>
        <w:pStyle w:val="2"/>
        <w:spacing w:line="271" w:lineRule="auto"/>
      </w:pPr>
    </w:p>
    <w:p w14:paraId="445F8000">
      <w:pPr>
        <w:spacing w:before="75" w:line="357" w:lineRule="auto"/>
        <w:ind w:left="639" w:right="673" w:firstLine="490"/>
        <w:jc w:val="both"/>
        <w:rPr>
          <w:rFonts w:ascii="黑体" w:hAnsi="黑体" w:eastAsia="黑体" w:cs="黑体"/>
          <w:sz w:val="23"/>
          <w:szCs w:val="23"/>
        </w:rPr>
      </w:pPr>
      <w:r>
        <w:rPr>
          <w:rFonts w:ascii="黑体" w:hAnsi="黑体" w:eastAsia="黑体" w:cs="黑体"/>
          <w:spacing w:val="-10"/>
          <w:sz w:val="23"/>
          <w:szCs w:val="23"/>
        </w:rPr>
        <w:t>五大俱乐部：行知俱乐部、紫荆俱乐部、国学文</w:t>
      </w:r>
      <w:r>
        <w:rPr>
          <w:rFonts w:ascii="黑体" w:hAnsi="黑体" w:eastAsia="黑体" w:cs="黑体"/>
          <w:spacing w:val="-11"/>
          <w:sz w:val="23"/>
          <w:szCs w:val="23"/>
        </w:rPr>
        <w:t>化俱乐部、高尔夫俱乐部、户外运动俱乐部。俱乐部以校</w:t>
      </w:r>
      <w:r>
        <w:rPr>
          <w:rFonts w:ascii="黑体" w:hAnsi="黑体" w:eastAsia="黑体" w:cs="黑体"/>
          <w:sz w:val="23"/>
          <w:szCs w:val="23"/>
        </w:rPr>
        <w:t xml:space="preserve"> </w:t>
      </w:r>
      <w:r>
        <w:rPr>
          <w:rFonts w:ascii="黑体" w:hAnsi="黑体" w:eastAsia="黑体" w:cs="黑体"/>
          <w:spacing w:val="-5"/>
          <w:sz w:val="23"/>
          <w:szCs w:val="23"/>
        </w:rPr>
        <w:t>友为主体，组织不同方向的丰富多彩的文旅、体育、艺术、传统文化类活动，学员可以根据自己的特长和爱</w:t>
      </w:r>
      <w:r>
        <w:rPr>
          <w:rFonts w:ascii="黑体" w:hAnsi="黑体" w:eastAsia="黑体" w:cs="黑体"/>
          <w:sz w:val="23"/>
          <w:szCs w:val="23"/>
        </w:rPr>
        <w:t xml:space="preserve"> </w:t>
      </w:r>
      <w:r>
        <w:rPr>
          <w:rFonts w:ascii="黑体" w:hAnsi="黑体" w:eastAsia="黑体" w:cs="黑体"/>
          <w:spacing w:val="-8"/>
          <w:sz w:val="23"/>
          <w:szCs w:val="23"/>
        </w:rPr>
        <w:t>好加入俱乐部，俱乐部以专业特长和兴趣爱好为纽带，以学促友</w:t>
      </w:r>
      <w:r>
        <w:rPr>
          <w:rFonts w:ascii="黑体" w:hAnsi="黑体" w:eastAsia="黑体" w:cs="黑体"/>
          <w:spacing w:val="-9"/>
          <w:sz w:val="23"/>
          <w:szCs w:val="23"/>
        </w:rPr>
        <w:t>，以友促商，共建校友经济生态圈。</w:t>
      </w:r>
    </w:p>
    <w:p w14:paraId="4EF11205">
      <w:pPr>
        <w:spacing w:line="357" w:lineRule="auto"/>
        <w:rPr>
          <w:rFonts w:ascii="黑体" w:hAnsi="黑体" w:eastAsia="黑体" w:cs="黑体"/>
          <w:sz w:val="23"/>
          <w:szCs w:val="23"/>
        </w:rPr>
        <w:sectPr>
          <w:pgSz w:w="11900" w:h="16840"/>
          <w:pgMar w:top="400" w:right="0" w:bottom="0" w:left="0" w:header="0" w:footer="0" w:gutter="0"/>
          <w:cols w:space="720" w:num="1"/>
        </w:sectPr>
      </w:pPr>
    </w:p>
    <w:p w14:paraId="26A22731">
      <w:pPr>
        <w:pStyle w:val="2"/>
        <w:spacing w:line="244" w:lineRule="auto"/>
      </w:pPr>
    </w:p>
    <w:p w14:paraId="14057E79">
      <w:pPr>
        <w:pStyle w:val="2"/>
        <w:spacing w:line="245" w:lineRule="auto"/>
      </w:pPr>
    </w:p>
    <w:p w14:paraId="718A6FB2">
      <w:pPr>
        <w:pStyle w:val="2"/>
        <w:spacing w:line="245" w:lineRule="auto"/>
      </w:pPr>
    </w:p>
    <w:p w14:paraId="10017E69">
      <w:pPr>
        <w:pStyle w:val="2"/>
        <w:spacing w:line="245" w:lineRule="auto"/>
      </w:pPr>
    </w:p>
    <w:p w14:paraId="3AA9B20A">
      <w:pPr>
        <w:pStyle w:val="2"/>
        <w:spacing w:line="245" w:lineRule="auto"/>
      </w:pPr>
    </w:p>
    <w:p w14:paraId="22DD0381">
      <w:pPr>
        <w:pStyle w:val="2"/>
        <w:spacing w:line="245" w:lineRule="auto"/>
      </w:pPr>
    </w:p>
    <w:p w14:paraId="23580062">
      <w:pPr>
        <w:pStyle w:val="2"/>
        <w:spacing w:line="245" w:lineRule="auto"/>
      </w:pPr>
    </w:p>
    <w:p w14:paraId="337BC1DC">
      <w:pPr>
        <w:pStyle w:val="2"/>
        <w:spacing w:line="245" w:lineRule="auto"/>
      </w:pPr>
    </w:p>
    <w:p w14:paraId="2F0A12FD">
      <w:pPr>
        <w:pStyle w:val="2"/>
        <w:spacing w:line="245" w:lineRule="auto"/>
      </w:pPr>
    </w:p>
    <w:p w14:paraId="2933A2AC">
      <w:pPr>
        <w:pStyle w:val="2"/>
        <w:spacing w:line="245" w:lineRule="auto"/>
      </w:pPr>
    </w:p>
    <w:p w14:paraId="230A6FCF">
      <w:pPr>
        <w:pStyle w:val="2"/>
        <w:spacing w:line="245" w:lineRule="auto"/>
      </w:pPr>
    </w:p>
    <w:p w14:paraId="7853CD31">
      <w:pPr>
        <w:pStyle w:val="2"/>
        <w:spacing w:line="245" w:lineRule="auto"/>
      </w:pPr>
    </w:p>
    <w:p w14:paraId="3D103BFE">
      <w:pPr>
        <w:pStyle w:val="2"/>
        <w:spacing w:line="245" w:lineRule="auto"/>
      </w:pPr>
    </w:p>
    <w:p w14:paraId="5579F81E">
      <w:pPr>
        <w:pStyle w:val="2"/>
        <w:spacing w:line="245" w:lineRule="auto"/>
      </w:pPr>
    </w:p>
    <w:p w14:paraId="082072B0">
      <w:pPr>
        <w:pStyle w:val="2"/>
        <w:spacing w:line="245" w:lineRule="auto"/>
      </w:pPr>
    </w:p>
    <w:p w14:paraId="72053198">
      <w:pPr>
        <w:pStyle w:val="2"/>
        <w:spacing w:line="245" w:lineRule="auto"/>
      </w:pPr>
    </w:p>
    <w:p w14:paraId="205F7E96">
      <w:pPr>
        <w:pStyle w:val="2"/>
        <w:spacing w:line="245" w:lineRule="auto"/>
      </w:pPr>
    </w:p>
    <w:p w14:paraId="7A0D2B20">
      <w:pPr>
        <w:pStyle w:val="2"/>
        <w:spacing w:line="245" w:lineRule="auto"/>
      </w:pPr>
    </w:p>
    <w:p w14:paraId="18179415">
      <w:pPr>
        <w:pStyle w:val="2"/>
        <w:spacing w:line="245" w:lineRule="auto"/>
      </w:pPr>
    </w:p>
    <w:p w14:paraId="0661EAC7">
      <w:pPr>
        <w:pStyle w:val="2"/>
        <w:spacing w:line="245" w:lineRule="auto"/>
      </w:pPr>
    </w:p>
    <w:p w14:paraId="42F5B52D">
      <w:pPr>
        <w:spacing w:before="241" w:line="219" w:lineRule="auto"/>
        <w:ind w:left="610"/>
        <w:rPr>
          <w:rFonts w:ascii="宋体" w:hAnsi="宋体" w:eastAsia="宋体" w:cs="宋体"/>
          <w:sz w:val="74"/>
          <w:szCs w:val="74"/>
        </w:rPr>
      </w:pPr>
      <w:r>
        <w:drawing>
          <wp:anchor distT="0" distB="0" distL="0" distR="0" simplePos="0" relativeHeight="251674624" behindDoc="1" locked="0" layoutInCell="1" allowOverlap="1">
            <wp:simplePos x="0" y="0"/>
            <wp:positionH relativeFrom="column">
              <wp:posOffset>0</wp:posOffset>
            </wp:positionH>
            <wp:positionV relativeFrom="paragraph">
              <wp:posOffset>-3382645</wp:posOffset>
            </wp:positionV>
            <wp:extent cx="7556500" cy="10693400"/>
            <wp:effectExtent l="0" t="0" r="0" b="0"/>
            <wp:wrapNone/>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22"/>
                    <a:stretch>
                      <a:fillRect/>
                    </a:stretch>
                  </pic:blipFill>
                  <pic:spPr>
                    <a:xfrm>
                      <a:off x="0" y="0"/>
                      <a:ext cx="7556500" cy="10693400"/>
                    </a:xfrm>
                    <a:prstGeom prst="rect">
                      <a:avLst/>
                    </a:prstGeom>
                  </pic:spPr>
                </pic:pic>
              </a:graphicData>
            </a:graphic>
          </wp:anchor>
        </w:drawing>
      </w:r>
      <w:r>
        <w:rPr>
          <w:rFonts w:ascii="宋体" w:hAnsi="宋体" w:eastAsia="宋体" w:cs="宋体"/>
          <w:b/>
          <w:bCs/>
          <w:color w:val="FFFFFF"/>
          <w:spacing w:val="-13"/>
          <w:sz w:val="74"/>
          <w:szCs w:val="74"/>
        </w:rPr>
        <w:t>教学模式与学制</w:t>
      </w:r>
    </w:p>
    <w:p w14:paraId="5D396CE1">
      <w:pPr>
        <w:pStyle w:val="2"/>
        <w:spacing w:before="206" w:line="198" w:lineRule="auto"/>
        <w:ind w:left="599"/>
        <w:rPr>
          <w:sz w:val="38"/>
          <w:szCs w:val="38"/>
        </w:rPr>
      </w:pPr>
      <w:r>
        <w:rPr>
          <w:b/>
          <w:bCs/>
          <w:color w:val="FFFFFF"/>
          <w:spacing w:val="-6"/>
          <w:sz w:val="38"/>
          <w:szCs w:val="38"/>
        </w:rPr>
        <w:t>TEACHING</w:t>
      </w:r>
      <w:r>
        <w:rPr>
          <w:b/>
          <w:bCs/>
          <w:color w:val="FFFFFF"/>
          <w:spacing w:val="33"/>
          <w:sz w:val="38"/>
          <w:szCs w:val="38"/>
        </w:rPr>
        <w:t xml:space="preserve"> </w:t>
      </w:r>
      <w:r>
        <w:rPr>
          <w:b/>
          <w:bCs/>
          <w:color w:val="FFFFFF"/>
          <w:spacing w:val="-6"/>
          <w:sz w:val="38"/>
          <w:szCs w:val="38"/>
        </w:rPr>
        <w:t>METHODS</w:t>
      </w:r>
    </w:p>
    <w:p w14:paraId="6DFDAE01">
      <w:pPr>
        <w:pStyle w:val="2"/>
        <w:spacing w:before="169" w:line="198" w:lineRule="auto"/>
        <w:ind w:left="599"/>
        <w:rPr>
          <w:sz w:val="38"/>
          <w:szCs w:val="38"/>
        </w:rPr>
      </w:pPr>
      <w:r>
        <w:rPr>
          <w:b/>
          <w:bCs/>
          <w:color w:val="FFFFFF"/>
          <w:spacing w:val="-11"/>
          <w:sz w:val="38"/>
          <w:szCs w:val="38"/>
        </w:rPr>
        <w:t>EDUCATIONAL SYSTEM</w:t>
      </w:r>
    </w:p>
    <w:p w14:paraId="709F83F6">
      <w:pPr>
        <w:pStyle w:val="2"/>
        <w:spacing w:line="262" w:lineRule="auto"/>
      </w:pPr>
    </w:p>
    <w:p w14:paraId="7454EDEB">
      <w:pPr>
        <w:pStyle w:val="2"/>
        <w:spacing w:line="262" w:lineRule="auto"/>
      </w:pPr>
    </w:p>
    <w:p w14:paraId="412A830A">
      <w:pPr>
        <w:pStyle w:val="2"/>
        <w:spacing w:line="262" w:lineRule="auto"/>
      </w:pPr>
    </w:p>
    <w:p w14:paraId="48B9ADF9">
      <w:pPr>
        <w:spacing w:before="188" w:line="254" w:lineRule="auto"/>
        <w:ind w:left="608" w:right="1364"/>
        <w:rPr>
          <w:rFonts w:ascii="宋体" w:hAnsi="宋体" w:eastAsia="宋体" w:cs="宋体"/>
          <w:sz w:val="58"/>
          <w:szCs w:val="58"/>
        </w:rPr>
      </w:pPr>
      <w:r>
        <w:rPr>
          <w:rFonts w:ascii="宋体" w:hAnsi="宋体" w:eastAsia="宋体" w:cs="宋体"/>
          <w:b/>
          <w:bCs/>
          <w:color w:val="00C48F"/>
          <w:spacing w:val="-5"/>
          <w:sz w:val="58"/>
          <w:szCs w:val="58"/>
        </w:rPr>
        <w:t>理论学习</w:t>
      </w:r>
      <w:r>
        <w:rPr>
          <w:rFonts w:ascii="宋体" w:hAnsi="宋体" w:eastAsia="宋体" w:cs="宋体"/>
          <w:b/>
          <w:bCs/>
          <w:color w:val="5FCC00"/>
          <w:spacing w:val="-5"/>
          <w:sz w:val="58"/>
          <w:szCs w:val="58"/>
        </w:rPr>
        <w:t>、案例研讨、游学考察、主题</w:t>
      </w:r>
      <w:r>
        <w:rPr>
          <w:rFonts w:ascii="宋体" w:hAnsi="宋体" w:eastAsia="宋体" w:cs="宋体"/>
          <w:color w:val="5FCC00"/>
          <w:spacing w:val="13"/>
          <w:sz w:val="58"/>
          <w:szCs w:val="58"/>
        </w:rPr>
        <w:t xml:space="preserve"> </w:t>
      </w:r>
      <w:r>
        <w:rPr>
          <w:rFonts w:ascii="宋体" w:hAnsi="宋体" w:eastAsia="宋体" w:cs="宋体"/>
          <w:b/>
          <w:bCs/>
          <w:color w:val="00C48F"/>
          <w:spacing w:val="-3"/>
          <w:sz w:val="58"/>
          <w:szCs w:val="58"/>
        </w:rPr>
        <w:t>沙龙、项</w:t>
      </w:r>
      <w:r>
        <w:rPr>
          <w:rFonts w:ascii="宋体" w:hAnsi="宋体" w:eastAsia="宋体" w:cs="宋体"/>
          <w:b/>
          <w:bCs/>
          <w:color w:val="5FCC00"/>
          <w:spacing w:val="-3"/>
          <w:sz w:val="58"/>
          <w:szCs w:val="58"/>
        </w:rPr>
        <w:t>目实践相结合，确保学习效果</w:t>
      </w:r>
    </w:p>
    <w:p w14:paraId="397CFD02">
      <w:pPr>
        <w:pStyle w:val="2"/>
        <w:spacing w:line="274" w:lineRule="auto"/>
      </w:pPr>
    </w:p>
    <w:p w14:paraId="2DD89B97">
      <w:pPr>
        <w:pStyle w:val="2"/>
        <w:spacing w:line="274" w:lineRule="auto"/>
      </w:pPr>
    </w:p>
    <w:p w14:paraId="4B91EC31">
      <w:pPr>
        <w:pStyle w:val="2"/>
        <w:spacing w:line="274" w:lineRule="auto"/>
      </w:pPr>
    </w:p>
    <w:p w14:paraId="746CB722">
      <w:pPr>
        <w:spacing w:before="76" w:line="221" w:lineRule="auto"/>
        <w:ind w:left="599"/>
        <w:rPr>
          <w:rFonts w:ascii="黑体" w:hAnsi="黑体" w:eastAsia="黑体" w:cs="黑体"/>
          <w:sz w:val="23"/>
          <w:szCs w:val="23"/>
        </w:rPr>
      </w:pPr>
      <w:r>
        <w:rPr>
          <w:rFonts w:ascii="Times New Roman" w:hAnsi="Times New Roman" w:eastAsia="Times New Roman" w:cs="Times New Roman"/>
          <w:color w:val="00C3A9"/>
          <w:spacing w:val="-13"/>
          <w:sz w:val="23"/>
          <w:szCs w:val="23"/>
        </w:rPr>
        <w:t>O</w:t>
      </w:r>
      <w:r>
        <w:rPr>
          <w:rFonts w:ascii="Times New Roman" w:hAnsi="Times New Roman" w:eastAsia="Times New Roman" w:cs="Times New Roman"/>
          <w:color w:val="00C3A9"/>
          <w:spacing w:val="24"/>
          <w:w w:val="101"/>
          <w:sz w:val="23"/>
          <w:szCs w:val="23"/>
        </w:rPr>
        <w:t xml:space="preserve">  </w:t>
      </w:r>
      <w:r>
        <w:rPr>
          <w:rFonts w:ascii="黑体" w:hAnsi="黑体" w:eastAsia="黑体" w:cs="黑体"/>
          <w:b/>
          <w:bCs/>
          <w:color w:val="00C3A9"/>
          <w:spacing w:val="-13"/>
          <w:sz w:val="23"/>
          <w:szCs w:val="23"/>
        </w:rPr>
        <w:t>课堂教学：</w:t>
      </w:r>
      <w:r>
        <w:rPr>
          <w:rFonts w:ascii="黑体" w:hAnsi="黑体" w:eastAsia="黑体" w:cs="黑体"/>
          <w:spacing w:val="-13"/>
          <w:sz w:val="23"/>
          <w:szCs w:val="23"/>
        </w:rPr>
        <w:t>系统理论学习、案例分析与专题讲座相结合。</w:t>
      </w:r>
    </w:p>
    <w:p w14:paraId="0A040680">
      <w:pPr>
        <w:spacing w:before="274" w:line="221" w:lineRule="auto"/>
        <w:ind w:left="599"/>
        <w:rPr>
          <w:rFonts w:ascii="黑体" w:hAnsi="黑体" w:eastAsia="黑体" w:cs="黑体"/>
          <w:sz w:val="23"/>
          <w:szCs w:val="23"/>
        </w:rPr>
      </w:pPr>
      <w:r>
        <w:rPr>
          <w:rFonts w:ascii="宋体" w:hAnsi="宋体" w:eastAsia="宋体" w:cs="宋体"/>
          <w:spacing w:val="-13"/>
          <w:sz w:val="23"/>
          <w:szCs w:val="23"/>
        </w:rPr>
        <w:t>O</w:t>
      </w:r>
      <w:r>
        <w:rPr>
          <w:rFonts w:ascii="宋体" w:hAnsi="宋体" w:eastAsia="宋体" w:cs="宋体"/>
          <w:spacing w:val="91"/>
          <w:sz w:val="23"/>
          <w:szCs w:val="23"/>
        </w:rPr>
        <w:t xml:space="preserve"> </w:t>
      </w:r>
      <w:r>
        <w:rPr>
          <w:rFonts w:ascii="黑体" w:hAnsi="黑体" w:eastAsia="黑体" w:cs="黑体"/>
          <w:b/>
          <w:bCs/>
          <w:color w:val="00C3A9"/>
          <w:spacing w:val="-13"/>
          <w:sz w:val="23"/>
          <w:szCs w:val="23"/>
        </w:rPr>
        <w:t>课外研学：</w:t>
      </w:r>
      <w:r>
        <w:rPr>
          <w:rFonts w:ascii="黑体" w:hAnsi="黑体" w:eastAsia="黑体" w:cs="黑体"/>
          <w:spacing w:val="-13"/>
          <w:sz w:val="23"/>
          <w:szCs w:val="23"/>
        </w:rPr>
        <w:t>国内外游学考察、标杆企业学习研讨、同学企业创新发展思</w:t>
      </w:r>
      <w:r>
        <w:rPr>
          <w:rFonts w:ascii="黑体" w:hAnsi="黑体" w:eastAsia="黑体" w:cs="黑体"/>
          <w:spacing w:val="-14"/>
          <w:sz w:val="23"/>
          <w:szCs w:val="23"/>
        </w:rPr>
        <w:t>享会。</w:t>
      </w:r>
    </w:p>
    <w:p w14:paraId="6E47FB6E">
      <w:pPr>
        <w:pStyle w:val="2"/>
        <w:spacing w:before="249" w:line="213" w:lineRule="auto"/>
        <w:ind w:left="599"/>
        <w:rPr>
          <w:rFonts w:ascii="黑体" w:hAnsi="黑体" w:eastAsia="黑体" w:cs="黑体"/>
          <w:sz w:val="23"/>
          <w:szCs w:val="23"/>
        </w:rPr>
      </w:pPr>
      <w:r>
        <w:rPr>
          <w:color w:val="31C89A"/>
          <w:spacing w:val="-6"/>
          <w:sz w:val="23"/>
          <w:szCs w:val="23"/>
        </w:rPr>
        <w:t xml:space="preserve">O  </w:t>
      </w:r>
      <w:r>
        <w:rPr>
          <w:rFonts w:ascii="黑体" w:hAnsi="黑体" w:eastAsia="黑体" w:cs="黑体"/>
          <w:b/>
          <w:bCs/>
          <w:color w:val="00C3A9"/>
          <w:spacing w:val="-6"/>
          <w:sz w:val="23"/>
          <w:szCs w:val="23"/>
        </w:rPr>
        <w:t>案例实践：</w:t>
      </w:r>
      <w:r>
        <w:rPr>
          <w:rFonts w:ascii="黑体" w:hAnsi="黑体" w:eastAsia="黑体" w:cs="黑体"/>
          <w:spacing w:val="-6"/>
          <w:sz w:val="23"/>
          <w:szCs w:val="23"/>
        </w:rPr>
        <w:t>同学可直接参与到同学企业主导的共同投资不同类型项目中来，亲身体验专业团队项目</w:t>
      </w:r>
    </w:p>
    <w:p w14:paraId="5466FDCF">
      <w:pPr>
        <w:spacing w:before="214" w:line="213" w:lineRule="auto"/>
        <w:ind w:left="959"/>
        <w:rPr>
          <w:rFonts w:ascii="黑体" w:hAnsi="黑体" w:eastAsia="黑体" w:cs="黑体"/>
          <w:sz w:val="23"/>
          <w:szCs w:val="23"/>
        </w:rPr>
      </w:pPr>
      <w:r>
        <w:rPr>
          <w:rFonts w:ascii="黑体" w:hAnsi="黑体" w:eastAsia="黑体" w:cs="黑体"/>
          <w:spacing w:val="-9"/>
          <w:sz w:val="23"/>
          <w:szCs w:val="23"/>
        </w:rPr>
        <w:t>运营经验的同时，真实了解不同领域项目投资盈利能力和风险点。</w:t>
      </w:r>
    </w:p>
    <w:p w14:paraId="5488FC5F">
      <w:pPr>
        <w:spacing w:before="303" w:line="221" w:lineRule="auto"/>
        <w:ind w:left="599"/>
        <w:rPr>
          <w:rFonts w:ascii="黑体" w:hAnsi="黑体" w:eastAsia="黑体" w:cs="黑体"/>
          <w:sz w:val="23"/>
          <w:szCs w:val="23"/>
        </w:rPr>
      </w:pPr>
      <w:r>
        <w:rPr>
          <w:rFonts w:ascii="宋体" w:hAnsi="宋体" w:eastAsia="宋体" w:cs="宋体"/>
          <w:spacing w:val="-10"/>
          <w:sz w:val="23"/>
          <w:szCs w:val="23"/>
        </w:rPr>
        <w:t xml:space="preserve">O  </w:t>
      </w:r>
      <w:r>
        <w:rPr>
          <w:rFonts w:ascii="黑体" w:hAnsi="黑体" w:eastAsia="黑体" w:cs="黑体"/>
          <w:b/>
          <w:bCs/>
          <w:color w:val="00C3A9"/>
          <w:spacing w:val="-10"/>
          <w:sz w:val="23"/>
          <w:szCs w:val="23"/>
        </w:rPr>
        <w:t>专业赋能：</w:t>
      </w:r>
      <w:r>
        <w:rPr>
          <w:rFonts w:ascii="黑体" w:hAnsi="黑体" w:eastAsia="黑体" w:cs="黑体"/>
          <w:spacing w:val="-10"/>
          <w:sz w:val="23"/>
          <w:szCs w:val="23"/>
        </w:rPr>
        <w:t>课后与授课专家及不同专业背景的同学、校友间的交流学习。</w:t>
      </w:r>
    </w:p>
    <w:p w14:paraId="07672C05">
      <w:pPr>
        <w:spacing w:before="236" w:line="213" w:lineRule="auto"/>
        <w:ind w:left="599"/>
        <w:rPr>
          <w:rFonts w:ascii="黑体" w:hAnsi="黑体" w:eastAsia="黑体" w:cs="黑体"/>
          <w:sz w:val="23"/>
          <w:szCs w:val="23"/>
        </w:rPr>
      </w:pPr>
      <w:r>
        <w:rPr>
          <w:rFonts w:ascii="黑体" w:hAnsi="黑体" w:eastAsia="黑体" w:cs="黑体"/>
          <w:spacing w:val="-9"/>
          <w:sz w:val="23"/>
          <w:szCs w:val="23"/>
        </w:rPr>
        <w:t>O</w:t>
      </w:r>
      <w:r>
        <w:rPr>
          <w:rFonts w:ascii="黑体" w:hAnsi="黑体" w:eastAsia="黑体" w:cs="黑体"/>
          <w:spacing w:val="104"/>
          <w:sz w:val="23"/>
          <w:szCs w:val="23"/>
        </w:rPr>
        <w:t xml:space="preserve"> </w:t>
      </w:r>
      <w:r>
        <w:rPr>
          <w:rFonts w:ascii="黑体" w:hAnsi="黑体" w:eastAsia="黑体" w:cs="黑体"/>
          <w:b/>
          <w:bCs/>
          <w:color w:val="00C3A9"/>
          <w:spacing w:val="-9"/>
          <w:sz w:val="23"/>
          <w:szCs w:val="23"/>
        </w:rPr>
        <w:t>学制：</w:t>
      </w:r>
      <w:r>
        <w:rPr>
          <w:rFonts w:ascii="黑体" w:hAnsi="黑体" w:eastAsia="黑体" w:cs="黑体"/>
          <w:spacing w:val="-9"/>
          <w:sz w:val="23"/>
          <w:szCs w:val="23"/>
        </w:rPr>
        <w:t>两年，每月集中学习研讨两天(周六、日),三个月参观考察研学活动，最后三个月完成针对学</w:t>
      </w:r>
    </w:p>
    <w:p w14:paraId="3D82C10A">
      <w:pPr>
        <w:spacing w:before="225" w:line="221" w:lineRule="auto"/>
        <w:ind w:left="959"/>
        <w:rPr>
          <w:rFonts w:ascii="黑体" w:hAnsi="黑体" w:eastAsia="黑体" w:cs="黑体"/>
          <w:sz w:val="23"/>
          <w:szCs w:val="23"/>
        </w:rPr>
      </w:pPr>
      <w:r>
        <w:rPr>
          <w:rFonts w:ascii="黑体" w:hAnsi="黑体" w:eastAsia="黑体" w:cs="黑体"/>
          <w:spacing w:val="-8"/>
          <w:sz w:val="23"/>
          <w:szCs w:val="23"/>
        </w:rPr>
        <w:t>员企业实际问题的论文。</w:t>
      </w:r>
    </w:p>
    <w:p w14:paraId="41D9EDE8">
      <w:pPr>
        <w:spacing w:before="281" w:line="221" w:lineRule="auto"/>
        <w:ind w:left="599"/>
        <w:rPr>
          <w:rFonts w:ascii="黑体" w:hAnsi="黑体" w:eastAsia="黑体" w:cs="黑体"/>
          <w:sz w:val="23"/>
          <w:szCs w:val="23"/>
        </w:rPr>
      </w:pPr>
      <w:r>
        <w:rPr>
          <w:rFonts w:ascii="宋体" w:hAnsi="宋体" w:eastAsia="宋体" w:cs="宋体"/>
          <w:color w:val="00C3A9"/>
          <w:spacing w:val="-8"/>
          <w:sz w:val="23"/>
          <w:szCs w:val="23"/>
        </w:rPr>
        <w:t xml:space="preserve">O  </w:t>
      </w:r>
      <w:r>
        <w:rPr>
          <w:rFonts w:ascii="黑体" w:hAnsi="黑体" w:eastAsia="黑体" w:cs="黑体"/>
          <w:b/>
          <w:bCs/>
          <w:color w:val="00C3A9"/>
          <w:spacing w:val="-8"/>
          <w:sz w:val="23"/>
          <w:szCs w:val="23"/>
        </w:rPr>
        <w:t>上课地点：</w:t>
      </w:r>
      <w:r>
        <w:rPr>
          <w:rFonts w:ascii="黑体" w:hAnsi="黑体" w:eastAsia="黑体" w:cs="黑体"/>
          <w:b/>
          <w:bCs/>
          <w:spacing w:val="-8"/>
          <w:sz w:val="23"/>
          <w:szCs w:val="23"/>
        </w:rPr>
        <w:t>广</w:t>
      </w:r>
      <w:r>
        <w:rPr>
          <w:rFonts w:ascii="黑体" w:hAnsi="黑体" w:eastAsia="黑体" w:cs="黑体"/>
          <w:spacing w:val="-8"/>
          <w:sz w:val="23"/>
          <w:szCs w:val="23"/>
        </w:rPr>
        <w:t>州+移动课堂</w:t>
      </w:r>
    </w:p>
    <w:p w14:paraId="709193DE">
      <w:pPr>
        <w:spacing w:before="248" w:line="213" w:lineRule="auto"/>
        <w:ind w:left="599"/>
        <w:rPr>
          <w:rFonts w:ascii="黑体" w:hAnsi="黑体" w:eastAsia="黑体" w:cs="黑体"/>
          <w:sz w:val="23"/>
          <w:szCs w:val="23"/>
        </w:rPr>
      </w:pPr>
      <w:r>
        <w:rPr>
          <w:rFonts w:ascii="宋体" w:hAnsi="宋体" w:eastAsia="宋体" w:cs="宋体"/>
          <w:spacing w:val="-11"/>
          <w:sz w:val="23"/>
          <w:szCs w:val="23"/>
        </w:rPr>
        <w:t>O</w:t>
      </w:r>
      <w:r>
        <w:rPr>
          <w:rFonts w:ascii="宋体" w:hAnsi="宋体" w:eastAsia="宋体" w:cs="宋体"/>
          <w:spacing w:val="91"/>
          <w:sz w:val="23"/>
          <w:szCs w:val="23"/>
        </w:rPr>
        <w:t xml:space="preserve"> </w:t>
      </w:r>
      <w:r>
        <w:rPr>
          <w:rFonts w:ascii="黑体" w:hAnsi="黑体" w:eastAsia="黑体" w:cs="黑体"/>
          <w:b/>
          <w:bCs/>
          <w:color w:val="00C3A9"/>
          <w:spacing w:val="-11"/>
          <w:sz w:val="23"/>
          <w:szCs w:val="23"/>
        </w:rPr>
        <w:t>备注说明：</w:t>
      </w:r>
      <w:r>
        <w:rPr>
          <w:rFonts w:ascii="黑体" w:hAnsi="黑体" w:eastAsia="黑体" w:cs="黑体"/>
          <w:spacing w:val="-11"/>
          <w:sz w:val="23"/>
          <w:szCs w:val="23"/>
        </w:rPr>
        <w:t>学习期间，出现时间冲突不能按时上课的情</w:t>
      </w:r>
      <w:r>
        <w:rPr>
          <w:rFonts w:ascii="黑体" w:hAnsi="黑体" w:eastAsia="黑体" w:cs="黑体"/>
          <w:spacing w:val="-12"/>
          <w:sz w:val="23"/>
          <w:szCs w:val="23"/>
        </w:rPr>
        <w:t>况，提前向班主任提出请假，以便学院登记同</w:t>
      </w:r>
    </w:p>
    <w:p w14:paraId="018358D8">
      <w:pPr>
        <w:spacing w:before="215" w:line="213" w:lineRule="auto"/>
        <w:ind w:left="959"/>
        <w:rPr>
          <w:rFonts w:ascii="黑体" w:hAnsi="黑体" w:eastAsia="黑体" w:cs="黑体"/>
          <w:sz w:val="23"/>
          <w:szCs w:val="23"/>
        </w:rPr>
      </w:pPr>
      <w:r>
        <w:rPr>
          <w:rFonts w:ascii="黑体" w:hAnsi="黑体" w:eastAsia="黑体" w:cs="黑体"/>
          <w:spacing w:val="-12"/>
          <w:sz w:val="23"/>
          <w:szCs w:val="23"/>
        </w:rPr>
        <w:t>学出勤情况，缺席课程可以安排后续补课。</w:t>
      </w:r>
    </w:p>
    <w:p w14:paraId="385A827B">
      <w:pPr>
        <w:spacing w:line="213" w:lineRule="auto"/>
        <w:rPr>
          <w:rFonts w:ascii="黑体" w:hAnsi="黑体" w:eastAsia="黑体" w:cs="黑体"/>
          <w:sz w:val="23"/>
          <w:szCs w:val="23"/>
        </w:rPr>
        <w:sectPr>
          <w:pgSz w:w="11900" w:h="16840"/>
          <w:pgMar w:top="400" w:right="0" w:bottom="0" w:left="0" w:header="0" w:footer="0" w:gutter="0"/>
          <w:cols w:space="720" w:num="1"/>
        </w:sectPr>
      </w:pPr>
    </w:p>
    <w:p w14:paraId="5F156968">
      <w:pPr>
        <w:pStyle w:val="2"/>
        <w:spacing w:line="392" w:lineRule="auto"/>
      </w:pPr>
    </w:p>
    <w:p w14:paraId="75E3F59D">
      <w:pPr>
        <w:spacing w:before="143" w:line="221" w:lineRule="auto"/>
        <w:ind w:left="606"/>
        <w:rPr>
          <w:rFonts w:ascii="Calibri" w:hAnsi="Calibri" w:eastAsia="Calibri" w:cs="Calibri"/>
          <w:sz w:val="44"/>
          <w:szCs w:val="44"/>
        </w:rPr>
      </w:pPr>
      <w:r>
        <w:drawing>
          <wp:anchor distT="0" distB="0" distL="0" distR="0" simplePos="0" relativeHeight="251675648" behindDoc="1" locked="0" layoutInCell="1" allowOverlap="1">
            <wp:simplePos x="0" y="0"/>
            <wp:positionH relativeFrom="column">
              <wp:posOffset>0</wp:posOffset>
            </wp:positionH>
            <wp:positionV relativeFrom="paragraph">
              <wp:posOffset>-504190</wp:posOffset>
            </wp:positionV>
            <wp:extent cx="7556500" cy="10693400"/>
            <wp:effectExtent l="0" t="0" r="0" b="0"/>
            <wp:wrapNone/>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23"/>
                    <a:stretch>
                      <a:fillRect/>
                    </a:stretch>
                  </pic:blipFill>
                  <pic:spPr>
                    <a:xfrm>
                      <a:off x="0" y="0"/>
                      <a:ext cx="7556500" cy="10693400"/>
                    </a:xfrm>
                    <a:prstGeom prst="rect">
                      <a:avLst/>
                    </a:prstGeom>
                  </pic:spPr>
                </pic:pic>
              </a:graphicData>
            </a:graphic>
          </wp:anchor>
        </w:drawing>
      </w:r>
      <w:r>
        <w:rPr>
          <w:rFonts w:ascii="黑体" w:hAnsi="黑体" w:eastAsia="黑体" w:cs="黑体"/>
          <w:b/>
          <w:bCs/>
          <w:spacing w:val="38"/>
          <w:sz w:val="44"/>
          <w:szCs w:val="44"/>
        </w:rPr>
        <w:t>学员权益</w:t>
      </w:r>
      <w:r>
        <w:rPr>
          <w:rFonts w:ascii="宋体" w:hAnsi="宋体" w:eastAsia="宋体" w:cs="宋体"/>
          <w:b/>
          <w:bCs/>
          <w:sz w:val="44"/>
          <w:szCs w:val="44"/>
        </w:rPr>
        <w:t>E</w:t>
      </w:r>
      <w:r>
        <w:rPr>
          <w:rFonts w:ascii="宋体" w:hAnsi="宋体" w:eastAsia="宋体" w:cs="宋体"/>
          <w:spacing w:val="-25"/>
          <w:w w:val="69"/>
          <w:sz w:val="44"/>
          <w:szCs w:val="44"/>
        </w:rPr>
        <w:t>OuTIE</w:t>
      </w:r>
      <w:r>
        <w:rPr>
          <w:rFonts w:ascii="Calibri" w:hAnsi="Calibri" w:eastAsia="Calibri" w:cs="Calibri"/>
          <w:spacing w:val="-25"/>
          <w:w w:val="69"/>
          <w:sz w:val="44"/>
          <w:szCs w:val="44"/>
        </w:rPr>
        <w:t>₅</w:t>
      </w:r>
    </w:p>
    <w:p w14:paraId="77D18B93">
      <w:pPr>
        <w:spacing w:before="251" w:line="219" w:lineRule="auto"/>
        <w:ind w:left="608"/>
        <w:rPr>
          <w:rFonts w:ascii="宋体" w:hAnsi="宋体" w:eastAsia="宋体" w:cs="宋体"/>
          <w:sz w:val="58"/>
          <w:szCs w:val="58"/>
        </w:rPr>
      </w:pPr>
      <w:r>
        <w:rPr>
          <w:rFonts w:ascii="宋体" w:hAnsi="宋体" w:eastAsia="宋体" w:cs="宋体"/>
          <w:b/>
          <w:bCs/>
          <w:color w:val="00C697"/>
          <w:spacing w:val="-11"/>
          <w:sz w:val="58"/>
          <w:szCs w:val="58"/>
        </w:rPr>
        <w:t>八大</w:t>
      </w:r>
      <w:r>
        <w:rPr>
          <w:rFonts w:ascii="宋体" w:hAnsi="宋体" w:eastAsia="宋体" w:cs="宋体"/>
          <w:b/>
          <w:bCs/>
          <w:color w:val="4AC901"/>
          <w:spacing w:val="-11"/>
          <w:sz w:val="58"/>
          <w:szCs w:val="58"/>
        </w:rPr>
        <w:t>权益带来超值收获</w:t>
      </w:r>
    </w:p>
    <w:p w14:paraId="6AE80265">
      <w:pPr>
        <w:pStyle w:val="2"/>
        <w:spacing w:line="308" w:lineRule="auto"/>
      </w:pPr>
    </w:p>
    <w:p w14:paraId="5BD64CC1">
      <w:pPr>
        <w:pStyle w:val="2"/>
        <w:spacing w:line="309" w:lineRule="auto"/>
      </w:pPr>
    </w:p>
    <w:p w14:paraId="3A526254">
      <w:pPr>
        <w:pStyle w:val="2"/>
        <w:spacing w:line="309" w:lineRule="auto"/>
      </w:pPr>
    </w:p>
    <w:p w14:paraId="2252EE03">
      <w:pPr>
        <w:spacing w:before="91" w:line="213" w:lineRule="auto"/>
        <w:ind w:left="599"/>
        <w:rPr>
          <w:rFonts w:ascii="黑体" w:hAnsi="黑体" w:eastAsia="黑体" w:cs="黑体"/>
          <w:sz w:val="28"/>
          <w:szCs w:val="28"/>
        </w:rPr>
      </w:pPr>
      <w:r>
        <w:rPr>
          <w:rFonts w:ascii="Times New Roman" w:hAnsi="Times New Roman" w:eastAsia="Times New Roman" w:cs="Times New Roman"/>
          <w:color w:val="00C3AF"/>
          <w:spacing w:val="1"/>
          <w:sz w:val="28"/>
          <w:szCs w:val="28"/>
        </w:rPr>
        <w:t xml:space="preserve">01     </w:t>
      </w:r>
      <w:r>
        <w:rPr>
          <w:rFonts w:ascii="黑体" w:hAnsi="黑体" w:eastAsia="黑体" w:cs="黑体"/>
          <w:spacing w:val="1"/>
          <w:sz w:val="28"/>
          <w:szCs w:val="28"/>
        </w:rPr>
        <w:t>四个方向，五个模块两年系统课程学习</w:t>
      </w:r>
    </w:p>
    <w:p w14:paraId="218D54AA">
      <w:pPr>
        <w:pStyle w:val="2"/>
        <w:spacing w:line="343" w:lineRule="auto"/>
      </w:pPr>
    </w:p>
    <w:p w14:paraId="0EB7828E">
      <w:pPr>
        <w:spacing w:before="91" w:line="213" w:lineRule="auto"/>
        <w:ind w:left="599"/>
        <w:rPr>
          <w:rFonts w:ascii="黑体" w:hAnsi="黑体" w:eastAsia="黑体" w:cs="黑体"/>
          <w:sz w:val="28"/>
          <w:szCs w:val="28"/>
        </w:rPr>
      </w:pPr>
      <w:r>
        <w:rPr>
          <w:rFonts w:ascii="Times New Roman" w:hAnsi="Times New Roman" w:eastAsia="Times New Roman" w:cs="Times New Roman"/>
          <w:color w:val="00C3AF"/>
          <w:spacing w:val="-1"/>
          <w:sz w:val="28"/>
          <w:szCs w:val="28"/>
        </w:rPr>
        <w:t xml:space="preserve">02     </w:t>
      </w:r>
      <w:r>
        <w:rPr>
          <w:rFonts w:ascii="黑体" w:hAnsi="黑体" w:eastAsia="黑体" w:cs="黑体"/>
          <w:spacing w:val="-1"/>
          <w:sz w:val="28"/>
          <w:szCs w:val="28"/>
        </w:rPr>
        <w:t>学习空间、事业空间、生活空间，三大空间的多重赋能</w:t>
      </w:r>
    </w:p>
    <w:p w14:paraId="00C0C33C">
      <w:pPr>
        <w:pStyle w:val="2"/>
        <w:spacing w:line="375" w:lineRule="auto"/>
      </w:pPr>
    </w:p>
    <w:p w14:paraId="389D00B6">
      <w:pPr>
        <w:spacing w:before="91" w:line="221" w:lineRule="auto"/>
        <w:ind w:left="599"/>
        <w:rPr>
          <w:rFonts w:ascii="黑体" w:hAnsi="黑体" w:eastAsia="黑体" w:cs="黑体"/>
          <w:sz w:val="28"/>
          <w:szCs w:val="28"/>
        </w:rPr>
      </w:pPr>
      <w:r>
        <w:rPr>
          <w:rFonts w:ascii="Times New Roman" w:hAnsi="Times New Roman" w:eastAsia="Times New Roman" w:cs="Times New Roman"/>
          <w:color w:val="40C2B5"/>
          <w:spacing w:val="2"/>
          <w:sz w:val="28"/>
          <w:szCs w:val="28"/>
        </w:rPr>
        <w:t xml:space="preserve">03    </w:t>
      </w:r>
      <w:r>
        <w:rPr>
          <w:rFonts w:ascii="黑体" w:hAnsi="黑体" w:eastAsia="黑体" w:cs="黑体"/>
          <w:spacing w:val="2"/>
          <w:sz w:val="28"/>
          <w:szCs w:val="28"/>
        </w:rPr>
        <w:t>不低于10次行业标杆企业深度参访研讨、链接产业资源的机会</w:t>
      </w:r>
    </w:p>
    <w:p w14:paraId="34329811">
      <w:pPr>
        <w:pStyle w:val="2"/>
        <w:spacing w:line="351" w:lineRule="auto"/>
      </w:pPr>
    </w:p>
    <w:p w14:paraId="31E9E112">
      <w:pPr>
        <w:spacing w:before="92" w:line="221" w:lineRule="auto"/>
        <w:ind w:left="599"/>
        <w:rPr>
          <w:rFonts w:ascii="黑体" w:hAnsi="黑体" w:eastAsia="黑体" w:cs="黑体"/>
          <w:sz w:val="28"/>
          <w:szCs w:val="28"/>
        </w:rPr>
      </w:pPr>
      <w:r>
        <w:rPr>
          <w:rFonts w:ascii="Times New Roman" w:hAnsi="Times New Roman" w:eastAsia="Times New Roman" w:cs="Times New Roman"/>
          <w:color w:val="00C3AF"/>
          <w:spacing w:val="-1"/>
          <w:sz w:val="28"/>
          <w:szCs w:val="28"/>
        </w:rPr>
        <w:t xml:space="preserve">04     </w:t>
      </w:r>
      <w:r>
        <w:rPr>
          <w:rFonts w:ascii="黑体" w:hAnsi="黑体" w:eastAsia="黑体" w:cs="黑体"/>
          <w:spacing w:val="-1"/>
          <w:sz w:val="28"/>
          <w:szCs w:val="28"/>
        </w:rPr>
        <w:t>1次针对自身企业发展难点痛点的专家会诊私董会权益</w:t>
      </w:r>
    </w:p>
    <w:p w14:paraId="1EAF9734">
      <w:pPr>
        <w:pStyle w:val="2"/>
        <w:spacing w:line="411" w:lineRule="auto"/>
      </w:pPr>
    </w:p>
    <w:p w14:paraId="36444589">
      <w:pPr>
        <w:spacing w:before="91" w:line="517" w:lineRule="auto"/>
        <w:ind w:left="599" w:right="2135"/>
        <w:rPr>
          <w:rFonts w:ascii="黑体" w:hAnsi="黑体" w:eastAsia="黑体" w:cs="黑体"/>
          <w:sz w:val="28"/>
          <w:szCs w:val="28"/>
        </w:rPr>
      </w:pPr>
      <w:r>
        <w:rPr>
          <w:rFonts w:ascii="Times New Roman" w:hAnsi="Times New Roman" w:eastAsia="Times New Roman" w:cs="Times New Roman"/>
          <w:color w:val="00C3AF"/>
          <w:sz w:val="28"/>
          <w:szCs w:val="28"/>
        </w:rPr>
        <w:t xml:space="preserve">05     </w:t>
      </w:r>
      <w:r>
        <w:rPr>
          <w:rFonts w:ascii="黑体" w:hAnsi="黑体" w:eastAsia="黑体" w:cs="黑体"/>
          <w:sz w:val="28"/>
          <w:szCs w:val="28"/>
        </w:rPr>
        <w:t>1次组织相关上下游产业链校友客户参访自身企业的宣</w:t>
      </w:r>
      <w:r>
        <w:rPr>
          <w:rFonts w:ascii="黑体" w:hAnsi="黑体" w:eastAsia="黑体" w:cs="黑体"/>
          <w:spacing w:val="-1"/>
          <w:sz w:val="28"/>
          <w:szCs w:val="28"/>
        </w:rPr>
        <w:t>传推广活动权益</w:t>
      </w:r>
      <w:r>
        <w:rPr>
          <w:rFonts w:ascii="黑体" w:hAnsi="黑体" w:eastAsia="黑体" w:cs="黑体"/>
          <w:sz w:val="28"/>
          <w:szCs w:val="28"/>
        </w:rPr>
        <w:t xml:space="preserve"> </w:t>
      </w:r>
      <w:r>
        <w:rPr>
          <w:rFonts w:ascii="Times New Roman" w:hAnsi="Times New Roman" w:eastAsia="Times New Roman" w:cs="Times New Roman"/>
          <w:color w:val="00C3AF"/>
          <w:spacing w:val="4"/>
          <w:sz w:val="28"/>
          <w:szCs w:val="28"/>
        </w:rPr>
        <w:t xml:space="preserve">06     </w:t>
      </w:r>
      <w:r>
        <w:rPr>
          <w:rFonts w:ascii="黑体" w:hAnsi="黑体" w:eastAsia="黑体" w:cs="黑体"/>
          <w:spacing w:val="4"/>
          <w:sz w:val="28"/>
          <w:szCs w:val="28"/>
        </w:rPr>
        <w:t>2次行业高峰论坛席位</w:t>
      </w:r>
    </w:p>
    <w:p w14:paraId="2C7EDA3B">
      <w:pPr>
        <w:spacing w:before="2" w:line="515" w:lineRule="auto"/>
        <w:ind w:left="599" w:right="3692"/>
        <w:rPr>
          <w:rFonts w:ascii="黑体" w:hAnsi="黑体" w:eastAsia="黑体" w:cs="黑体"/>
          <w:sz w:val="28"/>
          <w:szCs w:val="28"/>
        </w:rPr>
      </w:pPr>
      <w:r>
        <w:rPr>
          <w:rFonts w:ascii="宋体" w:hAnsi="宋体" w:eastAsia="宋体" w:cs="宋体"/>
          <w:color w:val="40C2B5"/>
          <w:spacing w:val="-1"/>
          <w:sz w:val="28"/>
          <w:szCs w:val="28"/>
        </w:rPr>
        <w:t>07</w:t>
      </w:r>
      <w:r>
        <w:rPr>
          <w:rFonts w:ascii="宋体" w:hAnsi="宋体" w:eastAsia="宋体" w:cs="宋体"/>
          <w:color w:val="40C2B5"/>
          <w:spacing w:val="36"/>
          <w:sz w:val="28"/>
          <w:szCs w:val="28"/>
        </w:rPr>
        <w:t xml:space="preserve">  </w:t>
      </w:r>
      <w:r>
        <w:rPr>
          <w:rFonts w:ascii="黑体" w:hAnsi="黑体" w:eastAsia="黑体" w:cs="黑体"/>
          <w:spacing w:val="-1"/>
          <w:sz w:val="28"/>
          <w:szCs w:val="28"/>
        </w:rPr>
        <w:t>动态终身学习系统，毕业后参加课程均有获得免学费机会</w:t>
      </w:r>
      <w:r>
        <w:rPr>
          <w:rFonts w:ascii="黑体" w:hAnsi="黑体" w:eastAsia="黑体" w:cs="黑体"/>
          <w:spacing w:val="1"/>
          <w:sz w:val="28"/>
          <w:szCs w:val="28"/>
        </w:rPr>
        <w:t xml:space="preserve"> </w:t>
      </w:r>
      <w:r>
        <w:rPr>
          <w:rFonts w:ascii="黑体" w:hAnsi="黑体" w:eastAsia="黑体" w:cs="黑体"/>
          <w:color w:val="00C0AC"/>
          <w:spacing w:val="-2"/>
          <w:sz w:val="28"/>
          <w:szCs w:val="28"/>
        </w:rPr>
        <w:t>0</w:t>
      </w:r>
      <w:r>
        <w:rPr>
          <w:rFonts w:ascii="黑体" w:hAnsi="黑体" w:eastAsia="黑体" w:cs="黑体"/>
          <w:color w:val="00C0AC"/>
          <w:spacing w:val="80"/>
          <w:sz w:val="28"/>
          <w:szCs w:val="28"/>
        </w:rPr>
        <w:t xml:space="preserve"> </w:t>
      </w:r>
      <w:r>
        <w:rPr>
          <w:rFonts w:ascii="黑体" w:hAnsi="黑体" w:eastAsia="黑体" w:cs="黑体"/>
          <w:color w:val="00C0AC"/>
          <w:spacing w:val="-2"/>
          <w:sz w:val="28"/>
          <w:szCs w:val="28"/>
        </w:rPr>
        <w:t>日</w:t>
      </w:r>
      <w:r>
        <w:rPr>
          <w:rFonts w:ascii="黑体" w:hAnsi="黑体" w:eastAsia="黑体" w:cs="黑体"/>
          <w:color w:val="00C0AC"/>
          <w:spacing w:val="-54"/>
          <w:sz w:val="28"/>
          <w:szCs w:val="28"/>
        </w:rPr>
        <w:t xml:space="preserve"> </w:t>
      </w:r>
      <w:r>
        <w:rPr>
          <w:rFonts w:ascii="黑体" w:hAnsi="黑体" w:eastAsia="黑体" w:cs="黑体"/>
          <w:spacing w:val="-2"/>
          <w:sz w:val="28"/>
          <w:szCs w:val="28"/>
        </w:rPr>
        <w:t>加入校友会权益，共享校友产业经济生态圈</w:t>
      </w:r>
    </w:p>
    <w:p w14:paraId="435A6CA2">
      <w:pPr>
        <w:spacing w:line="515" w:lineRule="auto"/>
        <w:rPr>
          <w:rFonts w:ascii="黑体" w:hAnsi="黑体" w:eastAsia="黑体" w:cs="黑体"/>
          <w:sz w:val="28"/>
          <w:szCs w:val="28"/>
        </w:rPr>
        <w:sectPr>
          <w:pgSz w:w="11900" w:h="16840"/>
          <w:pgMar w:top="400" w:right="0" w:bottom="0" w:left="0" w:header="0" w:footer="0" w:gutter="0"/>
          <w:cols w:space="720" w:num="1"/>
        </w:sectPr>
      </w:pPr>
    </w:p>
    <w:p w14:paraId="5B5FCDA9">
      <w:pPr>
        <w:spacing w:before="190" w:line="4779" w:lineRule="exact"/>
        <w:ind w:firstLine="3619"/>
      </w:pPr>
      <w:r>
        <w:rPr>
          <w:position w:val="-95"/>
        </w:rPr>
        <w:drawing>
          <wp:inline distT="0" distB="0" distL="0" distR="0">
            <wp:extent cx="2921000" cy="3034665"/>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24"/>
                    <a:stretch>
                      <a:fillRect/>
                    </a:stretch>
                  </pic:blipFill>
                  <pic:spPr>
                    <a:xfrm>
                      <a:off x="0" y="0"/>
                      <a:ext cx="2921040" cy="3035214"/>
                    </a:xfrm>
                    <a:prstGeom prst="rect">
                      <a:avLst/>
                    </a:prstGeom>
                  </pic:spPr>
                </pic:pic>
              </a:graphicData>
            </a:graphic>
          </wp:inline>
        </w:drawing>
      </w:r>
    </w:p>
    <w:p w14:paraId="166C6470">
      <w:pPr>
        <w:pStyle w:val="2"/>
        <w:spacing w:line="303" w:lineRule="auto"/>
      </w:pPr>
    </w:p>
    <w:p w14:paraId="6331513C">
      <w:pPr>
        <w:spacing w:before="156" w:line="233" w:lineRule="auto"/>
        <w:ind w:left="3776" w:right="3266" w:hanging="500"/>
        <w:rPr>
          <w:rFonts w:ascii="宋体" w:hAnsi="宋体" w:eastAsia="宋体" w:cs="宋体"/>
          <w:sz w:val="48"/>
          <w:szCs w:val="48"/>
        </w:rPr>
      </w:pPr>
      <w:r>
        <w:drawing>
          <wp:anchor distT="0" distB="0" distL="0" distR="0" simplePos="0" relativeHeight="251676672" behindDoc="1" locked="0" layoutInCell="1" allowOverlap="1">
            <wp:simplePos x="0" y="0"/>
            <wp:positionH relativeFrom="column">
              <wp:posOffset>0</wp:posOffset>
            </wp:positionH>
            <wp:positionV relativeFrom="paragraph">
              <wp:posOffset>-3603625</wp:posOffset>
            </wp:positionV>
            <wp:extent cx="7556500" cy="10693400"/>
            <wp:effectExtent l="0" t="0" r="0" b="0"/>
            <wp:wrapNone/>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25"/>
                    <a:stretch>
                      <a:fillRect/>
                    </a:stretch>
                  </pic:blipFill>
                  <pic:spPr>
                    <a:xfrm>
                      <a:off x="0" y="0"/>
                      <a:ext cx="7556500" cy="10693400"/>
                    </a:xfrm>
                    <a:prstGeom prst="rect">
                      <a:avLst/>
                    </a:prstGeom>
                  </pic:spPr>
                </pic:pic>
              </a:graphicData>
            </a:graphic>
          </wp:anchor>
        </w:drawing>
      </w:r>
      <w:r>
        <w:rPr>
          <w:rFonts w:ascii="宋体" w:hAnsi="宋体" w:eastAsia="宋体" w:cs="宋体"/>
          <w:b/>
          <w:bCs/>
          <w:color w:val="FFFFFF"/>
          <w:spacing w:val="1"/>
          <w:sz w:val="48"/>
          <w:szCs w:val="48"/>
        </w:rPr>
        <w:t>聚焦城建与产业创新领域</w:t>
      </w:r>
      <w:r>
        <w:rPr>
          <w:rFonts w:ascii="宋体" w:hAnsi="宋体" w:eastAsia="宋体" w:cs="宋体"/>
          <w:color w:val="FFFFFF"/>
          <w:spacing w:val="9"/>
          <w:sz w:val="48"/>
          <w:szCs w:val="48"/>
        </w:rPr>
        <w:t xml:space="preserve"> </w:t>
      </w:r>
      <w:r>
        <w:rPr>
          <w:rFonts w:ascii="宋体" w:hAnsi="宋体" w:eastAsia="宋体" w:cs="宋体"/>
          <w:b/>
          <w:bCs/>
          <w:color w:val="FFFFFF"/>
          <w:spacing w:val="-2"/>
          <w:sz w:val="48"/>
          <w:szCs w:val="48"/>
        </w:rPr>
        <w:t>全产业链企业决策者</w:t>
      </w:r>
    </w:p>
    <w:p w14:paraId="4697E0A0">
      <w:pPr>
        <w:pStyle w:val="2"/>
        <w:spacing w:line="314" w:lineRule="auto"/>
      </w:pPr>
    </w:p>
    <w:p w14:paraId="5C74C10C">
      <w:pPr>
        <w:pStyle w:val="2"/>
        <w:spacing w:line="315" w:lineRule="auto"/>
      </w:pPr>
    </w:p>
    <w:p w14:paraId="3D252112">
      <w:pPr>
        <w:spacing w:before="82" w:line="221" w:lineRule="auto"/>
        <w:ind w:left="3919"/>
        <w:rPr>
          <w:rFonts w:ascii="黑体" w:hAnsi="黑体" w:eastAsia="黑体" w:cs="黑体"/>
          <w:sz w:val="25"/>
          <w:szCs w:val="25"/>
        </w:rPr>
      </w:pPr>
      <w:r>
        <w:rPr>
          <w:rFonts w:ascii="黑体" w:hAnsi="黑体" w:eastAsia="黑体" w:cs="黑体"/>
          <w:color w:val="FFFFFF"/>
          <w:spacing w:val="5"/>
          <w:sz w:val="25"/>
          <w:szCs w:val="25"/>
        </w:rPr>
        <w:t>·</w:t>
      </w:r>
      <w:r>
        <w:rPr>
          <w:rFonts w:ascii="黑体" w:hAnsi="黑体" w:eastAsia="黑体" w:cs="黑体"/>
          <w:color w:val="FFFFFF"/>
          <w:spacing w:val="-94"/>
          <w:sz w:val="25"/>
          <w:szCs w:val="25"/>
        </w:rPr>
        <w:t xml:space="preserve"> </w:t>
      </w:r>
      <w:r>
        <w:rPr>
          <w:rFonts w:ascii="黑体" w:hAnsi="黑体" w:eastAsia="黑体" w:cs="黑体"/>
          <w:color w:val="FFFFFF"/>
          <w:spacing w:val="5"/>
          <w:sz w:val="25"/>
          <w:szCs w:val="25"/>
        </w:rPr>
        <w:t>城市开发建设领域专业管理人员 ·</w:t>
      </w:r>
    </w:p>
    <w:p w14:paraId="5E9927D3">
      <w:pPr>
        <w:spacing w:before="300" w:line="221" w:lineRule="auto"/>
        <w:ind w:left="3460"/>
        <w:rPr>
          <w:rFonts w:ascii="黑体" w:hAnsi="黑体" w:eastAsia="黑体" w:cs="黑体"/>
          <w:sz w:val="25"/>
          <w:szCs w:val="25"/>
        </w:rPr>
      </w:pPr>
      <w:r>
        <w:rPr>
          <w:rFonts w:ascii="黑体" w:hAnsi="黑体" w:eastAsia="黑体" w:cs="黑体"/>
          <w:color w:val="FFFFFF"/>
          <w:spacing w:val="1"/>
          <w:sz w:val="25"/>
          <w:szCs w:val="25"/>
        </w:rPr>
        <w:t>·传统产业、新兴产业领域决策者和管理者 ·</w:t>
      </w:r>
    </w:p>
    <w:p w14:paraId="06F7077E">
      <w:pPr>
        <w:pStyle w:val="2"/>
      </w:pPr>
    </w:p>
    <w:p w14:paraId="22440251">
      <w:pPr>
        <w:spacing w:before="81" w:line="420" w:lineRule="auto"/>
        <w:ind w:left="4039" w:right="2993" w:hanging="950"/>
        <w:rPr>
          <w:rFonts w:ascii="黑体" w:hAnsi="黑体" w:eastAsia="黑体" w:cs="黑体"/>
          <w:sz w:val="25"/>
          <w:szCs w:val="25"/>
        </w:rPr>
      </w:pPr>
      <w:r>
        <w:rPr>
          <w:rFonts w:ascii="黑体" w:hAnsi="黑体" w:eastAsia="黑体" w:cs="黑体"/>
          <w:color w:val="FFFFFF"/>
          <w:spacing w:val="-4"/>
          <w:sz w:val="25"/>
          <w:szCs w:val="25"/>
        </w:rPr>
        <w:t>·</w:t>
      </w:r>
      <w:r>
        <w:rPr>
          <w:rFonts w:ascii="黑体" w:hAnsi="黑体" w:eastAsia="黑体" w:cs="黑体"/>
          <w:color w:val="FFFFFF"/>
          <w:spacing w:val="-89"/>
          <w:sz w:val="25"/>
          <w:szCs w:val="25"/>
        </w:rPr>
        <w:t xml:space="preserve"> </w:t>
      </w:r>
      <w:r>
        <w:rPr>
          <w:rFonts w:ascii="黑体" w:hAnsi="黑体" w:eastAsia="黑体" w:cs="黑体"/>
          <w:color w:val="FFFFFF"/>
          <w:spacing w:val="-4"/>
          <w:sz w:val="25"/>
          <w:szCs w:val="25"/>
        </w:rPr>
        <w:t>地产、建筑及上下游产业链企业决策者与管理者 ·</w:t>
      </w:r>
      <w:r>
        <w:rPr>
          <w:rFonts w:ascii="黑体" w:hAnsi="黑体" w:eastAsia="黑体" w:cs="黑体"/>
          <w:color w:val="FFFFFF"/>
          <w:sz w:val="25"/>
          <w:szCs w:val="25"/>
        </w:rPr>
        <w:t xml:space="preserve"> </w:t>
      </w:r>
      <w:r>
        <w:rPr>
          <w:rFonts w:ascii="黑体" w:hAnsi="黑体" w:eastAsia="黑体" w:cs="黑体"/>
          <w:color w:val="FFFFFF"/>
          <w:spacing w:val="-9"/>
          <w:sz w:val="25"/>
          <w:szCs w:val="25"/>
        </w:rPr>
        <w:t>·产业项目运营、招商、管理人员 ·</w:t>
      </w:r>
    </w:p>
    <w:p w14:paraId="1FBA96CD">
      <w:pPr>
        <w:spacing w:before="40" w:line="414" w:lineRule="auto"/>
        <w:ind w:left="2889" w:right="2676" w:hanging="140"/>
        <w:rPr>
          <w:rFonts w:ascii="黑体" w:hAnsi="黑体" w:eastAsia="黑体" w:cs="黑体"/>
          <w:sz w:val="25"/>
          <w:szCs w:val="25"/>
        </w:rPr>
      </w:pPr>
      <w:r>
        <w:rPr>
          <w:rFonts w:ascii="黑体" w:hAnsi="黑体" w:eastAsia="黑体" w:cs="黑体"/>
          <w:color w:val="FFFFFF"/>
          <w:spacing w:val="-15"/>
          <w:sz w:val="25"/>
          <w:szCs w:val="25"/>
        </w:rPr>
        <w:t>·</w:t>
      </w:r>
      <w:r>
        <w:rPr>
          <w:rFonts w:ascii="黑体" w:hAnsi="黑体" w:eastAsia="黑体" w:cs="黑体"/>
          <w:color w:val="FFFFFF"/>
          <w:spacing w:val="-107"/>
          <w:sz w:val="25"/>
          <w:szCs w:val="25"/>
        </w:rPr>
        <w:t xml:space="preserve"> </w:t>
      </w:r>
      <w:r>
        <w:rPr>
          <w:rFonts w:ascii="黑体" w:hAnsi="黑体" w:eastAsia="黑体" w:cs="黑体"/>
          <w:color w:val="FFFFFF"/>
          <w:spacing w:val="-15"/>
          <w:sz w:val="25"/>
          <w:szCs w:val="25"/>
        </w:rPr>
        <w:t>资产管理、运营、银行、信托基金、金融机构等管理人员 ·</w:t>
      </w:r>
      <w:r>
        <w:rPr>
          <w:rFonts w:ascii="黑体" w:hAnsi="黑体" w:eastAsia="黑体" w:cs="黑体"/>
          <w:color w:val="FFFFFF"/>
          <w:sz w:val="25"/>
          <w:szCs w:val="25"/>
        </w:rPr>
        <w:t xml:space="preserve"> </w:t>
      </w:r>
      <w:r>
        <w:rPr>
          <w:rFonts w:ascii="黑体" w:hAnsi="黑体" w:eastAsia="黑体" w:cs="黑体"/>
          <w:color w:val="FFFFFF"/>
          <w:spacing w:val="5"/>
          <w:sz w:val="25"/>
          <w:szCs w:val="25"/>
        </w:rPr>
        <w:t>·</w:t>
      </w:r>
      <w:r>
        <w:rPr>
          <w:rFonts w:ascii="黑体" w:hAnsi="黑体" w:eastAsia="黑体" w:cs="黑体"/>
          <w:color w:val="FFFFFF"/>
          <w:spacing w:val="-95"/>
          <w:sz w:val="25"/>
          <w:szCs w:val="25"/>
        </w:rPr>
        <w:t xml:space="preserve"> </w:t>
      </w:r>
      <w:r>
        <w:rPr>
          <w:rFonts w:ascii="黑体" w:hAnsi="黑体" w:eastAsia="黑体" w:cs="黑体"/>
          <w:color w:val="FFFFFF"/>
          <w:spacing w:val="5"/>
          <w:sz w:val="25"/>
          <w:szCs w:val="25"/>
        </w:rPr>
        <w:t>政府管理部门及研究机构的中高级管理及研究人员 ·</w:t>
      </w:r>
    </w:p>
    <w:p w14:paraId="27EFE47C">
      <w:pPr>
        <w:pStyle w:val="2"/>
        <w:spacing w:line="284" w:lineRule="auto"/>
      </w:pPr>
    </w:p>
    <w:p w14:paraId="3ACAC2AB">
      <w:pPr>
        <w:pStyle w:val="2"/>
        <w:spacing w:line="284" w:lineRule="auto"/>
      </w:pPr>
    </w:p>
    <w:p w14:paraId="1C828821">
      <w:pPr>
        <w:pStyle w:val="2"/>
        <w:spacing w:line="284" w:lineRule="auto"/>
      </w:pPr>
    </w:p>
    <w:p w14:paraId="2D08F276">
      <w:pPr>
        <w:pStyle w:val="2"/>
        <w:spacing w:line="284" w:lineRule="auto"/>
      </w:pPr>
    </w:p>
    <w:p w14:paraId="2B20DA0E">
      <w:pPr>
        <w:pStyle w:val="2"/>
        <w:spacing w:line="284" w:lineRule="auto"/>
      </w:pPr>
    </w:p>
    <w:p w14:paraId="24845118">
      <w:pPr>
        <w:spacing w:before="157" w:line="220" w:lineRule="auto"/>
        <w:ind w:left="626"/>
        <w:rPr>
          <w:rFonts w:ascii="宋体" w:hAnsi="宋体" w:eastAsia="宋体" w:cs="宋体"/>
          <w:sz w:val="48"/>
          <w:szCs w:val="48"/>
        </w:rPr>
      </w:pPr>
      <w:r>
        <w:pict>
          <v:shape id="_x0000_s1028" o:spid="_x0000_s1028" o:spt="202" type="#_x0000_t202" style="position:absolute;left:0pt;margin-left:129pt;margin-top:23.2pt;height:8.4pt;width:88.35pt;z-index:251677696;mso-width-relative:page;mso-height-relative:page;" filled="f" stroked="f" coordsize="21600,21600">
            <v:path/>
            <v:fill on="f" focussize="0,0"/>
            <v:stroke on="f"/>
            <v:imagedata o:title=""/>
            <o:lock v:ext="edit" aspectratio="f"/>
            <v:textbox inset="0mm,0mm,0mm,0mm">
              <w:txbxContent>
                <w:p w14:paraId="2C3F5888">
                  <w:pPr>
                    <w:pStyle w:val="2"/>
                    <w:spacing w:before="19" w:line="157" w:lineRule="auto"/>
                    <w:ind w:left="20"/>
                    <w:rPr>
                      <w:sz w:val="17"/>
                      <w:szCs w:val="17"/>
                    </w:rPr>
                  </w:pPr>
                  <w:r>
                    <w:rPr>
                      <w:color w:val="FFFFFF"/>
                      <w:spacing w:val="-3"/>
                      <w:sz w:val="17"/>
                      <w:szCs w:val="17"/>
                    </w:rPr>
                    <w:t>IADMI55ION</w:t>
                  </w:r>
                  <w:r>
                    <w:rPr>
                      <w:color w:val="FFFFFF"/>
                      <w:spacing w:val="12"/>
                      <w:sz w:val="17"/>
                      <w:szCs w:val="17"/>
                    </w:rPr>
                    <w:t xml:space="preserve"> </w:t>
                  </w:r>
                  <w:r>
                    <w:rPr>
                      <w:color w:val="FFFFFF"/>
                      <w:spacing w:val="-3"/>
                      <w:sz w:val="17"/>
                      <w:szCs w:val="17"/>
                    </w:rPr>
                    <w:t>PRDLE55</w:t>
                  </w:r>
                </w:p>
              </w:txbxContent>
            </v:textbox>
          </v:shape>
        </w:pict>
      </w:r>
      <w:r>
        <w:rPr>
          <w:rFonts w:ascii="宋体" w:hAnsi="宋体" w:eastAsia="宋体" w:cs="宋体"/>
          <w:b/>
          <w:bCs/>
          <w:color w:val="FFFFFF"/>
          <w:sz w:val="48"/>
          <w:szCs w:val="48"/>
        </w:rPr>
        <w:t>入学流程</w:t>
      </w:r>
    </w:p>
    <w:p w14:paraId="65D34146">
      <w:pPr>
        <w:pStyle w:val="2"/>
        <w:spacing w:line="258" w:lineRule="auto"/>
      </w:pPr>
    </w:p>
    <w:p w14:paraId="6EA56544">
      <w:pPr>
        <w:spacing w:before="81" w:line="213" w:lineRule="auto"/>
        <w:ind w:left="619"/>
        <w:rPr>
          <w:rFonts w:ascii="黑体" w:hAnsi="黑体" w:eastAsia="黑体" w:cs="黑体"/>
          <w:sz w:val="25"/>
          <w:szCs w:val="25"/>
        </w:rPr>
      </w:pPr>
      <w:r>
        <w:rPr>
          <w:rFonts w:ascii="宋体" w:hAnsi="宋体" w:eastAsia="宋体" w:cs="宋体"/>
          <w:color w:val="FFFFFF"/>
          <w:spacing w:val="-2"/>
          <w:sz w:val="25"/>
          <w:szCs w:val="25"/>
        </w:rPr>
        <w:t>1、</w:t>
      </w:r>
      <w:r>
        <w:rPr>
          <w:rFonts w:ascii="黑体" w:hAnsi="黑体" w:eastAsia="黑体" w:cs="黑体"/>
          <w:color w:val="FFFFFF"/>
          <w:spacing w:val="-2"/>
          <w:sz w:val="25"/>
          <w:szCs w:val="25"/>
        </w:rPr>
        <w:t>学院向有意向报读的学员发出「城建与产业创新领军人才</w:t>
      </w:r>
      <w:r>
        <w:rPr>
          <w:rFonts w:ascii="宋体" w:hAnsi="宋体" w:eastAsia="宋体" w:cs="宋体"/>
          <w:color w:val="FFFFFF"/>
          <w:spacing w:val="-2"/>
          <w:sz w:val="25"/>
          <w:szCs w:val="25"/>
        </w:rPr>
        <w:t>EMBA</w:t>
      </w:r>
      <w:r>
        <w:rPr>
          <w:rFonts w:ascii="宋体" w:hAnsi="宋体" w:eastAsia="宋体" w:cs="宋体"/>
          <w:color w:val="FFFFFF"/>
          <w:spacing w:val="62"/>
          <w:sz w:val="25"/>
          <w:szCs w:val="25"/>
        </w:rPr>
        <w:t xml:space="preserve"> </w:t>
      </w:r>
      <w:r>
        <w:rPr>
          <w:rFonts w:ascii="黑体" w:hAnsi="黑体" w:eastAsia="黑体" w:cs="黑体"/>
          <w:color w:val="FFFFFF"/>
          <w:spacing w:val="-2"/>
          <w:sz w:val="25"/>
          <w:szCs w:val="25"/>
        </w:rPr>
        <w:t>班</w:t>
      </w:r>
      <w:r>
        <w:rPr>
          <w:rFonts w:ascii="黑体" w:hAnsi="黑体" w:eastAsia="黑体" w:cs="黑体"/>
          <w:color w:val="FFFFFF"/>
          <w:spacing w:val="-3"/>
          <w:sz w:val="25"/>
          <w:szCs w:val="25"/>
        </w:rPr>
        <w:t>」报名申请表；</w:t>
      </w:r>
    </w:p>
    <w:p w14:paraId="61EA8DC4">
      <w:pPr>
        <w:spacing w:before="227" w:line="212" w:lineRule="auto"/>
        <w:ind w:left="619"/>
        <w:rPr>
          <w:rFonts w:ascii="Times New Roman" w:hAnsi="Times New Roman" w:eastAsia="Times New Roman" w:cs="Times New Roman"/>
          <w:sz w:val="25"/>
          <w:szCs w:val="25"/>
        </w:rPr>
      </w:pPr>
      <w:r>
        <w:rPr>
          <w:rFonts w:ascii="Times New Roman" w:hAnsi="Times New Roman" w:eastAsia="Times New Roman" w:cs="Times New Roman"/>
          <w:color w:val="FFFFFF"/>
          <w:spacing w:val="4"/>
          <w:sz w:val="25"/>
          <w:szCs w:val="25"/>
        </w:rPr>
        <w:t>2</w:t>
      </w:r>
      <w:r>
        <w:rPr>
          <w:rFonts w:ascii="Times New Roman" w:hAnsi="Times New Roman" w:eastAsia="Times New Roman" w:cs="Times New Roman"/>
          <w:color w:val="FFFFFF"/>
          <w:spacing w:val="-36"/>
          <w:sz w:val="25"/>
          <w:szCs w:val="25"/>
        </w:rPr>
        <w:t xml:space="preserve"> </w:t>
      </w:r>
      <w:r>
        <w:rPr>
          <w:rFonts w:ascii="宋体" w:hAnsi="宋体" w:eastAsia="宋体" w:cs="宋体"/>
          <w:color w:val="FFFFFF"/>
          <w:spacing w:val="4"/>
          <w:sz w:val="25"/>
          <w:szCs w:val="25"/>
        </w:rPr>
        <w:t>、</w:t>
      </w:r>
      <w:r>
        <w:rPr>
          <w:rFonts w:ascii="黑体" w:hAnsi="黑体" w:eastAsia="黑体" w:cs="黑体"/>
          <w:color w:val="FFFFFF"/>
          <w:spacing w:val="4"/>
          <w:sz w:val="25"/>
          <w:szCs w:val="25"/>
        </w:rPr>
        <w:t>学员填写完整报名申请表后，将带免冠照片的报名申请表发送至：60989598</w:t>
      </w:r>
      <w:r>
        <w:rPr>
          <w:rFonts w:ascii="黑体" w:hAnsi="黑体" w:eastAsia="黑体" w:cs="黑体"/>
          <w:color w:val="FFFFFF"/>
          <w:spacing w:val="3"/>
          <w:sz w:val="25"/>
          <w:szCs w:val="25"/>
        </w:rPr>
        <w:t>6@</w:t>
      </w:r>
      <w:r>
        <w:rPr>
          <w:rFonts w:ascii="Times New Roman" w:hAnsi="Times New Roman" w:eastAsia="Times New Roman" w:cs="Times New Roman"/>
          <w:color w:val="FFFFFF"/>
          <w:sz w:val="25"/>
          <w:szCs w:val="25"/>
        </w:rPr>
        <w:t>qq</w:t>
      </w:r>
      <w:r>
        <w:rPr>
          <w:rFonts w:ascii="Times New Roman" w:hAnsi="Times New Roman" w:eastAsia="Times New Roman" w:cs="Times New Roman"/>
          <w:color w:val="FFFFFF"/>
          <w:spacing w:val="3"/>
          <w:sz w:val="25"/>
          <w:szCs w:val="25"/>
        </w:rPr>
        <w:t>.</w:t>
      </w:r>
      <w:r>
        <w:rPr>
          <w:rFonts w:ascii="Times New Roman" w:hAnsi="Times New Roman" w:eastAsia="Times New Roman" w:cs="Times New Roman"/>
          <w:color w:val="FFFFFF"/>
          <w:sz w:val="25"/>
          <w:szCs w:val="25"/>
        </w:rPr>
        <w:t>com</w:t>
      </w:r>
      <w:r>
        <w:rPr>
          <w:rFonts w:ascii="Times New Roman" w:hAnsi="Times New Roman" w:eastAsia="Times New Roman" w:cs="Times New Roman"/>
          <w:color w:val="FFFFFF"/>
          <w:spacing w:val="3"/>
          <w:sz w:val="25"/>
          <w:szCs w:val="25"/>
        </w:rPr>
        <w:t>;</w:t>
      </w:r>
    </w:p>
    <w:p w14:paraId="20264EB6">
      <w:pPr>
        <w:spacing w:before="208" w:line="213" w:lineRule="auto"/>
        <w:ind w:left="619"/>
        <w:rPr>
          <w:rFonts w:ascii="黑体" w:hAnsi="黑体" w:eastAsia="黑体" w:cs="黑体"/>
          <w:sz w:val="25"/>
          <w:szCs w:val="25"/>
        </w:rPr>
      </w:pPr>
      <w:r>
        <w:rPr>
          <w:rFonts w:ascii="宋体" w:hAnsi="宋体" w:eastAsia="宋体" w:cs="宋体"/>
          <w:color w:val="FFFFFF"/>
          <w:spacing w:val="-2"/>
          <w:sz w:val="25"/>
          <w:szCs w:val="25"/>
        </w:rPr>
        <w:t>3、</w:t>
      </w:r>
      <w:r>
        <w:rPr>
          <w:rFonts w:ascii="黑体" w:hAnsi="黑体" w:eastAsia="黑体" w:cs="黑体"/>
          <w:color w:val="FFFFFF"/>
          <w:spacing w:val="-2"/>
          <w:sz w:val="25"/>
          <w:szCs w:val="25"/>
        </w:rPr>
        <w:t>报名申请通过学院审核后，学院将在三个工作日内向学员发出录取通知书；</w:t>
      </w:r>
    </w:p>
    <w:p w14:paraId="5B53C84E">
      <w:pPr>
        <w:spacing w:before="201" w:line="206" w:lineRule="auto"/>
        <w:ind w:left="619"/>
        <w:rPr>
          <w:rFonts w:ascii="黑体" w:hAnsi="黑体" w:eastAsia="黑体" w:cs="黑体"/>
          <w:sz w:val="26"/>
          <w:szCs w:val="26"/>
        </w:rPr>
      </w:pPr>
      <w:r>
        <w:rPr>
          <w:rFonts w:ascii="黑体" w:hAnsi="黑体" w:eastAsia="黑体" w:cs="黑体"/>
          <w:i/>
          <w:iCs/>
          <w:color w:val="FFFFFF"/>
          <w:spacing w:val="-12"/>
          <w:sz w:val="26"/>
          <w:szCs w:val="26"/>
        </w:rPr>
        <w:t>4、学员按照录取通知书上的要求提交个人资料及交齐学费；</w:t>
      </w:r>
    </w:p>
    <w:p w14:paraId="361B7F68">
      <w:pPr>
        <w:spacing w:before="200" w:line="213" w:lineRule="auto"/>
        <w:ind w:left="619"/>
        <w:rPr>
          <w:rFonts w:ascii="黑体" w:hAnsi="黑体" w:eastAsia="黑体" w:cs="黑体"/>
          <w:sz w:val="25"/>
          <w:szCs w:val="25"/>
        </w:rPr>
      </w:pPr>
      <w:r>
        <w:rPr>
          <w:rFonts w:ascii="宋体" w:hAnsi="宋体" w:eastAsia="宋体" w:cs="宋体"/>
          <w:color w:val="FFFFFF"/>
          <w:spacing w:val="-3"/>
          <w:sz w:val="25"/>
          <w:szCs w:val="25"/>
        </w:rPr>
        <w:t>5、</w:t>
      </w:r>
      <w:r>
        <w:rPr>
          <w:rFonts w:ascii="黑体" w:hAnsi="黑体" w:eastAsia="黑体" w:cs="黑体"/>
          <w:color w:val="FFFFFF"/>
          <w:spacing w:val="-3"/>
          <w:sz w:val="25"/>
          <w:szCs w:val="25"/>
        </w:rPr>
        <w:t>学院收到个人资料及学费，确认无误后向学员发出上课通知；学员凭通知领取书籍和证件上课。</w:t>
      </w:r>
    </w:p>
    <w:p w14:paraId="3BD15AD1">
      <w:pPr>
        <w:spacing w:line="213" w:lineRule="auto"/>
        <w:rPr>
          <w:rFonts w:ascii="黑体" w:hAnsi="黑体" w:eastAsia="黑体" w:cs="黑体"/>
          <w:sz w:val="25"/>
          <w:szCs w:val="25"/>
        </w:rPr>
        <w:sectPr>
          <w:pgSz w:w="11900" w:h="16840"/>
          <w:pgMar w:top="400" w:right="0" w:bottom="0" w:left="0" w:header="0" w:footer="0" w:gutter="0"/>
          <w:cols w:space="720" w:num="1"/>
        </w:sectPr>
      </w:pPr>
    </w:p>
    <w:p w14:paraId="01EC9CEA">
      <w:pPr>
        <w:pStyle w:val="2"/>
        <w:spacing w:line="249" w:lineRule="auto"/>
      </w:pPr>
    </w:p>
    <w:p w14:paraId="1CD69EC3">
      <w:pPr>
        <w:pStyle w:val="2"/>
        <w:spacing w:line="249" w:lineRule="auto"/>
      </w:pPr>
    </w:p>
    <w:p w14:paraId="3F59C8A6">
      <w:pPr>
        <w:spacing w:before="208" w:line="220" w:lineRule="auto"/>
        <w:ind w:left="699"/>
        <w:rPr>
          <w:rFonts w:ascii="黑体" w:hAnsi="黑体" w:eastAsia="黑体" w:cs="黑体"/>
          <w:sz w:val="64"/>
          <w:szCs w:val="64"/>
        </w:rPr>
      </w:pPr>
      <w:r>
        <w:drawing>
          <wp:anchor distT="0" distB="0" distL="0" distR="0" simplePos="0" relativeHeight="251678720" behindDoc="1" locked="0" layoutInCell="1" allowOverlap="1">
            <wp:simplePos x="0" y="0"/>
            <wp:positionH relativeFrom="column">
              <wp:posOffset>0</wp:posOffset>
            </wp:positionH>
            <wp:positionV relativeFrom="paragraph">
              <wp:posOffset>-571500</wp:posOffset>
            </wp:positionV>
            <wp:extent cx="7556500" cy="10693400"/>
            <wp:effectExtent l="0" t="0" r="0" b="0"/>
            <wp:wrapNone/>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26"/>
                    <a:stretch>
                      <a:fillRect/>
                    </a:stretch>
                  </pic:blipFill>
                  <pic:spPr>
                    <a:xfrm>
                      <a:off x="0" y="0"/>
                      <a:ext cx="7556500" cy="10693400"/>
                    </a:xfrm>
                    <a:prstGeom prst="rect">
                      <a:avLst/>
                    </a:prstGeom>
                  </pic:spPr>
                </pic:pic>
              </a:graphicData>
            </a:graphic>
          </wp:anchor>
        </w:drawing>
      </w:r>
      <w:r>
        <w:rPr>
          <w:rFonts w:ascii="黑体" w:hAnsi="黑体" w:eastAsia="黑体" w:cs="黑体"/>
          <w:b/>
          <w:bCs/>
          <w:color w:val="FFFFFF"/>
          <w:spacing w:val="-13"/>
          <w:sz w:val="64"/>
          <w:szCs w:val="64"/>
        </w:rPr>
        <w:t>中房商学院简介</w:t>
      </w:r>
    </w:p>
    <w:p w14:paraId="5B99EDB6">
      <w:pPr>
        <w:spacing w:before="93" w:line="219" w:lineRule="auto"/>
        <w:ind w:left="694"/>
        <w:rPr>
          <w:rFonts w:ascii="宋体" w:hAnsi="宋体" w:eastAsia="宋体" w:cs="宋体"/>
          <w:sz w:val="29"/>
          <w:szCs w:val="29"/>
        </w:rPr>
      </w:pPr>
      <w:r>
        <w:rPr>
          <w:rFonts w:ascii="宋体" w:hAnsi="宋体" w:eastAsia="宋体" w:cs="宋体"/>
          <w:b/>
          <w:bCs/>
          <w:color w:val="FFFFFF"/>
          <w:spacing w:val="-9"/>
          <w:sz w:val="29"/>
          <w:szCs w:val="29"/>
        </w:rPr>
        <w:t>城建领域顶流智库、高端人才培养基地、产业资源聚集高地、精准服务落地平</w:t>
      </w:r>
    </w:p>
    <w:p w14:paraId="7CB04A59">
      <w:pPr>
        <w:spacing w:before="29"/>
      </w:pPr>
    </w:p>
    <w:p w14:paraId="5E119555">
      <w:pPr>
        <w:spacing w:before="29"/>
      </w:pPr>
    </w:p>
    <w:p w14:paraId="2DFBE59C">
      <w:pPr>
        <w:spacing w:before="29"/>
      </w:pPr>
    </w:p>
    <w:p w14:paraId="230C7332">
      <w:pPr>
        <w:sectPr>
          <w:pgSz w:w="11900" w:h="16840"/>
          <w:pgMar w:top="400" w:right="0" w:bottom="0" w:left="0" w:header="0" w:footer="0" w:gutter="0"/>
          <w:cols w:equalWidth="0" w:num="1">
            <w:col w:w="11900"/>
          </w:cols>
        </w:sectPr>
      </w:pPr>
    </w:p>
    <w:p w14:paraId="5F5808A3">
      <w:pPr>
        <w:spacing w:before="75" w:line="222" w:lineRule="auto"/>
        <w:ind w:left="694"/>
        <w:rPr>
          <w:rFonts w:ascii="黑体" w:hAnsi="黑体" w:eastAsia="黑体" w:cs="黑体"/>
          <w:sz w:val="37"/>
          <w:szCs w:val="37"/>
        </w:rPr>
      </w:pPr>
      <w:r>
        <w:rPr>
          <w:rFonts w:ascii="黑体" w:hAnsi="黑体" w:eastAsia="黑体" w:cs="黑体"/>
          <w:b/>
          <w:bCs/>
          <w:color w:val="F08000"/>
          <w:spacing w:val="-24"/>
          <w:sz w:val="37"/>
          <w:szCs w:val="37"/>
        </w:rPr>
        <w:t>》》历史悠久术业专攻</w:t>
      </w:r>
    </w:p>
    <w:p w14:paraId="6B2AF4CB">
      <w:pPr>
        <w:spacing w:before="295" w:line="213" w:lineRule="auto"/>
        <w:ind w:left="689"/>
        <w:rPr>
          <w:rFonts w:ascii="黑体" w:hAnsi="黑体" w:eastAsia="黑体" w:cs="黑体"/>
          <w:sz w:val="22"/>
          <w:szCs w:val="22"/>
        </w:rPr>
      </w:pPr>
      <w:r>
        <w:rPr>
          <w:rFonts w:ascii="黑体" w:hAnsi="黑体" w:eastAsia="黑体" w:cs="黑体"/>
          <w:color w:val="FFFFFF"/>
          <w:spacing w:val="10"/>
          <w:sz w:val="22"/>
          <w:szCs w:val="22"/>
        </w:rPr>
        <w:t>中房商学院，前身源于</w:t>
      </w:r>
      <w:r>
        <w:rPr>
          <w:rFonts w:ascii="黑体" w:hAnsi="黑体" w:eastAsia="黑体" w:cs="黑体"/>
          <w:b/>
          <w:bCs/>
          <w:color w:val="DAA804"/>
          <w:spacing w:val="10"/>
          <w:sz w:val="22"/>
          <w:szCs w:val="22"/>
        </w:rPr>
        <w:t>2000年</w:t>
      </w:r>
      <w:r>
        <w:rPr>
          <w:rFonts w:ascii="黑体" w:hAnsi="黑体" w:eastAsia="黑体" w:cs="黑体"/>
          <w:color w:val="FFFFFF"/>
          <w:spacing w:val="10"/>
          <w:sz w:val="22"/>
          <w:szCs w:val="22"/>
        </w:rPr>
        <w:t>成立的</w:t>
      </w:r>
      <w:r>
        <w:rPr>
          <w:rFonts w:ascii="黑体" w:hAnsi="黑体" w:eastAsia="黑体" w:cs="黑体"/>
          <w:color w:val="DAA804"/>
          <w:spacing w:val="10"/>
          <w:sz w:val="22"/>
          <w:szCs w:val="22"/>
        </w:rPr>
        <w:t>中山大学金融</w:t>
      </w:r>
    </w:p>
    <w:p w14:paraId="65A2027B">
      <w:pPr>
        <w:spacing w:before="183" w:line="213" w:lineRule="auto"/>
        <w:ind w:left="693"/>
        <w:rPr>
          <w:rFonts w:ascii="黑体" w:hAnsi="黑体" w:eastAsia="黑体" w:cs="黑体"/>
          <w:sz w:val="22"/>
          <w:szCs w:val="22"/>
        </w:rPr>
      </w:pPr>
      <w:r>
        <w:rPr>
          <w:rFonts w:ascii="黑体" w:hAnsi="黑体" w:eastAsia="黑体" w:cs="黑体"/>
          <w:b/>
          <w:bCs/>
          <w:color w:val="DAA804"/>
          <w:sz w:val="22"/>
          <w:szCs w:val="22"/>
        </w:rPr>
        <w:t>地产教育中心，</w:t>
      </w:r>
      <w:r>
        <w:rPr>
          <w:rFonts w:ascii="黑体" w:hAnsi="黑体" w:eastAsia="黑体" w:cs="黑体"/>
          <w:color w:val="FFFFFF"/>
          <w:sz w:val="22"/>
          <w:szCs w:val="22"/>
        </w:rPr>
        <w:t>是国内最早专业从事城建与产业</w:t>
      </w:r>
      <w:r>
        <w:rPr>
          <w:rFonts w:ascii="黑体" w:hAnsi="黑体" w:eastAsia="黑体" w:cs="黑体"/>
          <w:color w:val="FFFFFF"/>
          <w:spacing w:val="-1"/>
          <w:sz w:val="22"/>
          <w:szCs w:val="22"/>
        </w:rPr>
        <w:t>创新</w:t>
      </w:r>
    </w:p>
    <w:p w14:paraId="4CDEC01A">
      <w:pPr>
        <w:spacing w:before="210" w:line="213" w:lineRule="auto"/>
        <w:ind w:left="689"/>
        <w:rPr>
          <w:rFonts w:ascii="黑体" w:hAnsi="黑体" w:eastAsia="黑体" w:cs="黑体"/>
          <w:sz w:val="22"/>
          <w:szCs w:val="22"/>
        </w:rPr>
      </w:pPr>
      <w:r>
        <w:rPr>
          <w:rFonts w:ascii="黑体" w:hAnsi="黑体" w:eastAsia="黑体" w:cs="黑体"/>
          <w:color w:val="FFFFFF"/>
          <w:spacing w:val="-1"/>
          <w:sz w:val="22"/>
          <w:szCs w:val="22"/>
        </w:rPr>
        <w:t>领域高端教育培训的机构</w:t>
      </w:r>
      <w:r>
        <w:rPr>
          <w:rFonts w:ascii="黑体" w:hAnsi="黑体" w:eastAsia="黑体" w:cs="黑体"/>
          <w:color w:val="DAA804"/>
          <w:spacing w:val="-1"/>
          <w:sz w:val="22"/>
          <w:szCs w:val="22"/>
        </w:rPr>
        <w:t>，</w:t>
      </w:r>
      <w:r>
        <w:rPr>
          <w:rFonts w:ascii="黑体" w:hAnsi="黑体" w:eastAsia="黑体" w:cs="黑体"/>
          <w:b/>
          <w:bCs/>
          <w:color w:val="DAA804"/>
          <w:spacing w:val="-1"/>
          <w:sz w:val="22"/>
          <w:szCs w:val="22"/>
        </w:rPr>
        <w:t>「城建地产教育的黄埔军</w:t>
      </w:r>
    </w:p>
    <w:p w14:paraId="2B4B0625">
      <w:pPr>
        <w:spacing w:before="231" w:line="220" w:lineRule="auto"/>
        <w:ind w:left="693"/>
        <w:rPr>
          <w:rFonts w:ascii="黑体" w:hAnsi="黑体" w:eastAsia="黑体" w:cs="黑体"/>
          <w:sz w:val="22"/>
          <w:szCs w:val="22"/>
        </w:rPr>
      </w:pPr>
      <w:r>
        <w:rPr>
          <w:rFonts w:ascii="黑体" w:hAnsi="黑体" w:eastAsia="黑体" w:cs="黑体"/>
          <w:b/>
          <w:bCs/>
          <w:color w:val="DAA804"/>
          <w:spacing w:val="10"/>
          <w:sz w:val="22"/>
          <w:szCs w:val="22"/>
        </w:rPr>
        <w:t>校」「国内城建地产教育的领导品牌、华南第一品</w:t>
      </w:r>
    </w:p>
    <w:p w14:paraId="0C6696AF">
      <w:pPr>
        <w:spacing w:before="178" w:line="220" w:lineRule="auto"/>
        <w:ind w:left="693"/>
        <w:rPr>
          <w:rFonts w:ascii="黑体" w:hAnsi="黑体" w:eastAsia="黑体" w:cs="黑体"/>
          <w:sz w:val="22"/>
          <w:szCs w:val="22"/>
        </w:rPr>
      </w:pPr>
      <w:r>
        <w:rPr>
          <w:rFonts w:ascii="黑体" w:hAnsi="黑体" w:eastAsia="黑体" w:cs="黑体"/>
          <w:b/>
          <w:bCs/>
          <w:color w:val="DAA804"/>
          <w:spacing w:val="-14"/>
          <w:sz w:val="22"/>
          <w:szCs w:val="22"/>
        </w:rPr>
        <w:t>牌」</w:t>
      </w:r>
      <w:r>
        <w:rPr>
          <w:rFonts w:ascii="黑体" w:hAnsi="黑体" w:eastAsia="黑体" w:cs="黑体"/>
          <w:b/>
          <w:bCs/>
          <w:color w:val="FFFFFF"/>
          <w:spacing w:val="-14"/>
          <w:sz w:val="22"/>
          <w:szCs w:val="22"/>
        </w:rPr>
        <w:t>。</w:t>
      </w:r>
      <w:r>
        <w:rPr>
          <w:rFonts w:ascii="黑体" w:hAnsi="黑体" w:eastAsia="黑体" w:cs="黑体"/>
          <w:b/>
          <w:bCs/>
          <w:color w:val="DAA804"/>
          <w:spacing w:val="-14"/>
          <w:sz w:val="22"/>
          <w:szCs w:val="22"/>
        </w:rPr>
        <w:t>2</w:t>
      </w:r>
      <w:r>
        <w:rPr>
          <w:rFonts w:ascii="黑体" w:hAnsi="黑体" w:eastAsia="黑体" w:cs="黑体"/>
          <w:color w:val="DAA804"/>
          <w:spacing w:val="-42"/>
          <w:sz w:val="22"/>
          <w:szCs w:val="22"/>
        </w:rPr>
        <w:t xml:space="preserve"> </w:t>
      </w:r>
      <w:r>
        <w:rPr>
          <w:rFonts w:ascii="黑体" w:hAnsi="黑体" w:eastAsia="黑体" w:cs="黑体"/>
          <w:b/>
          <w:bCs/>
          <w:color w:val="DAA804"/>
          <w:spacing w:val="-14"/>
          <w:sz w:val="22"/>
          <w:szCs w:val="22"/>
        </w:rPr>
        <w:t>5</w:t>
      </w:r>
      <w:r>
        <w:rPr>
          <w:rFonts w:ascii="黑体" w:hAnsi="黑体" w:eastAsia="黑体" w:cs="黑体"/>
          <w:color w:val="DAA804"/>
          <w:spacing w:val="-45"/>
          <w:sz w:val="22"/>
          <w:szCs w:val="22"/>
        </w:rPr>
        <w:t xml:space="preserve"> </w:t>
      </w:r>
      <w:r>
        <w:rPr>
          <w:rFonts w:ascii="黑体" w:hAnsi="黑体" w:eastAsia="黑体" w:cs="黑体"/>
          <w:b/>
          <w:bCs/>
          <w:color w:val="DAA804"/>
          <w:spacing w:val="-14"/>
          <w:sz w:val="22"/>
          <w:szCs w:val="22"/>
        </w:rPr>
        <w:t>年</w:t>
      </w:r>
      <w:r>
        <w:rPr>
          <w:rFonts w:ascii="黑体" w:hAnsi="黑体" w:eastAsia="黑体" w:cs="黑体"/>
          <w:b/>
          <w:bCs/>
          <w:color w:val="FFFFFF"/>
          <w:spacing w:val="-14"/>
          <w:sz w:val="22"/>
          <w:szCs w:val="22"/>
        </w:rPr>
        <w:t>来</w:t>
      </w:r>
      <w:r>
        <w:rPr>
          <w:rFonts w:ascii="黑体" w:hAnsi="黑体" w:eastAsia="黑体" w:cs="黑体"/>
          <w:color w:val="FFFFFF"/>
          <w:spacing w:val="-14"/>
          <w:sz w:val="22"/>
          <w:szCs w:val="22"/>
        </w:rPr>
        <w:t>致力于「提升企业及企业家生存价值与核</w:t>
      </w:r>
    </w:p>
    <w:p w14:paraId="50C914FC">
      <w:pPr>
        <w:spacing w:before="182" w:line="213" w:lineRule="auto"/>
        <w:ind w:left="689"/>
        <w:rPr>
          <w:rFonts w:ascii="黑体" w:hAnsi="黑体" w:eastAsia="黑体" w:cs="黑体"/>
          <w:sz w:val="22"/>
          <w:szCs w:val="22"/>
        </w:rPr>
      </w:pPr>
      <w:r>
        <w:rPr>
          <w:rFonts w:ascii="黑体" w:hAnsi="黑体" w:eastAsia="黑体" w:cs="黑体"/>
          <w:color w:val="FFFFFF"/>
          <w:spacing w:val="-17"/>
          <w:sz w:val="22"/>
          <w:szCs w:val="22"/>
        </w:rPr>
        <w:t>心竞争力」的教学理念为己任；秉承「信仰坚若磐石，探</w:t>
      </w:r>
    </w:p>
    <w:p w14:paraId="3D00289C">
      <w:pPr>
        <w:spacing w:before="226" w:line="213" w:lineRule="auto"/>
        <w:ind w:left="689"/>
        <w:rPr>
          <w:rFonts w:ascii="黑体" w:hAnsi="黑体" w:eastAsia="黑体" w:cs="黑体"/>
          <w:sz w:val="22"/>
          <w:szCs w:val="22"/>
        </w:rPr>
      </w:pPr>
      <w:r>
        <w:rPr>
          <w:rFonts w:ascii="黑体" w:hAnsi="黑体" w:eastAsia="黑体" w:cs="黑体"/>
          <w:color w:val="FFFFFF"/>
          <w:spacing w:val="-20"/>
          <w:sz w:val="22"/>
          <w:szCs w:val="22"/>
        </w:rPr>
        <w:t>索永无止境」的坚韧、专注、创新、进取的精神砥砺前行，</w:t>
      </w:r>
    </w:p>
    <w:p w14:paraId="42A568C0">
      <w:pPr>
        <w:spacing w:before="177" w:line="213" w:lineRule="auto"/>
        <w:ind w:left="689"/>
        <w:rPr>
          <w:rFonts w:ascii="黑体" w:hAnsi="黑体" w:eastAsia="黑体" w:cs="黑体"/>
          <w:sz w:val="22"/>
          <w:szCs w:val="22"/>
        </w:rPr>
      </w:pPr>
      <w:r>
        <w:rPr>
          <w:rFonts w:ascii="黑体" w:hAnsi="黑体" w:eastAsia="黑体" w:cs="黑体"/>
          <w:color w:val="FFFFFF"/>
          <w:spacing w:val="-8"/>
          <w:sz w:val="22"/>
          <w:szCs w:val="22"/>
        </w:rPr>
        <w:t>致力于成为「助力产业升级与城乡发展，推动思维进步</w:t>
      </w:r>
    </w:p>
    <w:p w14:paraId="7B956CD0">
      <w:pPr>
        <w:spacing w:before="255" w:line="220" w:lineRule="auto"/>
        <w:ind w:left="689"/>
        <w:rPr>
          <w:rFonts w:ascii="黑体" w:hAnsi="黑体" w:eastAsia="黑体" w:cs="黑体"/>
          <w:sz w:val="22"/>
          <w:szCs w:val="22"/>
        </w:rPr>
      </w:pPr>
      <w:r>
        <w:rPr>
          <w:rFonts w:ascii="黑体" w:hAnsi="黑体" w:eastAsia="黑体" w:cs="黑体"/>
          <w:color w:val="FFFFFF"/>
          <w:spacing w:val="-14"/>
          <w:sz w:val="22"/>
          <w:szCs w:val="22"/>
        </w:rPr>
        <w:t>与时代变革的摆渡人」。</w:t>
      </w:r>
    </w:p>
    <w:p w14:paraId="45741BA2">
      <w:pPr>
        <w:pStyle w:val="2"/>
        <w:spacing w:line="287" w:lineRule="auto"/>
      </w:pPr>
    </w:p>
    <w:p w14:paraId="4A63FBD3">
      <w:pPr>
        <w:pStyle w:val="2"/>
        <w:spacing w:line="287" w:lineRule="auto"/>
      </w:pPr>
    </w:p>
    <w:p w14:paraId="2F2364EB">
      <w:pPr>
        <w:spacing w:before="120" w:line="221" w:lineRule="auto"/>
        <w:ind w:left="694"/>
        <w:rPr>
          <w:rFonts w:ascii="黑体" w:hAnsi="黑体" w:eastAsia="黑体" w:cs="黑体"/>
          <w:sz w:val="37"/>
          <w:szCs w:val="37"/>
        </w:rPr>
      </w:pPr>
      <w:r>
        <w:rPr>
          <w:rFonts w:ascii="黑体" w:hAnsi="黑体" w:eastAsia="黑体" w:cs="黑体"/>
          <w:b/>
          <w:bCs/>
          <w:color w:val="ED8702"/>
          <w:spacing w:val="-26"/>
          <w:sz w:val="37"/>
          <w:szCs w:val="37"/>
        </w:rPr>
        <w:t>》》理念先进资源聚焦</w:t>
      </w:r>
    </w:p>
    <w:p w14:paraId="2F0A06CF">
      <w:pPr>
        <w:spacing w:before="258" w:line="213" w:lineRule="auto"/>
        <w:ind w:left="689"/>
        <w:rPr>
          <w:rFonts w:ascii="黑体" w:hAnsi="黑体" w:eastAsia="黑体" w:cs="黑体"/>
          <w:sz w:val="22"/>
          <w:szCs w:val="22"/>
        </w:rPr>
      </w:pPr>
      <w:r>
        <w:rPr>
          <w:rFonts w:ascii="黑体" w:hAnsi="黑体" w:eastAsia="黑体" w:cs="黑体"/>
          <w:color w:val="FFFFFF"/>
          <w:spacing w:val="-8"/>
          <w:sz w:val="22"/>
          <w:szCs w:val="22"/>
        </w:rPr>
        <w:t>百战归来再读书，学院倡导个人终身学习、企业团队学</w:t>
      </w:r>
    </w:p>
    <w:p w14:paraId="4B8DE7C1">
      <w:pPr>
        <w:spacing w:before="206" w:line="213" w:lineRule="auto"/>
        <w:ind w:left="689"/>
        <w:rPr>
          <w:rFonts w:ascii="黑体" w:hAnsi="黑体" w:eastAsia="黑体" w:cs="黑体"/>
          <w:sz w:val="22"/>
          <w:szCs w:val="22"/>
        </w:rPr>
      </w:pPr>
      <w:r>
        <w:rPr>
          <w:rFonts w:ascii="黑体" w:hAnsi="黑体" w:eastAsia="黑体" w:cs="黑体"/>
          <w:color w:val="FFFFFF"/>
          <w:spacing w:val="-7"/>
          <w:sz w:val="22"/>
          <w:szCs w:val="22"/>
        </w:rPr>
        <w:t>习、课内外跨界学习模式，学员覆盖国内</w:t>
      </w:r>
      <w:r>
        <w:rPr>
          <w:rFonts w:ascii="Times New Roman" w:hAnsi="Times New Roman" w:eastAsia="Times New Roman" w:cs="Times New Roman"/>
          <w:color w:val="B78126"/>
          <w:spacing w:val="-7"/>
          <w:sz w:val="22"/>
          <w:szCs w:val="22"/>
        </w:rPr>
        <w:t>90</w:t>
      </w:r>
      <w:r>
        <w:rPr>
          <w:rFonts w:ascii="Times New Roman" w:hAnsi="Times New Roman" w:eastAsia="Times New Roman" w:cs="Times New Roman"/>
          <w:color w:val="B78126"/>
          <w:spacing w:val="29"/>
          <w:sz w:val="22"/>
          <w:szCs w:val="22"/>
        </w:rPr>
        <w:t xml:space="preserve"> </w:t>
      </w:r>
      <w:r>
        <w:rPr>
          <w:rFonts w:ascii="黑体" w:hAnsi="黑体" w:eastAsia="黑体" w:cs="黑体"/>
          <w:color w:val="FFFFFF"/>
          <w:spacing w:val="-7"/>
          <w:sz w:val="22"/>
          <w:szCs w:val="22"/>
        </w:rPr>
        <w:t>%的大中型</w:t>
      </w:r>
    </w:p>
    <w:p w14:paraId="5FA5CDFF">
      <w:pPr>
        <w:spacing w:before="196" w:line="213" w:lineRule="auto"/>
        <w:ind w:left="689"/>
        <w:rPr>
          <w:rFonts w:ascii="黑体" w:hAnsi="黑体" w:eastAsia="黑体" w:cs="黑体"/>
          <w:sz w:val="22"/>
          <w:szCs w:val="22"/>
        </w:rPr>
      </w:pPr>
      <w:r>
        <w:rPr>
          <w:rFonts w:ascii="黑体" w:hAnsi="黑体" w:eastAsia="黑体" w:cs="黑体"/>
          <w:color w:val="FFFFFF"/>
          <w:spacing w:val="-8"/>
          <w:sz w:val="22"/>
          <w:szCs w:val="22"/>
        </w:rPr>
        <w:t>城建与产业开发企业，是目前覆盖区域最广、学员人数</w:t>
      </w:r>
    </w:p>
    <w:p w14:paraId="77001C2A">
      <w:pPr>
        <w:spacing w:before="206" w:line="221" w:lineRule="auto"/>
        <w:ind w:left="689"/>
        <w:rPr>
          <w:rFonts w:ascii="黑体" w:hAnsi="黑体" w:eastAsia="黑体" w:cs="黑体"/>
          <w:sz w:val="22"/>
          <w:szCs w:val="22"/>
        </w:rPr>
      </w:pPr>
      <w:r>
        <w:rPr>
          <w:rFonts w:ascii="黑体" w:hAnsi="黑体" w:eastAsia="黑体" w:cs="黑体"/>
          <w:color w:val="FFFFFF"/>
          <w:spacing w:val="-14"/>
          <w:sz w:val="22"/>
          <w:szCs w:val="22"/>
        </w:rPr>
        <w:t>最多、产业资源最丰富、教学历史最长、教学质量最高、</w:t>
      </w:r>
    </w:p>
    <w:p w14:paraId="58A65AA7">
      <w:pPr>
        <w:spacing w:before="217" w:line="221" w:lineRule="auto"/>
        <w:ind w:left="689"/>
        <w:rPr>
          <w:rFonts w:ascii="Times New Roman" w:hAnsi="Times New Roman" w:eastAsia="Times New Roman" w:cs="Times New Roman"/>
          <w:sz w:val="22"/>
          <w:szCs w:val="22"/>
        </w:rPr>
      </w:pPr>
      <w:r>
        <w:rPr>
          <w:rFonts w:ascii="黑体" w:hAnsi="黑体" w:eastAsia="黑体" w:cs="黑体"/>
          <w:color w:val="FFFFFF"/>
          <w:spacing w:val="-5"/>
          <w:sz w:val="22"/>
          <w:szCs w:val="22"/>
        </w:rPr>
        <w:t>口碑最好的城建与产业创新领域的教育机构。</w:t>
      </w:r>
      <w:r>
        <w:rPr>
          <w:rFonts w:ascii="Times New Roman" w:hAnsi="Times New Roman" w:eastAsia="Times New Roman" w:cs="Times New Roman"/>
          <w:color w:val="B78126"/>
          <w:spacing w:val="-5"/>
          <w:sz w:val="22"/>
          <w:szCs w:val="22"/>
        </w:rPr>
        <w:t>6000+</w:t>
      </w:r>
    </w:p>
    <w:p w14:paraId="3CFC8461">
      <w:pPr>
        <w:spacing w:before="177" w:line="213" w:lineRule="auto"/>
        <w:ind w:left="689"/>
        <w:rPr>
          <w:rFonts w:ascii="黑体" w:hAnsi="黑体" w:eastAsia="黑体" w:cs="黑体"/>
          <w:sz w:val="22"/>
          <w:szCs w:val="22"/>
        </w:rPr>
      </w:pPr>
      <w:r>
        <w:rPr>
          <w:rFonts w:ascii="黑体" w:hAnsi="黑体" w:eastAsia="黑体" w:cs="黑体"/>
          <w:color w:val="FFFFFF"/>
          <w:spacing w:val="-11"/>
          <w:sz w:val="22"/>
          <w:szCs w:val="22"/>
        </w:rPr>
        <w:t>城建与产业开发领域企业家、总裁，</w:t>
      </w:r>
      <w:r>
        <w:rPr>
          <w:rFonts w:ascii="黑体" w:hAnsi="黑体" w:eastAsia="黑体" w:cs="黑体"/>
          <w:color w:val="B78126"/>
          <w:spacing w:val="-11"/>
          <w:sz w:val="22"/>
          <w:szCs w:val="22"/>
        </w:rPr>
        <w:t>1</w:t>
      </w:r>
      <w:r>
        <w:rPr>
          <w:rFonts w:ascii="黑体" w:hAnsi="黑体" w:eastAsia="黑体" w:cs="黑体"/>
          <w:color w:val="B78126"/>
          <w:spacing w:val="-48"/>
          <w:sz w:val="22"/>
          <w:szCs w:val="22"/>
        </w:rPr>
        <w:t xml:space="preserve"> </w:t>
      </w:r>
      <w:r>
        <w:rPr>
          <w:rFonts w:ascii="黑体" w:hAnsi="黑体" w:eastAsia="黑体" w:cs="黑体"/>
          <w:color w:val="B78126"/>
          <w:spacing w:val="-11"/>
          <w:sz w:val="22"/>
          <w:szCs w:val="22"/>
        </w:rPr>
        <w:t>0</w:t>
      </w:r>
      <w:r>
        <w:rPr>
          <w:rFonts w:ascii="黑体" w:hAnsi="黑体" w:eastAsia="黑体" w:cs="黑体"/>
          <w:color w:val="B78126"/>
          <w:spacing w:val="-44"/>
          <w:sz w:val="22"/>
          <w:szCs w:val="22"/>
        </w:rPr>
        <w:t xml:space="preserve"> </w:t>
      </w:r>
      <w:r>
        <w:rPr>
          <w:rFonts w:ascii="黑体" w:hAnsi="黑体" w:eastAsia="黑体" w:cs="黑体"/>
          <w:color w:val="B78126"/>
          <w:spacing w:val="-11"/>
          <w:sz w:val="22"/>
          <w:szCs w:val="22"/>
        </w:rPr>
        <w:t>万</w:t>
      </w:r>
      <w:r>
        <w:rPr>
          <w:rFonts w:ascii="黑体" w:hAnsi="黑体" w:eastAsia="黑体" w:cs="黑体"/>
          <w:color w:val="B78126"/>
          <w:spacing w:val="-53"/>
          <w:sz w:val="22"/>
          <w:szCs w:val="22"/>
        </w:rPr>
        <w:t xml:space="preserve"> </w:t>
      </w:r>
      <w:r>
        <w:rPr>
          <w:rFonts w:ascii="黑体" w:hAnsi="黑体" w:eastAsia="黑体" w:cs="黑体"/>
          <w:color w:val="B78126"/>
          <w:spacing w:val="-11"/>
          <w:sz w:val="22"/>
          <w:szCs w:val="22"/>
        </w:rPr>
        <w:t>+</w:t>
      </w:r>
      <w:r>
        <w:rPr>
          <w:rFonts w:ascii="黑体" w:hAnsi="黑体" w:eastAsia="黑体" w:cs="黑体"/>
          <w:color w:val="FFFFFF"/>
          <w:spacing w:val="-11"/>
          <w:sz w:val="22"/>
          <w:szCs w:val="22"/>
        </w:rPr>
        <w:t>城建与产业</w:t>
      </w:r>
    </w:p>
    <w:p w14:paraId="45266E53">
      <w:pPr>
        <w:spacing w:before="225" w:line="221" w:lineRule="auto"/>
        <w:ind w:left="689"/>
        <w:rPr>
          <w:rFonts w:ascii="黑体" w:hAnsi="黑体" w:eastAsia="黑体" w:cs="黑体"/>
          <w:sz w:val="22"/>
          <w:szCs w:val="22"/>
        </w:rPr>
      </w:pPr>
      <w:r>
        <w:rPr>
          <w:rFonts w:ascii="黑体" w:hAnsi="黑体" w:eastAsia="黑体" w:cs="黑体"/>
          <w:color w:val="FFFFFF"/>
          <w:spacing w:val="-4"/>
          <w:sz w:val="22"/>
          <w:szCs w:val="22"/>
        </w:rPr>
        <w:t>精英高管参加了学院的</w:t>
      </w:r>
      <w:r>
        <w:rPr>
          <w:rFonts w:ascii="宋体" w:hAnsi="宋体" w:eastAsia="宋体" w:cs="宋体"/>
          <w:color w:val="FFFFFF"/>
          <w:spacing w:val="-4"/>
          <w:sz w:val="22"/>
          <w:szCs w:val="22"/>
        </w:rPr>
        <w:t>EMBA、DBA、EDP</w:t>
      </w:r>
      <w:r>
        <w:rPr>
          <w:rFonts w:ascii="宋体" w:hAnsi="宋体" w:eastAsia="宋体" w:cs="宋体"/>
          <w:color w:val="FFFFFF"/>
          <w:spacing w:val="52"/>
          <w:sz w:val="22"/>
          <w:szCs w:val="22"/>
        </w:rPr>
        <w:t xml:space="preserve"> </w:t>
      </w:r>
      <w:r>
        <w:rPr>
          <w:rFonts w:ascii="黑体" w:hAnsi="黑体" w:eastAsia="黑体" w:cs="黑体"/>
          <w:color w:val="FFFFFF"/>
          <w:spacing w:val="-4"/>
          <w:sz w:val="22"/>
          <w:szCs w:val="22"/>
        </w:rPr>
        <w:t>总裁班、学习</w:t>
      </w:r>
    </w:p>
    <w:p w14:paraId="2E6379FA">
      <w:pPr>
        <w:spacing w:before="197" w:line="221" w:lineRule="auto"/>
        <w:ind w:left="689"/>
        <w:rPr>
          <w:rFonts w:ascii="黑体" w:hAnsi="黑体" w:eastAsia="黑体" w:cs="黑体"/>
          <w:sz w:val="22"/>
          <w:szCs w:val="22"/>
        </w:rPr>
      </w:pPr>
      <w:r>
        <w:rPr>
          <w:rFonts w:ascii="黑体" w:hAnsi="黑体" w:eastAsia="黑体" w:cs="黑体"/>
          <w:color w:val="FFFFFF"/>
          <w:spacing w:val="1"/>
          <w:sz w:val="22"/>
          <w:szCs w:val="22"/>
        </w:rPr>
        <w:t>卡以及企业定制内训等不同形式的长短期教育培训项</w:t>
      </w:r>
    </w:p>
    <w:p w14:paraId="0480D16C">
      <w:pPr>
        <w:spacing w:before="147" w:line="213" w:lineRule="auto"/>
        <w:ind w:left="689"/>
        <w:rPr>
          <w:rFonts w:ascii="黑体" w:hAnsi="黑体" w:eastAsia="黑体" w:cs="黑体"/>
          <w:sz w:val="22"/>
          <w:szCs w:val="22"/>
        </w:rPr>
      </w:pPr>
      <w:r>
        <w:rPr>
          <w:rFonts w:ascii="黑体" w:hAnsi="黑体" w:eastAsia="黑体" w:cs="黑体"/>
          <w:color w:val="FFFFFF"/>
          <w:spacing w:val="-17"/>
          <w:sz w:val="22"/>
          <w:szCs w:val="22"/>
        </w:rPr>
        <w:t>目，产业链资源高度聚焦。</w:t>
      </w:r>
    </w:p>
    <w:p w14:paraId="5594E359">
      <w:pPr>
        <w:pStyle w:val="2"/>
        <w:spacing w:line="14" w:lineRule="auto"/>
        <w:rPr>
          <w:sz w:val="2"/>
        </w:rPr>
      </w:pPr>
      <w:r>
        <w:rPr>
          <w:sz w:val="2"/>
          <w:szCs w:val="2"/>
        </w:rPr>
        <w:br w:type="column"/>
      </w:r>
    </w:p>
    <w:p w14:paraId="61FE75DC">
      <w:pPr>
        <w:spacing w:before="73" w:line="221" w:lineRule="auto"/>
        <w:ind w:left="5"/>
        <w:rPr>
          <w:rFonts w:ascii="黑体" w:hAnsi="黑体" w:eastAsia="黑体" w:cs="黑体"/>
          <w:sz w:val="37"/>
          <w:szCs w:val="37"/>
        </w:rPr>
      </w:pPr>
      <w:r>
        <w:rPr>
          <w:rFonts w:ascii="黑体" w:hAnsi="黑体" w:eastAsia="黑体" w:cs="黑体"/>
          <w:b/>
          <w:bCs/>
          <w:color w:val="F18901"/>
          <w:spacing w:val="-25"/>
          <w:sz w:val="37"/>
          <w:szCs w:val="37"/>
        </w:rPr>
        <w:t>》》师资雄厚经验丰富</w:t>
      </w:r>
    </w:p>
    <w:p w14:paraId="724907EF">
      <w:pPr>
        <w:spacing w:before="296" w:line="221" w:lineRule="auto"/>
        <w:rPr>
          <w:rFonts w:ascii="黑体" w:hAnsi="黑体" w:eastAsia="黑体" w:cs="黑体"/>
          <w:sz w:val="22"/>
          <w:szCs w:val="22"/>
        </w:rPr>
      </w:pPr>
      <w:r>
        <w:rPr>
          <w:rFonts w:ascii="黑体" w:hAnsi="黑体" w:eastAsia="黑体" w:cs="黑体"/>
          <w:color w:val="FFFFFF"/>
          <w:spacing w:val="-3"/>
          <w:sz w:val="22"/>
          <w:szCs w:val="22"/>
        </w:rPr>
        <w:t>学院拥有</w:t>
      </w:r>
      <w:r>
        <w:rPr>
          <w:rFonts w:ascii="黑体" w:hAnsi="黑体" w:eastAsia="黑体" w:cs="黑体"/>
          <w:b/>
          <w:bCs/>
          <w:color w:val="D98B18"/>
          <w:spacing w:val="-3"/>
          <w:sz w:val="22"/>
          <w:szCs w:val="22"/>
        </w:rPr>
        <w:t>2</w:t>
      </w:r>
      <w:r>
        <w:rPr>
          <w:rFonts w:ascii="黑体" w:hAnsi="黑体" w:eastAsia="黑体" w:cs="黑体"/>
          <w:color w:val="D98B18"/>
          <w:spacing w:val="-48"/>
          <w:sz w:val="22"/>
          <w:szCs w:val="22"/>
        </w:rPr>
        <w:t xml:space="preserve"> </w:t>
      </w:r>
      <w:r>
        <w:rPr>
          <w:rFonts w:ascii="黑体" w:hAnsi="黑体" w:eastAsia="黑体" w:cs="黑体"/>
          <w:b/>
          <w:bCs/>
          <w:color w:val="D98B18"/>
          <w:spacing w:val="-3"/>
          <w:sz w:val="22"/>
          <w:szCs w:val="22"/>
        </w:rPr>
        <w:t>5</w:t>
      </w:r>
      <w:r>
        <w:rPr>
          <w:rFonts w:ascii="黑体" w:hAnsi="黑体" w:eastAsia="黑体" w:cs="黑体"/>
          <w:color w:val="D98B18"/>
          <w:spacing w:val="-45"/>
          <w:sz w:val="22"/>
          <w:szCs w:val="22"/>
        </w:rPr>
        <w:t xml:space="preserve"> </w:t>
      </w:r>
      <w:r>
        <w:rPr>
          <w:rFonts w:ascii="黑体" w:hAnsi="黑体" w:eastAsia="黑体" w:cs="黑体"/>
          <w:b/>
          <w:bCs/>
          <w:color w:val="D98B18"/>
          <w:spacing w:val="-3"/>
          <w:sz w:val="22"/>
          <w:szCs w:val="22"/>
        </w:rPr>
        <w:t>年</w:t>
      </w:r>
      <w:r>
        <w:rPr>
          <w:rFonts w:ascii="黑体" w:hAnsi="黑体" w:eastAsia="黑体" w:cs="黑体"/>
          <w:color w:val="FFFFFF"/>
          <w:spacing w:val="-3"/>
          <w:sz w:val="22"/>
          <w:szCs w:val="22"/>
        </w:rPr>
        <w:t>专业</w:t>
      </w:r>
      <w:r>
        <w:rPr>
          <w:rFonts w:ascii="宋体" w:hAnsi="宋体" w:eastAsia="宋体" w:cs="宋体"/>
          <w:color w:val="FFFFFF"/>
          <w:spacing w:val="-3"/>
          <w:sz w:val="22"/>
          <w:szCs w:val="22"/>
        </w:rPr>
        <w:t>EMBA</w:t>
      </w:r>
      <w:r>
        <w:rPr>
          <w:rFonts w:ascii="宋体" w:hAnsi="宋体" w:eastAsia="宋体" w:cs="宋体"/>
          <w:color w:val="FFFFFF"/>
          <w:spacing w:val="56"/>
          <w:sz w:val="22"/>
          <w:szCs w:val="22"/>
        </w:rPr>
        <w:t xml:space="preserve"> </w:t>
      </w:r>
      <w:r>
        <w:rPr>
          <w:rFonts w:ascii="黑体" w:hAnsi="黑体" w:eastAsia="黑体" w:cs="黑体"/>
          <w:color w:val="FFFFFF"/>
          <w:spacing w:val="-3"/>
          <w:sz w:val="22"/>
          <w:szCs w:val="22"/>
        </w:rPr>
        <w:t>高端课程教学经验和教育资</w:t>
      </w:r>
    </w:p>
    <w:p w14:paraId="13CA268D">
      <w:pPr>
        <w:spacing w:before="178" w:line="213" w:lineRule="auto"/>
        <w:rPr>
          <w:rFonts w:ascii="黑体" w:hAnsi="黑体" w:eastAsia="黑体" w:cs="黑体"/>
          <w:sz w:val="22"/>
          <w:szCs w:val="22"/>
        </w:rPr>
      </w:pPr>
      <w:r>
        <w:rPr>
          <w:rFonts w:ascii="黑体" w:hAnsi="黑体" w:eastAsia="黑体" w:cs="黑体"/>
          <w:color w:val="FFFFFF"/>
          <w:sz w:val="22"/>
          <w:szCs w:val="22"/>
        </w:rPr>
        <w:t>源积累，依托强大的教育背景整合国内外</w:t>
      </w:r>
      <w:r>
        <w:rPr>
          <w:rFonts w:ascii="黑体" w:hAnsi="黑体" w:eastAsia="黑体" w:cs="黑体"/>
          <w:b/>
          <w:bCs/>
          <w:color w:val="D98B18"/>
          <w:sz w:val="22"/>
          <w:szCs w:val="22"/>
        </w:rPr>
        <w:t>30多所</w:t>
      </w:r>
      <w:r>
        <w:rPr>
          <w:rFonts w:ascii="黑体" w:hAnsi="黑体" w:eastAsia="黑体" w:cs="黑体"/>
          <w:color w:val="FFFFFF"/>
          <w:sz w:val="22"/>
          <w:szCs w:val="22"/>
        </w:rPr>
        <w:t>顶级</w:t>
      </w:r>
    </w:p>
    <w:p w14:paraId="4179D671">
      <w:pPr>
        <w:spacing w:before="207" w:line="213" w:lineRule="auto"/>
        <w:rPr>
          <w:rFonts w:ascii="黑体" w:hAnsi="黑体" w:eastAsia="黑体" w:cs="黑体"/>
          <w:sz w:val="22"/>
          <w:szCs w:val="22"/>
        </w:rPr>
      </w:pPr>
      <w:r>
        <w:rPr>
          <w:rFonts w:ascii="黑体" w:hAnsi="黑体" w:eastAsia="黑体" w:cs="黑体"/>
          <w:color w:val="FFFFFF"/>
          <w:spacing w:val="-12"/>
          <w:sz w:val="22"/>
          <w:szCs w:val="22"/>
        </w:rPr>
        <w:t>高校师资，官产学研</w:t>
      </w:r>
      <w:r>
        <w:rPr>
          <w:rFonts w:ascii="黑体" w:hAnsi="黑体" w:eastAsia="黑体" w:cs="黑体"/>
          <w:b/>
          <w:bCs/>
          <w:color w:val="D98B18"/>
          <w:spacing w:val="-12"/>
          <w:sz w:val="22"/>
          <w:szCs w:val="22"/>
        </w:rPr>
        <w:t>300多位</w:t>
      </w:r>
      <w:r>
        <w:rPr>
          <w:rFonts w:ascii="黑体" w:hAnsi="黑体" w:eastAsia="黑体" w:cs="黑体"/>
          <w:color w:val="FFFFFF"/>
          <w:spacing w:val="-12"/>
          <w:sz w:val="22"/>
          <w:szCs w:val="22"/>
        </w:rPr>
        <w:t>专家、学者、教授、企业家</w:t>
      </w:r>
    </w:p>
    <w:p w14:paraId="40E9D6F3">
      <w:pPr>
        <w:spacing w:before="216" w:line="213" w:lineRule="auto"/>
        <w:rPr>
          <w:rFonts w:ascii="黑体" w:hAnsi="黑体" w:eastAsia="黑体" w:cs="黑体"/>
          <w:sz w:val="22"/>
          <w:szCs w:val="22"/>
        </w:rPr>
      </w:pPr>
      <w:r>
        <w:rPr>
          <w:rFonts w:ascii="黑体" w:hAnsi="黑体" w:eastAsia="黑体" w:cs="黑体"/>
          <w:color w:val="FFFFFF"/>
          <w:spacing w:val="-8"/>
          <w:sz w:val="22"/>
          <w:szCs w:val="22"/>
        </w:rPr>
        <w:t>相结合，奠定了一流的师资基础，具备丰富的教学管理</w:t>
      </w:r>
    </w:p>
    <w:p w14:paraId="4F811D66">
      <w:pPr>
        <w:spacing w:before="176" w:line="213" w:lineRule="auto"/>
        <w:rPr>
          <w:rFonts w:ascii="黑体" w:hAnsi="黑体" w:eastAsia="黑体" w:cs="黑体"/>
          <w:sz w:val="22"/>
          <w:szCs w:val="22"/>
        </w:rPr>
      </w:pPr>
      <w:r>
        <w:rPr>
          <w:rFonts w:ascii="黑体" w:hAnsi="黑体" w:eastAsia="黑体" w:cs="黑体"/>
          <w:color w:val="FFFFFF"/>
          <w:spacing w:val="-8"/>
          <w:sz w:val="22"/>
          <w:szCs w:val="22"/>
        </w:rPr>
        <w:t>和实践经验，确保了课程设置和教学管理的合理</w:t>
      </w:r>
      <w:r>
        <w:rPr>
          <w:rFonts w:ascii="黑体" w:hAnsi="黑体" w:eastAsia="黑体" w:cs="黑体"/>
          <w:color w:val="FFFFFF"/>
          <w:spacing w:val="-9"/>
          <w:sz w:val="22"/>
          <w:szCs w:val="22"/>
        </w:rPr>
        <w:t>性与科</w:t>
      </w:r>
    </w:p>
    <w:p w14:paraId="700BD179">
      <w:pPr>
        <w:spacing w:before="225" w:line="221" w:lineRule="auto"/>
        <w:rPr>
          <w:rFonts w:ascii="黑体" w:hAnsi="黑体" w:eastAsia="黑体" w:cs="黑体"/>
          <w:sz w:val="22"/>
          <w:szCs w:val="22"/>
        </w:rPr>
      </w:pPr>
      <w:r>
        <w:rPr>
          <w:rFonts w:ascii="黑体" w:hAnsi="黑体" w:eastAsia="黑体" w:cs="黑体"/>
          <w:color w:val="FFFFFF"/>
          <w:spacing w:val="-5"/>
          <w:sz w:val="22"/>
          <w:szCs w:val="22"/>
        </w:rPr>
        <w:t>学性。</w:t>
      </w:r>
    </w:p>
    <w:p w14:paraId="6747011B">
      <w:pPr>
        <w:pStyle w:val="2"/>
        <w:spacing w:line="267" w:lineRule="auto"/>
      </w:pPr>
    </w:p>
    <w:p w14:paraId="40EBD55C">
      <w:pPr>
        <w:pStyle w:val="2"/>
        <w:spacing w:line="267" w:lineRule="auto"/>
      </w:pPr>
    </w:p>
    <w:p w14:paraId="38C943C9">
      <w:pPr>
        <w:pStyle w:val="2"/>
        <w:spacing w:line="267" w:lineRule="auto"/>
      </w:pPr>
    </w:p>
    <w:p w14:paraId="167A48FD">
      <w:pPr>
        <w:pStyle w:val="2"/>
        <w:spacing w:line="268" w:lineRule="auto"/>
      </w:pPr>
    </w:p>
    <w:p w14:paraId="65E57DE3">
      <w:pPr>
        <w:spacing w:before="121" w:line="221" w:lineRule="auto"/>
        <w:ind w:left="5"/>
        <w:rPr>
          <w:rFonts w:ascii="黑体" w:hAnsi="黑体" w:eastAsia="黑体" w:cs="黑体"/>
          <w:sz w:val="37"/>
          <w:szCs w:val="37"/>
        </w:rPr>
      </w:pPr>
      <w:r>
        <w:rPr>
          <w:rFonts w:ascii="黑体" w:hAnsi="黑体" w:eastAsia="黑体" w:cs="黑体"/>
          <w:b/>
          <w:bCs/>
          <w:color w:val="F38900"/>
          <w:spacing w:val="-26"/>
          <w:sz w:val="37"/>
          <w:szCs w:val="37"/>
        </w:rPr>
        <w:t>》》平台决定视野资源成就伟业</w:t>
      </w:r>
    </w:p>
    <w:p w14:paraId="64664823">
      <w:pPr>
        <w:spacing w:before="258" w:line="213" w:lineRule="auto"/>
        <w:rPr>
          <w:rFonts w:ascii="黑体" w:hAnsi="黑体" w:eastAsia="黑体" w:cs="黑体"/>
          <w:sz w:val="22"/>
          <w:szCs w:val="22"/>
        </w:rPr>
      </w:pPr>
      <w:r>
        <w:rPr>
          <w:rFonts w:ascii="黑体" w:hAnsi="黑体" w:eastAsia="黑体" w:cs="黑体"/>
          <w:color w:val="FFFFFF"/>
          <w:spacing w:val="-8"/>
          <w:sz w:val="22"/>
          <w:szCs w:val="22"/>
        </w:rPr>
        <w:t>在课堂以外为同学搭建更广阔的学习交流空间，针对城</w:t>
      </w:r>
    </w:p>
    <w:p w14:paraId="4212D237">
      <w:pPr>
        <w:spacing w:before="216" w:line="221" w:lineRule="auto"/>
        <w:rPr>
          <w:rFonts w:ascii="黑体" w:hAnsi="黑体" w:eastAsia="黑体" w:cs="黑体"/>
          <w:sz w:val="22"/>
          <w:szCs w:val="22"/>
        </w:rPr>
      </w:pPr>
      <w:r>
        <w:rPr>
          <w:rFonts w:ascii="黑体" w:hAnsi="黑体" w:eastAsia="黑体" w:cs="黑体"/>
          <w:color w:val="FFFFFF"/>
          <w:spacing w:val="-13"/>
          <w:sz w:val="22"/>
          <w:szCs w:val="22"/>
        </w:rPr>
        <w:t>建、产业与金融界高端人士的课外交流学习、参观</w:t>
      </w:r>
      <w:r>
        <w:rPr>
          <w:rFonts w:ascii="黑体" w:hAnsi="黑体" w:eastAsia="黑体" w:cs="黑体"/>
          <w:color w:val="FFFFFF"/>
          <w:spacing w:val="-14"/>
          <w:sz w:val="22"/>
          <w:szCs w:val="22"/>
        </w:rPr>
        <w:t>考察、</w:t>
      </w:r>
    </w:p>
    <w:p w14:paraId="68E0840C">
      <w:pPr>
        <w:spacing w:before="167" w:line="213" w:lineRule="auto"/>
        <w:rPr>
          <w:rFonts w:ascii="黑体" w:hAnsi="黑体" w:eastAsia="黑体" w:cs="黑体"/>
          <w:sz w:val="22"/>
          <w:szCs w:val="22"/>
        </w:rPr>
      </w:pPr>
      <w:r>
        <w:rPr>
          <w:rFonts w:ascii="黑体" w:hAnsi="黑体" w:eastAsia="黑体" w:cs="黑体"/>
          <w:color w:val="FFFFFF"/>
          <w:spacing w:val="-8"/>
          <w:sz w:val="22"/>
          <w:szCs w:val="22"/>
        </w:rPr>
        <w:t>圈层联谊等需求建立第二课堂，积极推动融合全</w:t>
      </w:r>
      <w:r>
        <w:rPr>
          <w:rFonts w:ascii="黑体" w:hAnsi="黑体" w:eastAsia="黑体" w:cs="黑体"/>
          <w:color w:val="FFFFFF"/>
          <w:spacing w:val="-9"/>
          <w:sz w:val="22"/>
          <w:szCs w:val="22"/>
        </w:rPr>
        <w:t>行业领</w:t>
      </w:r>
    </w:p>
    <w:p w14:paraId="039ABC99">
      <w:pPr>
        <w:spacing w:before="226" w:line="213" w:lineRule="auto"/>
        <w:rPr>
          <w:rFonts w:ascii="黑体" w:hAnsi="黑体" w:eastAsia="黑体" w:cs="黑体"/>
          <w:sz w:val="22"/>
          <w:szCs w:val="22"/>
        </w:rPr>
      </w:pPr>
      <w:r>
        <w:rPr>
          <w:rFonts w:ascii="黑体" w:hAnsi="黑体" w:eastAsia="黑体" w:cs="黑体"/>
          <w:color w:val="FFFFFF"/>
          <w:spacing w:val="-8"/>
          <w:sz w:val="22"/>
          <w:szCs w:val="22"/>
        </w:rPr>
        <w:t>域资源，近年来以打造百年商学名校为愿景目标，逐步</w:t>
      </w:r>
    </w:p>
    <w:p w14:paraId="06B9EF1C">
      <w:pPr>
        <w:spacing w:before="216" w:line="221" w:lineRule="auto"/>
        <w:rPr>
          <w:rFonts w:ascii="黑体" w:hAnsi="黑体" w:eastAsia="黑体" w:cs="黑体"/>
          <w:sz w:val="22"/>
          <w:szCs w:val="22"/>
        </w:rPr>
      </w:pPr>
      <w:r>
        <w:rPr>
          <w:rFonts w:ascii="黑体" w:hAnsi="黑体" w:eastAsia="黑体" w:cs="黑体"/>
          <w:color w:val="FFFFFF"/>
          <w:spacing w:val="1"/>
          <w:sz w:val="22"/>
          <w:szCs w:val="22"/>
        </w:rPr>
        <w:t>构建起以城建与产业开发领域为核心的产业间相互支</w:t>
      </w:r>
    </w:p>
    <w:p w14:paraId="3CEA8CA2">
      <w:pPr>
        <w:spacing w:before="167" w:line="213" w:lineRule="auto"/>
        <w:rPr>
          <w:rFonts w:ascii="黑体" w:hAnsi="黑体" w:eastAsia="黑体" w:cs="黑体"/>
          <w:sz w:val="22"/>
          <w:szCs w:val="22"/>
        </w:rPr>
      </w:pPr>
      <w:r>
        <w:rPr>
          <w:rFonts w:ascii="黑体" w:hAnsi="黑体" w:eastAsia="黑体" w:cs="黑体"/>
          <w:color w:val="FFFFFF"/>
          <w:spacing w:val="-11"/>
          <w:sz w:val="22"/>
          <w:szCs w:val="22"/>
        </w:rPr>
        <w:t>撑，业务上相互供给，客户资源相互共享，</w:t>
      </w:r>
      <w:r>
        <w:rPr>
          <w:rFonts w:ascii="黑体" w:hAnsi="黑体" w:eastAsia="黑体" w:cs="黑体"/>
          <w:color w:val="D49935"/>
          <w:spacing w:val="-11"/>
          <w:sz w:val="22"/>
          <w:szCs w:val="22"/>
        </w:rPr>
        <w:t>融「</w:t>
      </w:r>
      <w:r>
        <w:rPr>
          <w:rFonts w:ascii="黑体" w:hAnsi="黑体" w:eastAsia="黑体" w:cs="黑体"/>
          <w:color w:val="D49935"/>
          <w:spacing w:val="-12"/>
          <w:sz w:val="22"/>
          <w:szCs w:val="22"/>
        </w:rPr>
        <w:t>商学+智</w:t>
      </w:r>
    </w:p>
    <w:p w14:paraId="6E7E692C">
      <w:pPr>
        <w:spacing w:before="245" w:line="220" w:lineRule="auto"/>
        <w:rPr>
          <w:rFonts w:ascii="黑体" w:hAnsi="黑体" w:eastAsia="黑体" w:cs="黑体"/>
          <w:sz w:val="22"/>
          <w:szCs w:val="22"/>
        </w:rPr>
      </w:pPr>
      <w:r>
        <w:rPr>
          <w:rFonts w:ascii="黑体" w:hAnsi="黑体" w:eastAsia="黑体" w:cs="黑体"/>
          <w:color w:val="D49935"/>
          <w:spacing w:val="16"/>
          <w:sz w:val="22"/>
          <w:szCs w:val="22"/>
        </w:rPr>
        <w:t>库+产业+资本+平台」于一体的中房产业生态链体</w:t>
      </w:r>
    </w:p>
    <w:p w14:paraId="245AAB1F">
      <w:pPr>
        <w:spacing w:before="169" w:line="213" w:lineRule="auto"/>
        <w:rPr>
          <w:rFonts w:ascii="黑体" w:hAnsi="黑体" w:eastAsia="黑体" w:cs="黑体"/>
          <w:sz w:val="22"/>
          <w:szCs w:val="22"/>
        </w:rPr>
      </w:pPr>
      <w:r>
        <w:rPr>
          <w:rFonts w:ascii="黑体" w:hAnsi="黑体" w:eastAsia="黑体" w:cs="黑体"/>
          <w:color w:val="D49935"/>
          <w:spacing w:val="-4"/>
          <w:sz w:val="22"/>
          <w:szCs w:val="22"/>
        </w:rPr>
        <w:t>系 ，</w:t>
      </w:r>
      <w:r>
        <w:rPr>
          <w:rFonts w:ascii="黑体" w:hAnsi="黑体" w:eastAsia="黑体" w:cs="黑体"/>
          <w:color w:val="FFFFFF"/>
          <w:spacing w:val="-4"/>
          <w:sz w:val="22"/>
          <w:szCs w:val="22"/>
        </w:rPr>
        <w:t>为业界企业提供全方位的产业资源融合与链接服</w:t>
      </w:r>
    </w:p>
    <w:p w14:paraId="37E62578">
      <w:pPr>
        <w:spacing w:before="216" w:line="213" w:lineRule="auto"/>
        <w:rPr>
          <w:rFonts w:ascii="黑体" w:hAnsi="黑体" w:eastAsia="黑体" w:cs="黑体"/>
          <w:sz w:val="22"/>
          <w:szCs w:val="22"/>
        </w:rPr>
      </w:pPr>
      <w:r>
        <w:rPr>
          <w:rFonts w:ascii="黑体" w:hAnsi="黑体" w:eastAsia="黑体" w:cs="黑体"/>
          <w:color w:val="FFFFFF"/>
          <w:spacing w:val="-16"/>
          <w:sz w:val="22"/>
          <w:szCs w:val="22"/>
        </w:rPr>
        <w:t>务，搭建终身学习交流，融项目资源、资金</w:t>
      </w:r>
      <w:r>
        <w:rPr>
          <w:rFonts w:ascii="黑体" w:hAnsi="黑体" w:eastAsia="黑体" w:cs="黑体"/>
          <w:color w:val="FFFFFF"/>
          <w:spacing w:val="-17"/>
          <w:sz w:val="22"/>
          <w:szCs w:val="22"/>
        </w:rPr>
        <w:t>资源、信息资</w:t>
      </w:r>
    </w:p>
    <w:p w14:paraId="7F5B2A13">
      <w:pPr>
        <w:spacing w:before="216" w:line="221" w:lineRule="auto"/>
        <w:rPr>
          <w:rFonts w:ascii="黑体" w:hAnsi="黑体" w:eastAsia="黑体" w:cs="黑体"/>
          <w:sz w:val="22"/>
          <w:szCs w:val="22"/>
        </w:rPr>
      </w:pPr>
      <w:r>
        <w:rPr>
          <w:rFonts w:ascii="黑体" w:hAnsi="黑体" w:eastAsia="黑体" w:cs="黑体"/>
          <w:color w:val="FFFFFF"/>
          <w:spacing w:val="-17"/>
          <w:sz w:val="22"/>
          <w:szCs w:val="22"/>
        </w:rPr>
        <w:t>源、知识资源、人脉资源于一体的互动平台。助力校友企</w:t>
      </w:r>
    </w:p>
    <w:p w14:paraId="6C8C62C2">
      <w:pPr>
        <w:spacing w:before="177" w:line="187" w:lineRule="auto"/>
        <w:rPr>
          <w:rFonts w:ascii="黑体" w:hAnsi="黑体" w:eastAsia="黑体" w:cs="黑体"/>
          <w:sz w:val="22"/>
          <w:szCs w:val="22"/>
        </w:rPr>
      </w:pPr>
      <w:r>
        <w:rPr>
          <w:rFonts w:ascii="黑体" w:hAnsi="黑体" w:eastAsia="黑体" w:cs="黑体"/>
          <w:color w:val="FFFFFF"/>
          <w:spacing w:val="-13"/>
          <w:sz w:val="22"/>
          <w:szCs w:val="22"/>
        </w:rPr>
        <w:t>业长足发展，基业长青。</w:t>
      </w:r>
    </w:p>
    <w:p w14:paraId="36712F05">
      <w:pPr>
        <w:spacing w:line="187" w:lineRule="auto"/>
        <w:rPr>
          <w:rFonts w:ascii="黑体" w:hAnsi="黑体" w:eastAsia="黑体" w:cs="黑体"/>
          <w:sz w:val="22"/>
          <w:szCs w:val="22"/>
        </w:rPr>
        <w:sectPr>
          <w:type w:val="continuous"/>
          <w:pgSz w:w="11900" w:h="16840"/>
          <w:pgMar w:top="400" w:right="0" w:bottom="0" w:left="0" w:header="0" w:footer="0" w:gutter="0"/>
          <w:cols w:equalWidth="0" w:num="2">
            <w:col w:w="6470" w:space="100"/>
            <w:col w:w="5331"/>
          </w:cols>
        </w:sectPr>
      </w:pPr>
    </w:p>
    <w:p w14:paraId="5145AF44">
      <w:pPr>
        <w:spacing w:before="170" w:line="970" w:lineRule="exact"/>
        <w:ind w:firstLine="590"/>
      </w:pPr>
      <w:r>
        <w:drawing>
          <wp:anchor distT="0" distB="0" distL="0" distR="0" simplePos="0" relativeHeight="251679744" behindDoc="1" locked="0" layoutInCell="1" allowOverlap="1">
            <wp:simplePos x="0" y="0"/>
            <wp:positionH relativeFrom="column">
              <wp:posOffset>39370</wp:posOffset>
            </wp:positionH>
            <wp:positionV relativeFrom="paragraph">
              <wp:posOffset>-261620</wp:posOffset>
            </wp:positionV>
            <wp:extent cx="7556500" cy="10693400"/>
            <wp:effectExtent l="0" t="0" r="0" b="0"/>
            <wp:wrapNone/>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27"/>
                    <a:stretch>
                      <a:fillRect/>
                    </a:stretch>
                  </pic:blipFill>
                  <pic:spPr>
                    <a:xfrm>
                      <a:off x="0" y="0"/>
                      <a:ext cx="7556500" cy="10693400"/>
                    </a:xfrm>
                    <a:prstGeom prst="rect">
                      <a:avLst/>
                    </a:prstGeom>
                  </pic:spPr>
                </pic:pic>
              </a:graphicData>
            </a:graphic>
          </wp:anchor>
        </w:drawing>
      </w:r>
      <w:r>
        <w:rPr>
          <w:position w:val="-19"/>
        </w:rPr>
        <w:drawing>
          <wp:inline distT="0" distB="0" distL="0" distR="0">
            <wp:extent cx="1955165" cy="615315"/>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28"/>
                    <a:stretch>
                      <a:fillRect/>
                    </a:stretch>
                  </pic:blipFill>
                  <pic:spPr>
                    <a:xfrm>
                      <a:off x="0" y="0"/>
                      <a:ext cx="1955773" cy="615939"/>
                    </a:xfrm>
                    <a:prstGeom prst="rect">
                      <a:avLst/>
                    </a:prstGeom>
                  </pic:spPr>
                </pic:pic>
              </a:graphicData>
            </a:graphic>
          </wp:inline>
        </w:drawing>
      </w:r>
    </w:p>
    <w:p w14:paraId="3D8C9DC3">
      <w:pPr>
        <w:pStyle w:val="2"/>
        <w:spacing w:line="259" w:lineRule="auto"/>
      </w:pPr>
    </w:p>
    <w:p w14:paraId="01EB731D">
      <w:pPr>
        <w:pStyle w:val="2"/>
        <w:spacing w:line="259" w:lineRule="auto"/>
      </w:pPr>
    </w:p>
    <w:p w14:paraId="6C991905">
      <w:pPr>
        <w:pStyle w:val="2"/>
        <w:spacing w:line="259" w:lineRule="auto"/>
      </w:pPr>
    </w:p>
    <w:p w14:paraId="2C557A43">
      <w:pPr>
        <w:pStyle w:val="2"/>
        <w:spacing w:line="260" w:lineRule="auto"/>
      </w:pPr>
    </w:p>
    <w:p w14:paraId="05503030">
      <w:pPr>
        <w:pStyle w:val="2"/>
        <w:spacing w:line="260" w:lineRule="auto"/>
      </w:pPr>
    </w:p>
    <w:p w14:paraId="0DB08FFE">
      <w:pPr>
        <w:pStyle w:val="2"/>
        <w:spacing w:line="260" w:lineRule="auto"/>
      </w:pPr>
    </w:p>
    <w:p w14:paraId="3DBCF552">
      <w:pPr>
        <w:pStyle w:val="2"/>
        <w:spacing w:line="260" w:lineRule="auto"/>
      </w:pPr>
    </w:p>
    <w:p w14:paraId="6E387ACE">
      <w:pPr>
        <w:pStyle w:val="2"/>
        <w:spacing w:line="260" w:lineRule="auto"/>
      </w:pPr>
    </w:p>
    <w:p w14:paraId="600B0FE0">
      <w:pPr>
        <w:pStyle w:val="2"/>
        <w:spacing w:line="260" w:lineRule="auto"/>
      </w:pPr>
    </w:p>
    <w:p w14:paraId="0E6977BA">
      <w:pPr>
        <w:pStyle w:val="2"/>
        <w:spacing w:before="216" w:line="198" w:lineRule="auto"/>
        <w:ind w:left="3540"/>
        <w:rPr>
          <w:sz w:val="75"/>
          <w:szCs w:val="75"/>
        </w:rPr>
      </w:pPr>
      <w:r>
        <w:rPr>
          <w:b/>
          <w:bCs/>
          <w:color w:val="FFFFFF"/>
          <w:spacing w:val="-8"/>
          <w:sz w:val="75"/>
          <w:szCs w:val="75"/>
        </w:rPr>
        <w:t>CONTACT</w:t>
      </w:r>
      <w:r>
        <w:rPr>
          <w:b/>
          <w:bCs/>
          <w:color w:val="FFFFFF"/>
          <w:spacing w:val="58"/>
          <w:sz w:val="75"/>
          <w:szCs w:val="75"/>
        </w:rPr>
        <w:t xml:space="preserve"> </w:t>
      </w:r>
      <w:r>
        <w:rPr>
          <w:b/>
          <w:bCs/>
          <w:color w:val="FFFFFF"/>
          <w:spacing w:val="-8"/>
          <w:sz w:val="75"/>
          <w:szCs w:val="75"/>
        </w:rPr>
        <w:t>US</w:t>
      </w:r>
    </w:p>
    <w:p w14:paraId="1FE1481E">
      <w:pPr>
        <w:pStyle w:val="2"/>
        <w:spacing w:line="276" w:lineRule="auto"/>
      </w:pPr>
    </w:p>
    <w:p w14:paraId="498996B0">
      <w:pPr>
        <w:pStyle w:val="2"/>
        <w:spacing w:line="276" w:lineRule="auto"/>
      </w:pPr>
    </w:p>
    <w:p w14:paraId="0D962903">
      <w:pPr>
        <w:pStyle w:val="2"/>
        <w:spacing w:line="277" w:lineRule="auto"/>
      </w:pPr>
    </w:p>
    <w:p w14:paraId="6D0C5311">
      <w:pPr>
        <w:pStyle w:val="2"/>
        <w:spacing w:line="277" w:lineRule="auto"/>
      </w:pPr>
    </w:p>
    <w:p w14:paraId="0549FB93">
      <w:pPr>
        <w:pStyle w:val="2"/>
        <w:spacing w:line="277" w:lineRule="auto"/>
      </w:pPr>
    </w:p>
    <w:p w14:paraId="7552F565">
      <w:pPr>
        <w:pStyle w:val="2"/>
        <w:spacing w:line="277" w:lineRule="auto"/>
      </w:pPr>
    </w:p>
    <w:p w14:paraId="2334324B">
      <w:pPr>
        <w:spacing w:line="2220" w:lineRule="exact"/>
        <w:ind w:firstLine="4849"/>
      </w:pPr>
    </w:p>
    <w:p w14:paraId="6B87F0C2">
      <w:pPr>
        <w:pStyle w:val="2"/>
        <w:spacing w:line="312" w:lineRule="auto"/>
      </w:pPr>
    </w:p>
    <w:p w14:paraId="6EABC0D8">
      <w:pPr>
        <w:pStyle w:val="2"/>
        <w:spacing w:line="260" w:lineRule="auto"/>
      </w:pPr>
      <w:bookmarkStart w:id="0" w:name="_GoBack"/>
      <w:bookmarkEnd w:id="0"/>
    </w:p>
    <w:p w14:paraId="0C6BD970">
      <w:pPr>
        <w:pStyle w:val="2"/>
        <w:spacing w:line="260" w:lineRule="auto"/>
      </w:pPr>
    </w:p>
    <w:p w14:paraId="00E0B819">
      <w:pPr>
        <w:pStyle w:val="2"/>
        <w:spacing w:line="260" w:lineRule="auto"/>
      </w:pPr>
    </w:p>
    <w:p w14:paraId="781C0C30">
      <w:pPr>
        <w:pStyle w:val="2"/>
        <w:spacing w:line="260" w:lineRule="auto"/>
      </w:pPr>
    </w:p>
    <w:p w14:paraId="64B2CFEE">
      <w:pPr>
        <w:spacing w:before="91" w:line="492" w:lineRule="exact"/>
        <w:ind w:left="3669"/>
        <w:rPr>
          <w:rFonts w:ascii="黑体" w:hAnsi="黑体" w:eastAsia="黑体" w:cs="黑体"/>
          <w:sz w:val="28"/>
          <w:szCs w:val="28"/>
        </w:rPr>
      </w:pPr>
      <w:r>
        <w:rPr>
          <w:rFonts w:ascii="黑体" w:hAnsi="黑体" w:eastAsia="黑体" w:cs="黑体"/>
          <w:color w:val="FFFFFF"/>
          <w:position w:val="-6"/>
          <w:sz w:val="28"/>
          <w:szCs w:val="28"/>
        </w:rPr>
        <w:drawing>
          <wp:inline distT="0" distB="0" distL="0" distR="0">
            <wp:extent cx="273050" cy="266065"/>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29"/>
                    <a:stretch>
                      <a:fillRect/>
                    </a:stretch>
                  </pic:blipFill>
                  <pic:spPr>
                    <a:xfrm>
                      <a:off x="0" y="0"/>
                      <a:ext cx="273091" cy="266693"/>
                    </a:xfrm>
                    <a:prstGeom prst="rect">
                      <a:avLst/>
                    </a:prstGeom>
                  </pic:spPr>
                </pic:pic>
              </a:graphicData>
            </a:graphic>
          </wp:inline>
        </w:drawing>
      </w:r>
    </w:p>
    <w:p w14:paraId="1818D035">
      <w:pPr>
        <w:spacing w:before="222" w:line="220" w:lineRule="auto"/>
        <w:ind w:left="3103"/>
        <w:rPr>
          <w:rFonts w:ascii="黑体" w:hAnsi="黑体" w:eastAsia="黑体" w:cs="黑体"/>
          <w:sz w:val="28"/>
          <w:szCs w:val="28"/>
        </w:rPr>
      </w:pPr>
      <w:r>
        <w:rPr>
          <w:rFonts w:ascii="黑体" w:hAnsi="黑体" w:eastAsia="黑体" w:cs="黑体"/>
          <w:b/>
          <w:bCs/>
          <w:color w:val="FFFFFF"/>
          <w:spacing w:val="1"/>
          <w:sz w:val="28"/>
          <w:szCs w:val="28"/>
        </w:rPr>
        <w:t>9广州市海珠区振兴大街2号九号楼中房商学院</w:t>
      </w:r>
    </w:p>
    <w:p w14:paraId="0AE58449">
      <w:pPr>
        <w:pStyle w:val="2"/>
      </w:pPr>
    </w:p>
    <w:p w14:paraId="112B68B5">
      <w:pPr>
        <w:pStyle w:val="2"/>
      </w:pPr>
    </w:p>
    <w:p w14:paraId="5D7B7FCC">
      <w:pPr>
        <w:pStyle w:val="2"/>
      </w:pPr>
    </w:p>
    <w:p w14:paraId="3A86A5BA">
      <w:pPr>
        <w:pStyle w:val="2"/>
      </w:pPr>
    </w:p>
    <w:p w14:paraId="439335D0">
      <w:pPr>
        <w:pStyle w:val="2"/>
      </w:pPr>
    </w:p>
    <w:p w14:paraId="58A47677">
      <w:pPr>
        <w:pStyle w:val="2"/>
      </w:pPr>
    </w:p>
    <w:p w14:paraId="14C80C36">
      <w:pPr>
        <w:pStyle w:val="2"/>
      </w:pPr>
    </w:p>
    <w:p w14:paraId="5F7989FF">
      <w:pPr>
        <w:pStyle w:val="2"/>
      </w:pPr>
    </w:p>
    <w:p w14:paraId="3B802ACE">
      <w:pPr>
        <w:pStyle w:val="2"/>
      </w:pPr>
    </w:p>
    <w:p w14:paraId="4A36DAB6">
      <w:pPr>
        <w:pStyle w:val="2"/>
      </w:pPr>
    </w:p>
    <w:p w14:paraId="52AF0909">
      <w:pPr>
        <w:pStyle w:val="2"/>
      </w:pPr>
    </w:p>
    <w:p w14:paraId="67FA7484">
      <w:pPr>
        <w:pStyle w:val="2"/>
        <w:spacing w:line="241" w:lineRule="auto"/>
      </w:pPr>
    </w:p>
    <w:p w14:paraId="3B7BA808">
      <w:pPr>
        <w:pStyle w:val="2"/>
        <w:spacing w:line="241" w:lineRule="auto"/>
      </w:pPr>
    </w:p>
    <w:p w14:paraId="6AECA1EA">
      <w:pPr>
        <w:spacing w:line="800" w:lineRule="exact"/>
        <w:ind w:firstLine="5520"/>
      </w:pPr>
      <w:r>
        <w:rPr>
          <w:position w:val="-16"/>
        </w:rPr>
        <w:drawing>
          <wp:inline distT="0" distB="0" distL="0" distR="0">
            <wp:extent cx="539115" cy="508000"/>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30"/>
                    <a:stretch>
                      <a:fillRect/>
                    </a:stretch>
                  </pic:blipFill>
                  <pic:spPr>
                    <a:xfrm>
                      <a:off x="0" y="0"/>
                      <a:ext cx="539685" cy="508043"/>
                    </a:xfrm>
                    <a:prstGeom prst="rect">
                      <a:avLst/>
                    </a:prstGeom>
                  </pic:spPr>
                </pic:pic>
              </a:graphicData>
            </a:graphic>
          </wp:inline>
        </w:drawing>
      </w:r>
    </w:p>
    <w:sectPr>
      <w:pgSz w:w="11900" w:h="16840"/>
      <w:pgMar w:top="400" w:right="0" w:bottom="0" w:left="0"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87366B">
    <w:pPr>
      <w:pStyle w:val="2"/>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B143AC">
    <w:pPr>
      <w:pStyle w:val="2"/>
      <w:spacing w:line="14" w:lineRule="auto"/>
      <w:rPr>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documentProtection w:enforcement="0"/>
  <w:characterSpacingControl w:val="doNotCompress"/>
  <w:footnotePr>
    <w:footnote w:id="0"/>
    <w:footnote w:id="1"/>
  </w:footnotePr>
  <w:endnotePr>
    <w:endnote w:id="0"/>
    <w:endnote w:id="1"/>
  </w:endnotePr>
  <w:compat>
    <w:spaceForUL/>
    <w:ulTrailSpace/>
    <w:useFELayout/>
    <w:compatSetting w:name="compatibilityMode" w:uri="http://schemas.microsoft.com/office/word" w:val="14"/>
  </w:compat>
  <w:docVars>
    <w:docVar w:name="commondata" w:val="eyJoZGlkIjoiZDYyYWU3OWJmMjVhYWExMDJhYTQwZDkyZTU5MDY5NGIifQ=="/>
  </w:docVars>
  <w:rsids>
    <w:rsidRoot w:val="00000000"/>
    <w:rsid w:val="214C4D49"/>
    <w:rsid w:val="3D36673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2" Type="http://schemas.openxmlformats.org/officeDocument/2006/relationships/fontTable" Target="fontTable.xml"/><Relationship Id="rId31" Type="http://schemas.openxmlformats.org/officeDocument/2006/relationships/customXml" Target="../customXml/item1.xml"/><Relationship Id="rId30" Type="http://schemas.openxmlformats.org/officeDocument/2006/relationships/image" Target="media/image23.jpeg"/><Relationship Id="rId3" Type="http://schemas.openxmlformats.org/officeDocument/2006/relationships/footnotes" Target="footnotes.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jpe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jpe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jpeg"/><Relationship Id="rId14" Type="http://schemas.openxmlformats.org/officeDocument/2006/relationships/image" Target="media/image7.pn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Info spid="_x0000_s1027"/>
    <customShpInfo spid="_x0000_s102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17</Pages>
  <Words>6393</Words>
  <Characters>6793</Characters>
  <TotalTime>17</TotalTime>
  <ScaleCrop>false</ScaleCrop>
  <LinksUpToDate>false</LinksUpToDate>
  <CharactersWithSpaces>7125</CharactersWithSpaces>
  <Application>WPS Office_12.1.0.17857_F1E327BC-269C-435d-A152-05C5408002CA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2024-09-04T15:00:00Z</dcterms:created>
  <dc:creator>Kingsoft-PDF</dc:creator>
  <cp:lastModifiedBy>冰冰⊙▽⊙＊</cp:lastModifiedBy>
  <dcterms:modified xsi:type="dcterms:W3CDTF">2024-09-04T07:19:01Z</dcterms:modified>
  <dc:subject>pdfbuilder</dc:subject>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2024-09-04T15:00:30Z</vt:filetime>
  </property>
  <property fmtid="{D5CDD505-2E9C-101B-9397-08002B2CF9AE}" pid="4" name="UsrData">
    <vt:lpwstr>66d8057fe1e4c5001f6d64f2wl</vt:lpwstr>
  </property>
  <property fmtid="{D5CDD505-2E9C-101B-9397-08002B2CF9AE}" pid="5" name="KSOProductBuildVer">
    <vt:lpwstr>2052-12.1.0.17857</vt:lpwstr>
  </property>
  <property fmtid="{D5CDD505-2E9C-101B-9397-08002B2CF9AE}" pid="6" name="ICV">
    <vt:lpwstr>65B232012AD441CFBFC524EA5A800BB6_13</vt:lpwstr>
  </property>
</Properties>
</file>