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  <w:r>
        <w:pict>
          <v:group id="_x0000_s1026" o:spid="_x0000_s1026" o:spt="203" style="position:absolute;left:0pt;margin-left:479pt;margin-top:6.5pt;height:48.55pt;width:233pt;z-index:251660288;mso-width-relative:page;mso-height-relative:page;" coordsize="4660,970">
            <o:lock v:ext="edit"/>
            <v:shape id="_x0000_s1027" o:spid="_x0000_s1027" o:spt="75" type="#_x0000_t75" style="position:absolute;left:0;top:0;height:970;width:4660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28" o:spid="_x0000_s1028" o:spt="202" type="#_x0000_t202" style="position:absolute;left:2645;top:137;height:813;width:2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205" w:lineRule="auto"/>
                      <w:ind w:left="20"/>
                      <w:rPr>
                        <w:rFonts w:ascii="黑体" w:hAnsi="黑体" w:eastAsia="黑体" w:cs="黑体"/>
                        <w:sz w:val="40"/>
                        <w:szCs w:val="4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FFFFFF"/>
                        <w:spacing w:val="-10"/>
                        <w:sz w:val="40"/>
                        <w:szCs w:val="40"/>
                      </w:rPr>
                      <w:t>新商界管理</w:t>
                    </w:r>
                  </w:p>
                  <w:p>
                    <w:pPr>
                      <w:pStyle w:val="2"/>
                      <w:spacing w:before="1" w:line="200" w:lineRule="auto"/>
                      <w:ind w:left="74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pacing w:val="-5"/>
                        <w:position w:val="1"/>
                        <w:sz w:val="34"/>
                        <w:szCs w:val="34"/>
                      </w:rPr>
                      <w:t>NEW</w:t>
                    </w:r>
                    <w:r>
                      <w:rPr>
                        <w:b/>
                        <w:bCs/>
                        <w:color w:val="FFFFFF"/>
                        <w:spacing w:val="-34"/>
                        <w:position w:val="1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color w:val="DD9893"/>
                        <w:spacing w:val="-5"/>
                        <w:position w:val="-2"/>
                        <w:sz w:val="15"/>
                        <w:szCs w:val="15"/>
                      </w:rPr>
                      <w:t>MANAGEMENT</w:t>
                    </w:r>
                  </w:p>
                </w:txbxContent>
              </v:textbox>
            </v:shape>
            <v:shape id="_x0000_s1029" o:spid="_x0000_s1029" o:spt="202" type="#_x0000_t202" style="position:absolute;left:129;top:96;height:861;width:7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5" w:lineRule="auto"/>
                      <w:ind w:left="40" w:right="20" w:hanging="20"/>
                      <w:rPr>
                        <w:rFonts w:ascii="黑体" w:hAnsi="黑体" w:eastAsia="黑体" w:cs="黑体"/>
                        <w:sz w:val="34"/>
                        <w:szCs w:val="34"/>
                      </w:rPr>
                    </w:pPr>
                    <w:r>
                      <w:rPr>
                        <w:rFonts w:ascii="黑体" w:hAnsi="黑体" w:eastAsia="黑体" w:cs="黑体"/>
                        <w:color w:val="EFC2C3"/>
                        <w:spacing w:val="-32"/>
                        <w:sz w:val="40"/>
                        <w:szCs w:val="40"/>
                      </w:rPr>
                      <w:t>智晋</w:t>
                    </w:r>
                    <w:r>
                      <w:rPr>
                        <w:rFonts w:ascii="黑体" w:hAnsi="黑体" w:eastAsia="黑体" w:cs="黑体"/>
                        <w:color w:val="EFC2C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EFC2C3"/>
                        <w:spacing w:val="24"/>
                        <w:sz w:val="34"/>
                        <w:szCs w:val="34"/>
                      </w:rPr>
                      <w:t>享美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9451" w:lineRule="exact"/>
        <w:ind w:firstLine="2090"/>
      </w:pPr>
      <w:r>
        <w:rPr>
          <w:position w:val="-189"/>
        </w:rPr>
        <w:pict>
          <v:shape id="_x0000_s1030" o:spid="_x0000_s1030" o:spt="202" type="#_x0000_t202" style="height:472.55pt;width:205pt;" fillcolor="#99101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line="28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7" w:line="201" w:lineRule="auto"/>
                    <w:ind w:left="1160"/>
                    <w:rPr>
                      <w:rFonts w:ascii="宋体" w:hAnsi="宋体" w:eastAsia="宋体" w:cs="宋体"/>
                      <w:sz w:val="38"/>
                      <w:szCs w:val="38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53"/>
                      <w:sz w:val="38"/>
                      <w:szCs w:val="38"/>
                    </w:rPr>
                    <w:t>时代晋商</w:t>
                  </w:r>
                  <w:r>
                    <w:rPr>
                      <w:rFonts w:ascii="宋体" w:hAnsi="宋体" w:eastAsia="宋体" w:cs="宋体"/>
                      <w:color w:val="FFFFFF"/>
                      <w:spacing w:val="-110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53"/>
                      <w:sz w:val="38"/>
                      <w:szCs w:val="38"/>
                    </w:rPr>
                    <w:t>·</w:t>
                  </w:r>
                  <w:r>
                    <w:rPr>
                      <w:rFonts w:ascii="宋体" w:hAnsi="宋体" w:eastAsia="宋体" w:cs="宋体"/>
                      <w:color w:val="FFFFFF"/>
                      <w:spacing w:val="-110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53"/>
                      <w:sz w:val="38"/>
                      <w:szCs w:val="38"/>
                    </w:rPr>
                    <w:t>务本创新</w:t>
                  </w:r>
                </w:p>
                <w:p>
                  <w:pPr>
                    <w:spacing w:before="177" w:line="203" w:lineRule="auto"/>
                    <w:ind w:left="1161"/>
                    <w:rPr>
                      <w:rFonts w:ascii="黑体" w:hAnsi="黑体" w:eastAsia="黑体" w:cs="黑体"/>
                      <w:sz w:val="42"/>
                      <w:szCs w:val="42"/>
                    </w:rPr>
                  </w:pPr>
                  <w:r>
                    <w:rPr>
                      <w:rFonts w:ascii="黑体" w:hAnsi="黑体" w:eastAsia="黑体" w:cs="黑体"/>
                      <w:color w:val="FFFFFF"/>
                      <w:spacing w:val="28"/>
                      <w:sz w:val="42"/>
                      <w:szCs w:val="42"/>
                    </w:rPr>
                    <w:t>新商界高级管理人才研修班</w:t>
                  </w:r>
                </w:p>
                <w:p>
                  <w:pPr>
                    <w:spacing w:before="294" w:line="197" w:lineRule="auto"/>
                    <w:ind w:left="719"/>
                    <w:rPr>
                      <w:rFonts w:ascii="华文行楷" w:hAnsi="华文行楷" w:eastAsia="华文行楷" w:cs="华文行楷"/>
                      <w:sz w:val="190"/>
                      <w:szCs w:val="190"/>
                    </w:rPr>
                  </w:pPr>
                  <w:r>
                    <w:rPr>
                      <w:rFonts w:ascii="华文行楷" w:hAnsi="华文行楷" w:eastAsia="华文行楷" w:cs="华文行楷"/>
                      <w:color w:val="FFFFFF"/>
                      <w:spacing w:val="199"/>
                      <w:sz w:val="190"/>
                      <w:szCs w:val="190"/>
                    </w:rPr>
                    <w:t>新商界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299" w:line="214" w:lineRule="auto"/>
        <w:ind w:left="10573"/>
        <w:rPr>
          <w:rFonts w:ascii="黑体" w:hAnsi="黑体" w:eastAsia="黑体" w:cs="黑体"/>
          <w:sz w:val="92"/>
          <w:szCs w:val="92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-11608435</wp:posOffset>
            </wp:positionV>
            <wp:extent cx="9753600" cy="132334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910004"/>
          <w:sz w:val="92"/>
          <w:szCs w:val="92"/>
        </w:rPr>
        <w:t>招生简章</w:t>
      </w:r>
    </w:p>
    <w:p>
      <w:pPr>
        <w:pStyle w:val="2"/>
        <w:spacing w:line="198" w:lineRule="auto"/>
        <w:ind w:left="10640"/>
        <w:rPr>
          <w:sz w:val="34"/>
          <w:szCs w:val="34"/>
        </w:rPr>
      </w:pPr>
      <w:r>
        <w:rPr>
          <w:b/>
          <w:bCs/>
          <w:spacing w:val="-2"/>
          <w:sz w:val="34"/>
          <w:szCs w:val="34"/>
        </w:rPr>
        <w:t>NROLLMENT    GUIDE</w:t>
      </w:r>
    </w:p>
    <w:p>
      <w:pPr>
        <w:spacing w:line="198" w:lineRule="auto"/>
        <w:rPr>
          <w:sz w:val="34"/>
          <w:szCs w:val="34"/>
        </w:rPr>
        <w:sectPr>
          <w:headerReference r:id="rId5" w:type="default"/>
          <w:pgSz w:w="15360" w:h="208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line="2780" w:lineRule="exact"/>
        <w:ind w:firstLine="50"/>
      </w:pPr>
      <w:r>
        <w:rPr>
          <w:position w:val="-55"/>
        </w:rPr>
        <w:pict>
          <v:shape id="_x0000_s1031" o:spid="_x0000_s1031" o:spt="202" type="#_x0000_t202" style="height:139pt;width:756.5pt;" fillcolor="#8F1E2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73" w:line="219" w:lineRule="auto"/>
                    <w:ind w:left="9981"/>
                    <w:rPr>
                      <w:rFonts w:ascii="宋体" w:hAnsi="宋体" w:eastAsia="宋体" w:cs="宋体"/>
                      <w:sz w:val="84"/>
                      <w:szCs w:val="8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7"/>
                      <w:sz w:val="84"/>
                      <w:szCs w:val="84"/>
                    </w:rPr>
                    <w:t>项目简介</w:t>
                  </w:r>
                </w:p>
                <w:p>
                  <w:pPr>
                    <w:spacing w:before="84" w:line="188" w:lineRule="auto"/>
                    <w:ind w:left="9049"/>
                    <w:rPr>
                      <w:rFonts w:ascii="Times New Roman" w:hAnsi="Times New Roman" w:eastAsia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8"/>
                      <w:sz w:val="56"/>
                      <w:szCs w:val="56"/>
                    </w:rPr>
                    <w:t>INTRODUCTION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5630" w:lineRule="exact"/>
        <w:ind w:firstLine="8549"/>
      </w:pPr>
      <w:r>
        <w:pict>
          <v:shape id="_x0000_s1032" o:spid="_x0000_s1032" o:spt="202" type="#_x0000_t202" style="position:absolute;left:0pt;margin-left:59pt;margin-top:48.9pt;height:215.6pt;width:338.8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黑体" w:hAnsi="黑体" w:eastAsia="黑体" w:cs="黑体"/>
                      <w:sz w:val="25"/>
                      <w:szCs w:val="25"/>
                    </w:rPr>
                  </w:pPr>
                  <w:r>
                    <w:rPr>
                      <w:rFonts w:ascii="黑体" w:hAnsi="黑体" w:eastAsia="黑体" w:cs="黑体"/>
                      <w:spacing w:val="11"/>
                      <w:sz w:val="25"/>
                      <w:szCs w:val="25"/>
                    </w:rPr>
                    <w:t>时代晋商 ·</w:t>
                  </w:r>
                  <w:r>
                    <w:rPr>
                      <w:rFonts w:ascii="黑体" w:hAnsi="黑体" w:eastAsia="黑体" w:cs="黑体"/>
                      <w:spacing w:val="-8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1"/>
                      <w:sz w:val="25"/>
                      <w:szCs w:val="25"/>
                    </w:rPr>
                    <w:t>新商界高级管理总裁研修项目(原财大总裁</w:t>
                  </w:r>
                </w:p>
                <w:p>
                  <w:pPr>
                    <w:spacing w:before="276" w:line="392" w:lineRule="auto"/>
                    <w:ind w:left="20" w:right="20"/>
                    <w:rPr>
                      <w:rFonts w:ascii="黑体" w:hAnsi="黑体" w:eastAsia="黑体" w:cs="黑体"/>
                      <w:sz w:val="25"/>
                      <w:szCs w:val="25"/>
                    </w:rPr>
                  </w:pPr>
                  <w:r>
                    <w:rPr>
                      <w:rFonts w:ascii="黑体" w:hAnsi="黑体" w:eastAsia="黑体" w:cs="黑体"/>
                      <w:spacing w:val="21"/>
                      <w:sz w:val="25"/>
                      <w:szCs w:val="25"/>
                    </w:rPr>
                    <w:t>班)创办于2010年，以“打造晋商群英，服务山西经济”</w:t>
                  </w:r>
                  <w:r>
                    <w:rPr>
                      <w:rFonts w:ascii="黑体" w:hAnsi="黑体" w:eastAsia="黑体" w:cs="黑体"/>
                      <w:spacing w:val="2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9"/>
                      <w:sz w:val="25"/>
                      <w:szCs w:val="25"/>
                    </w:rPr>
                    <w:t>为目标，坚持“务本创新”的教育理念和“启迪商业智慧，</w:t>
                  </w:r>
                  <w:r>
                    <w:rPr>
                      <w:rFonts w:ascii="黑体" w:hAnsi="黑体" w:eastAsia="黑体" w:cs="黑体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2"/>
                      <w:sz w:val="25"/>
                      <w:szCs w:val="25"/>
                    </w:rPr>
                    <w:t>赋能企业发展”的发展使命，根据商业环境的变化不断创</w:t>
                  </w:r>
                  <w:r>
                    <w:rPr>
                      <w:rFonts w:ascii="黑体" w:hAnsi="黑体" w:eastAsia="黑体" w:cs="黑体"/>
                      <w:spacing w:val="7"/>
                      <w:sz w:val="25"/>
                      <w:szCs w:val="25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13"/>
                      <w:sz w:val="25"/>
                      <w:szCs w:val="25"/>
                    </w:rPr>
                    <w:t>新教学形式和内容，为学员提供融合世界先进理念和中国</w:t>
                  </w:r>
                  <w:r>
                    <w:rPr>
                      <w:rFonts w:ascii="黑体" w:hAnsi="黑体" w:eastAsia="黑体" w:cs="黑体"/>
                      <w:spacing w:val="9"/>
                      <w:sz w:val="25"/>
                      <w:szCs w:val="25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spacing w:val="13"/>
                      <w:sz w:val="25"/>
                      <w:szCs w:val="25"/>
                    </w:rPr>
                    <w:t>发展实践的课程，打造最具品质和规模的三晋企业家学习</w:t>
                  </w:r>
                  <w:r>
                    <w:rPr>
                      <w:rFonts w:ascii="黑体" w:hAnsi="黑体" w:eastAsia="黑体" w:cs="黑体"/>
                      <w:sz w:val="25"/>
                      <w:szCs w:val="25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10"/>
                      <w:sz w:val="25"/>
                      <w:szCs w:val="25"/>
                    </w:rPr>
                    <w:t>交流平台，构建全国新商界管理精英俱乐部，成为</w:t>
                  </w:r>
                  <w:r>
                    <w:rPr>
                      <w:rFonts w:ascii="宋体" w:hAnsi="宋体" w:eastAsia="宋体" w:cs="宋体"/>
                      <w:spacing w:val="9"/>
                      <w:sz w:val="25"/>
                      <w:szCs w:val="25"/>
                    </w:rPr>
                    <w:t>“企业</w:t>
                  </w:r>
                  <w:r>
                    <w:rPr>
                      <w:rFonts w:ascii="宋体" w:hAnsi="宋体" w:eastAsia="宋体" w:cs="宋体"/>
                      <w:sz w:val="25"/>
                      <w:szCs w:val="25"/>
                    </w:rPr>
                    <w:t xml:space="preserve">   </w:t>
                  </w:r>
                  <w:r>
                    <w:rPr>
                      <w:rFonts w:ascii="黑体" w:hAnsi="黑体" w:eastAsia="黑体" w:cs="黑体"/>
                      <w:spacing w:val="6"/>
                      <w:sz w:val="25"/>
                      <w:szCs w:val="25"/>
                    </w:rPr>
                    <w:t>成长战略合作伙伴”。</w:t>
                  </w:r>
                </w:p>
              </w:txbxContent>
            </v:textbox>
          </v:shape>
        </w:pict>
      </w:r>
      <w:r>
        <w:rPr>
          <w:position w:val="-112"/>
        </w:rPr>
        <w:pict>
          <v:group id="_x0000_s1033" o:spid="_x0000_s1033" o:spt="203" style="height:281.55pt;width:269pt;" coordsize="5380,5630">
            <o:lock v:ext="edit"/>
            <v:shape id="_x0000_s1034" o:spid="_x0000_s1034" o:spt="75" type="#_x0000_t75" style="position:absolute;left:0;top:0;height:5630;width:5071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5" o:spid="_x0000_s1035" o:spt="202" type="#_x0000_t202" style="position:absolute;left:-20;top:-20;height:5670;width:54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4" w:line="192" w:lineRule="auto"/>
                      <w:ind w:left="1990"/>
                      <w:rPr>
                        <w:rFonts w:ascii="Times New Roman" w:hAnsi="Times New Roman" w:eastAsia="Times New Roman" w:cs="Times New Roman"/>
                        <w:sz w:val="43"/>
                        <w:szCs w:val="4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9E841C"/>
                        <w:spacing w:val="-2"/>
                        <w:sz w:val="43"/>
                        <w:szCs w:val="43"/>
                      </w:rPr>
                      <w:t>l2010-2023</w:t>
                    </w:r>
                  </w:p>
                  <w:p>
                    <w:pPr>
                      <w:spacing w:before="55" w:line="221" w:lineRule="auto"/>
                      <w:ind w:left="2105"/>
                      <w:rPr>
                        <w:rFonts w:ascii="仿宋" w:hAnsi="仿宋" w:eastAsia="仿宋" w:cs="仿宋"/>
                        <w:sz w:val="36"/>
                        <w:szCs w:val="36"/>
                      </w:rPr>
                    </w:pPr>
                    <w:r>
                      <w:rPr>
                        <w:rFonts w:ascii="仿宋" w:hAnsi="仿宋" w:eastAsia="仿宋" w:cs="仿宋"/>
                        <w:b/>
                        <w:bCs/>
                        <w:color w:val="9D0000"/>
                        <w:spacing w:val="27"/>
                        <w:sz w:val="36"/>
                        <w:szCs w:val="36"/>
                      </w:rPr>
                      <w:t>同行再出发</w:t>
                    </w:r>
                  </w:p>
                  <w:p>
                    <w:pPr>
                      <w:spacing w:before="31" w:line="222" w:lineRule="auto"/>
                      <w:ind w:right="20"/>
                      <w:jc w:val="right"/>
                      <w:rPr>
                        <w:rFonts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ascii="仿宋" w:hAnsi="仿宋" w:eastAsia="仿宋" w:cs="仿宋"/>
                        <w:b/>
                        <w:bCs/>
                        <w:color w:val="9D0000"/>
                        <w:spacing w:val="6"/>
                        <w:sz w:val="32"/>
                        <w:szCs w:val="32"/>
                      </w:rPr>
                      <w:t>时代晋商新商界高研班</w:t>
                    </w:r>
                  </w:p>
                  <w:p>
                    <w:pPr>
                      <w:spacing w:before="35" w:line="231" w:lineRule="auto"/>
                      <w:ind w:left="2100" w:right="309"/>
                      <w:jc w:val="both"/>
                      <w:rPr>
                        <w:rFonts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ascii="仿宋" w:hAnsi="仿宋" w:eastAsia="仿宋" w:cs="仿宋"/>
                        <w:spacing w:val="-4"/>
                        <w:sz w:val="32"/>
                        <w:szCs w:val="32"/>
                      </w:rPr>
                      <w:t>十年耕耘，春华秋实!</w:t>
                    </w:r>
                    <w:r>
                      <w:rPr>
                        <w:rFonts w:ascii="仿宋" w:hAnsi="仿宋" w:eastAsia="仿宋" w:cs="仿宋"/>
                        <w:spacing w:val="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4"/>
                        <w:sz w:val="32"/>
                        <w:szCs w:val="32"/>
                      </w:rPr>
                      <w:t>十年教育，友情相伴!</w:t>
                    </w:r>
                    <w:r>
                      <w:rPr>
                        <w:rFonts w:ascii="仿宋" w:hAnsi="仿宋" w:eastAsia="仿宋" w:cs="仿宋"/>
                        <w:spacing w:val="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4"/>
                        <w:sz w:val="32"/>
                        <w:szCs w:val="32"/>
                      </w:rPr>
                      <w:t>十年风雨，初心不改!</w:t>
                    </w:r>
                    <w:r>
                      <w:rPr>
                        <w:rFonts w:ascii="仿宋" w:hAnsi="仿宋" w:eastAsia="仿宋" w:cs="仿宋"/>
                        <w:spacing w:val="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4"/>
                        <w:sz w:val="32"/>
                        <w:szCs w:val="32"/>
                      </w:rPr>
                      <w:t>十年兼程，启迪未来!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38" w:line="414" w:lineRule="auto"/>
        <w:ind w:left="1129" w:right="1970" w:hanging="9"/>
        <w:rPr>
          <w:rFonts w:ascii="黑体" w:hAnsi="黑体" w:eastAsia="黑体" w:cs="黑体"/>
          <w:sz w:val="25"/>
          <w:szCs w:val="25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-6755765</wp:posOffset>
            </wp:positionV>
            <wp:extent cx="9753600" cy="132334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8"/>
          <w:sz w:val="25"/>
          <w:szCs w:val="25"/>
        </w:rPr>
        <w:t>时代晋商项目已开设30余期，累计培养学员近3000名，其中</w:t>
      </w:r>
      <w:r>
        <w:rPr>
          <w:rFonts w:ascii="黑体" w:hAnsi="黑体" w:eastAsia="黑体" w:cs="黑体"/>
          <w:spacing w:val="7"/>
          <w:sz w:val="25"/>
          <w:szCs w:val="25"/>
        </w:rPr>
        <w:t>90%为企业董事长、总经理、部门总监等高层管理</w:t>
      </w:r>
      <w:r>
        <w:rPr>
          <w:rFonts w:ascii="黑体" w:hAnsi="黑体" w:eastAsia="黑体" w:cs="黑体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12"/>
          <w:sz w:val="25"/>
          <w:szCs w:val="25"/>
        </w:rPr>
        <w:t>者。学员涉及生产制造、科技创新、建筑地产、商贸物流、金</w:t>
      </w:r>
      <w:r>
        <w:rPr>
          <w:rFonts w:ascii="黑体" w:hAnsi="黑体" w:eastAsia="黑体" w:cs="黑体"/>
          <w:spacing w:val="11"/>
          <w:sz w:val="25"/>
          <w:szCs w:val="25"/>
        </w:rPr>
        <w:t>融服务等众多行业。</w:t>
      </w:r>
    </w:p>
    <w:p>
      <w:pPr>
        <w:spacing w:before="289" w:line="409" w:lineRule="auto"/>
        <w:ind w:left="1200" w:right="1814"/>
        <w:jc w:val="both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0"/>
          <w:sz w:val="25"/>
          <w:szCs w:val="25"/>
        </w:rPr>
        <w:t>作为一种高层次的工商管理教育项目，其宗旨就是培养具有</w:t>
      </w:r>
      <w:r>
        <w:rPr>
          <w:rFonts w:ascii="黑体" w:hAnsi="黑体" w:eastAsia="黑体" w:cs="黑体"/>
          <w:spacing w:val="9"/>
          <w:sz w:val="25"/>
          <w:szCs w:val="25"/>
        </w:rPr>
        <w:t>丰富管理经验、良好商业道德、卓越创新精神和</w:t>
      </w:r>
      <w:r>
        <w:rPr>
          <w:rFonts w:ascii="黑体" w:hAnsi="黑体" w:eastAsia="黑体" w:cs="黑体"/>
          <w:sz w:val="25"/>
          <w:szCs w:val="25"/>
        </w:rPr>
        <w:t xml:space="preserve">  </w:t>
      </w:r>
      <w:r>
        <w:rPr>
          <w:rFonts w:ascii="黑体" w:hAnsi="黑体" w:eastAsia="黑体" w:cs="黑体"/>
          <w:spacing w:val="13"/>
          <w:sz w:val="25"/>
          <w:szCs w:val="25"/>
        </w:rPr>
        <w:t>总揽全局的决策能力并适应未来竞争需要的商界精英。课程涵盖了企</w:t>
      </w:r>
      <w:r>
        <w:rPr>
          <w:rFonts w:ascii="黑体" w:hAnsi="黑体" w:eastAsia="黑体" w:cs="黑体"/>
          <w:spacing w:val="12"/>
          <w:sz w:val="25"/>
          <w:szCs w:val="25"/>
        </w:rPr>
        <w:t>业高层管理者所必备的五大核心能力：</w:t>
      </w:r>
      <w:r>
        <w:rPr>
          <w:rFonts w:ascii="黑体" w:hAnsi="黑体" w:eastAsia="黑体" w:cs="黑体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12"/>
          <w:sz w:val="25"/>
          <w:szCs w:val="25"/>
        </w:rPr>
        <w:t>杰出的战略管理能力、强大的运营控制能力、出色的营销开拓能力、</w:t>
      </w:r>
      <w:r>
        <w:rPr>
          <w:rFonts w:ascii="黑体" w:hAnsi="黑体" w:eastAsia="黑体" w:cs="黑体"/>
          <w:spacing w:val="11"/>
          <w:sz w:val="25"/>
          <w:szCs w:val="25"/>
        </w:rPr>
        <w:t>卓越的财税管理能力、优化的人力资源</w:t>
      </w:r>
      <w:r>
        <w:rPr>
          <w:rFonts w:ascii="黑体" w:hAnsi="黑体" w:eastAsia="黑体" w:cs="黑体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12"/>
          <w:sz w:val="25"/>
          <w:szCs w:val="25"/>
        </w:rPr>
        <w:t>配置能力。</w:t>
      </w:r>
    </w:p>
    <w:p>
      <w:pPr>
        <w:pStyle w:val="2"/>
        <w:spacing w:line="402" w:lineRule="auto"/>
      </w:pPr>
    </w:p>
    <w:p>
      <w:pPr>
        <w:pStyle w:val="2"/>
        <w:spacing w:line="3890" w:lineRule="exact"/>
        <w:ind w:firstLine="1089"/>
      </w:pPr>
      <w:r>
        <w:rPr>
          <w:position w:val="-77"/>
        </w:rPr>
        <w:pict>
          <v:shape id="_x0000_s1036" o:spid="_x0000_s1036" o:spt="202" type="#_x0000_t202" style="height:194.5pt;width:652.55pt;" fillcolor="#901C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17" w:line="321" w:lineRule="auto"/>
                    <w:ind w:left="4125" w:right="4079"/>
                    <w:jc w:val="both"/>
                    <w:rPr>
                      <w:rFonts w:ascii="黑体" w:hAnsi="黑体" w:eastAsia="黑体" w:cs="黑体"/>
                      <w:sz w:val="36"/>
                      <w:szCs w:val="36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8"/>
                      <w:sz w:val="36"/>
                      <w:szCs w:val="36"/>
                    </w:rPr>
                    <w:t>一个深度汲取管理新知的平台</w:t>
                  </w:r>
                  <w:r>
                    <w:rPr>
                      <w:rFonts w:ascii="黑体" w:hAnsi="黑体" w:eastAsia="黑体" w:cs="黑体"/>
                      <w:color w:val="FFFFFF"/>
                      <w:spacing w:val="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6"/>
                      <w:sz w:val="36"/>
                      <w:szCs w:val="36"/>
                    </w:rPr>
                    <w:t>一个终身学习自我提升的平台</w:t>
                  </w:r>
                  <w:r>
                    <w:rPr>
                      <w:rFonts w:ascii="黑体" w:hAnsi="黑体" w:eastAsia="黑体" w:cs="黑体"/>
                      <w:color w:val="FFFFFF"/>
                      <w:spacing w:val="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8"/>
                      <w:sz w:val="36"/>
                      <w:szCs w:val="36"/>
                    </w:rPr>
                    <w:t>一个快速融入优秀圈层的平台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890" w:lineRule="exact"/>
        <w:sectPr>
          <w:headerReference r:id="rId6" w:type="default"/>
          <w:pgSz w:w="15360" w:h="20840"/>
          <w:pgMar w:top="400" w:right="0" w:bottom="0" w:left="0" w:header="0" w:footer="0" w:gutter="0"/>
          <w:cols w:space="720" w:num="1"/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pacing w:before="18"/>
      </w:pPr>
    </w:p>
    <w:p>
      <w:pPr>
        <w:sectPr>
          <w:pgSz w:w="15360" w:h="20840"/>
          <w:pgMar w:top="400" w:right="0" w:bottom="0" w:left="0" w:header="0" w:footer="0" w:gutter="0"/>
          <w:cols w:equalWidth="0" w:num="1">
            <w:col w:w="15360"/>
          </w:cols>
        </w:sectPr>
      </w:pPr>
    </w:p>
    <w:p>
      <w:pPr>
        <w:spacing w:line="4959" w:lineRule="exact"/>
        <w:ind w:firstLine="1690"/>
      </w:pP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column">
                  <wp:posOffset>7949565</wp:posOffset>
                </wp:positionH>
                <wp:positionV relativeFrom="paragraph">
                  <wp:posOffset>12700</wp:posOffset>
                </wp:positionV>
                <wp:extent cx="1791335" cy="6636385"/>
                <wp:effectExtent l="0" t="0" r="0" b="0"/>
                <wp:wrapNone/>
                <wp:docPr id="6" name="R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50159" y="12703"/>
                          <a:ext cx="1791335" cy="6636384"/>
                        </a:xfrm>
                        <a:prstGeom prst="rect">
                          <a:avLst/>
                        </a:prstGeom>
                        <a:solidFill>
                          <a:srgbClr val="901E2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" o:spid="_x0000_s1026" o:spt="1" style="position:absolute;left:0pt;margin-left:625.95pt;margin-top:1pt;height:522.55pt;width:141.05pt;z-index:-251652096;mso-width-relative:page;mso-height-relative:page;" fillcolor="#901E2A" filled="t" stroked="f" coordsize="21600,21600" o:gfxdata="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PB9GNgAAAAMAQAADwAAAAAAAAABACAAAAAiAAAAZHJzL2Rvd25yZXYu&#10;eG1sUEsBAhQAFAAAAAgAh07iQFWK6bQ0AgAAbQQAAA4AAAAAAAAAAQAgAAAAJw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37" o:spid="_x0000_s1037" o:spt="202" type="#_x0000_t202" style="position:absolute;left:0pt;margin-left:672.55pt;margin-top:42.55pt;height:418.75pt;width:32.1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90" w:lineRule="auto"/>
                    <w:ind w:left="20"/>
                    <w:rPr>
                      <w:rFonts w:ascii="宋体" w:hAnsi="宋体" w:eastAsia="宋体" w:cs="宋体"/>
                      <w:sz w:val="52"/>
                      <w:szCs w:val="52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6"/>
                      <w:sz w:val="52"/>
                      <w:szCs w:val="52"/>
                    </w:rPr>
                    <w:t>项 目</w:t>
                  </w:r>
                  <w:r>
                    <w:rPr>
                      <w:rFonts w:ascii="宋体" w:hAnsi="宋体" w:eastAsia="宋体" w:cs="宋体"/>
                      <w:color w:val="FFFFFF"/>
                      <w:spacing w:val="46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6"/>
                      <w:sz w:val="52"/>
                      <w:szCs w:val="52"/>
                    </w:rPr>
                    <w:t>优</w:t>
                  </w:r>
                  <w:r>
                    <w:rPr>
                      <w:rFonts w:ascii="宋体" w:hAnsi="宋体" w:eastAsia="宋体" w:cs="宋体"/>
                      <w:color w:val="FFFFFF"/>
                      <w:spacing w:val="46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6"/>
                      <w:sz w:val="52"/>
                      <w:szCs w:val="52"/>
                    </w:rPr>
                    <w:t>势</w:t>
                  </w:r>
                  <w:r>
                    <w:rPr>
                      <w:rFonts w:ascii="宋体" w:hAnsi="宋体" w:eastAsia="宋体" w:cs="宋体"/>
                      <w:color w:val="FFFFFF"/>
                      <w:spacing w:val="40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position w:val="-5"/>
                      <w:sz w:val="52"/>
                      <w:szCs w:val="52"/>
                    </w:rPr>
                    <w:t>PROJECT</w:t>
                  </w:r>
                  <w:r>
                    <w:rPr>
                      <w:rFonts w:ascii="宋体" w:hAnsi="宋体" w:eastAsia="宋体" w:cs="宋体"/>
                      <w:color w:val="FFFFFF"/>
                      <w:spacing w:val="37"/>
                      <w:position w:val="-5"/>
                      <w:sz w:val="52"/>
                      <w:szCs w:val="52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color w:val="FFFFFF"/>
                      <w:position w:val="-2"/>
                      <w:sz w:val="52"/>
                      <w:szCs w:val="52"/>
                    </w:rPr>
                    <w:t>ADVANTAGE</w:t>
                  </w:r>
                </w:p>
              </w:txbxContent>
            </v:textbox>
          </v:shape>
        </w:pict>
      </w:r>
      <w:r>
        <w:rPr>
          <w:position w:val="-99"/>
        </w:rPr>
        <w:drawing>
          <wp:inline distT="0" distB="0" distL="0" distR="0">
            <wp:extent cx="6908165" cy="31489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8768" cy="314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6" w:lineRule="auto"/>
      </w:pPr>
    </w:p>
    <w:p>
      <w:pPr>
        <w:pStyle w:val="2"/>
        <w:spacing w:line="316" w:lineRule="auto"/>
      </w:pPr>
    </w:p>
    <w:p>
      <w:pPr>
        <w:spacing w:before="104"/>
        <w:ind w:left="1710"/>
        <w:rPr>
          <w:rFonts w:ascii="黑体" w:hAnsi="黑体" w:eastAsia="黑体" w:cs="黑体"/>
          <w:sz w:val="32"/>
          <w:szCs w:val="32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-4467225</wp:posOffset>
            </wp:positionV>
            <wp:extent cx="9753600" cy="132334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631F1F"/>
          <w:position w:val="-19"/>
          <w:sz w:val="32"/>
          <w:szCs w:val="32"/>
        </w:rPr>
        <w:drawing>
          <wp:inline distT="0" distB="0" distL="0" distR="0">
            <wp:extent cx="355600" cy="3803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616" cy="3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color w:val="631F1F"/>
          <w:spacing w:val="65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color w:val="631F1F"/>
          <w:spacing w:val="-3"/>
          <w:sz w:val="32"/>
          <w:szCs w:val="32"/>
        </w:rPr>
        <w:t>一流商学教育</w:t>
      </w:r>
    </w:p>
    <w:p>
      <w:pPr>
        <w:pStyle w:val="2"/>
        <w:spacing w:line="313" w:lineRule="auto"/>
      </w:pPr>
    </w:p>
    <w:p>
      <w:pPr>
        <w:spacing w:before="84" w:line="456" w:lineRule="auto"/>
        <w:ind w:left="1769" w:right="1039"/>
        <w:rPr>
          <w:rFonts w:ascii="黑体" w:hAnsi="黑体" w:eastAsia="黑体" w:cs="黑体"/>
          <w:sz w:val="26"/>
          <w:szCs w:val="26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981710</wp:posOffset>
            </wp:positionV>
            <wp:extent cx="342900" cy="3746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9" cy="37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9"/>
          <w:sz w:val="26"/>
          <w:szCs w:val="26"/>
        </w:rPr>
        <w:t>核心课程+案例分析+互动讨论+课后分享+学术论坛+沙龙活动+体验式移动课堂+标杆企业参</w:t>
      </w:r>
      <w:r>
        <w:rPr>
          <w:rFonts w:ascii="黑体" w:hAnsi="黑体" w:eastAsia="黑体" w:cs="黑体"/>
          <w:spacing w:val="2"/>
          <w:sz w:val="26"/>
          <w:szCs w:val="26"/>
        </w:rPr>
        <w:t xml:space="preserve"> </w:t>
      </w:r>
      <w:r>
        <w:rPr>
          <w:rFonts w:ascii="黑体" w:hAnsi="黑体" w:eastAsia="黑体" w:cs="黑体"/>
          <w:spacing w:val="1"/>
          <w:sz w:val="26"/>
          <w:szCs w:val="26"/>
        </w:rPr>
        <w:t>访，创新服务价值体验；</w:t>
      </w:r>
    </w:p>
    <w:p>
      <w:pPr>
        <w:spacing w:before="291" w:line="221" w:lineRule="auto"/>
        <w:ind w:left="249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color w:val="871F26"/>
          <w:spacing w:val="-4"/>
          <w:sz w:val="32"/>
          <w:szCs w:val="32"/>
        </w:rPr>
        <w:t>高端管理智库</w:t>
      </w:r>
    </w:p>
    <w:p>
      <w:pPr>
        <w:pStyle w:val="2"/>
        <w:spacing w:line="391" w:lineRule="auto"/>
      </w:pPr>
    </w:p>
    <w:p>
      <w:pPr>
        <w:spacing w:before="85" w:line="328" w:lineRule="auto"/>
        <w:ind w:left="1769" w:right="920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spacing w:val="16"/>
          <w:sz w:val="26"/>
          <w:szCs w:val="26"/>
        </w:rPr>
        <w:t>著名教授、行业和政策专家及千余名企业家同学成为企业的外脑，为企业提供智力支持，</w:t>
      </w:r>
      <w:r>
        <w:rPr>
          <w:rFonts w:ascii="黑体" w:hAnsi="黑体" w:eastAsia="黑体" w:cs="黑体"/>
          <w:spacing w:val="14"/>
          <w:sz w:val="26"/>
          <w:szCs w:val="26"/>
        </w:rPr>
        <w:t xml:space="preserve"> </w:t>
      </w:r>
      <w:r>
        <w:rPr>
          <w:rFonts w:ascii="黑体" w:hAnsi="黑体" w:eastAsia="黑体" w:cs="黑体"/>
          <w:spacing w:val="1"/>
          <w:sz w:val="26"/>
          <w:szCs w:val="26"/>
        </w:rPr>
        <w:t>助力企业高质量发展；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" w:lineRule="auto"/>
        <w:rPr>
          <w:sz w:val="2"/>
          <w:szCs w:val="2"/>
        </w:rPr>
        <w:sectPr>
          <w:type w:val="continuous"/>
          <w:pgSz w:w="15360" w:h="20840"/>
          <w:pgMar w:top="400" w:right="0" w:bottom="0" w:left="0" w:header="0" w:footer="0" w:gutter="0"/>
          <w:cols w:equalWidth="0" w:num="2">
            <w:col w:w="13470" w:space="100"/>
            <w:col w:w="1791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spacing w:before="105"/>
        <w:ind w:left="171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color w:val="7B141B"/>
          <w:position w:val="-19"/>
          <w:sz w:val="32"/>
          <w:szCs w:val="32"/>
        </w:rPr>
        <w:drawing>
          <wp:inline distT="0" distB="0" distL="0" distR="0">
            <wp:extent cx="349250" cy="3803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276" cy="3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color w:val="7B141B"/>
          <w:spacing w:val="75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color w:val="7B141B"/>
          <w:spacing w:val="-5"/>
          <w:sz w:val="32"/>
          <w:szCs w:val="32"/>
        </w:rPr>
        <w:t>创新价值服务</w:t>
      </w:r>
    </w:p>
    <w:p>
      <w:pPr>
        <w:pStyle w:val="2"/>
        <w:spacing w:line="314" w:lineRule="auto"/>
      </w:pPr>
    </w:p>
    <w:p>
      <w:pPr>
        <w:spacing w:before="85" w:line="395" w:lineRule="auto"/>
        <w:ind w:left="1769" w:right="7510"/>
        <w:jc w:val="both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spacing w:val="7"/>
          <w:sz w:val="26"/>
          <w:szCs w:val="26"/>
        </w:rPr>
        <w:t>汇聚专家智库、优秀企业家、行业组织及专</w:t>
      </w:r>
      <w:r>
        <w:rPr>
          <w:rFonts w:ascii="黑体" w:hAnsi="黑体" w:eastAsia="黑体" w:cs="黑体"/>
          <w:spacing w:val="6"/>
          <w:sz w:val="26"/>
          <w:szCs w:val="26"/>
        </w:rPr>
        <w:t>业化的</w:t>
      </w:r>
      <w:r>
        <w:rPr>
          <w:rFonts w:ascii="黑体" w:hAnsi="黑体" w:eastAsia="黑体" w:cs="黑体"/>
          <w:sz w:val="26"/>
          <w:szCs w:val="26"/>
        </w:rPr>
        <w:t xml:space="preserve">  </w:t>
      </w:r>
      <w:r>
        <w:rPr>
          <w:rFonts w:ascii="黑体" w:hAnsi="黑体" w:eastAsia="黑体" w:cs="黑体"/>
          <w:spacing w:val="4"/>
          <w:sz w:val="26"/>
          <w:szCs w:val="26"/>
        </w:rPr>
        <w:t>价值服务机构，为学员企业发展提供有创新、前瞻、</w:t>
      </w:r>
      <w:r>
        <w:rPr>
          <w:rFonts w:ascii="黑体" w:hAnsi="黑体" w:eastAsia="黑体" w:cs="黑体"/>
          <w:spacing w:val="7"/>
          <w:sz w:val="26"/>
          <w:szCs w:val="26"/>
        </w:rPr>
        <w:t xml:space="preserve"> </w:t>
      </w:r>
      <w:r>
        <w:rPr>
          <w:rFonts w:ascii="黑体" w:hAnsi="黑体" w:eastAsia="黑体" w:cs="黑体"/>
          <w:spacing w:val="5"/>
          <w:sz w:val="26"/>
          <w:szCs w:val="26"/>
        </w:rPr>
        <w:t>持续的服务；</w:t>
      </w:r>
    </w:p>
    <w:p>
      <w:pPr>
        <w:spacing w:line="190" w:lineRule="exact"/>
        <w:ind w:firstLine="8009"/>
      </w:pPr>
      <w:r>
        <w:rPr>
          <w:position w:val="-3"/>
        </w:rPr>
        <w:drawing>
          <wp:inline distT="0" distB="0" distL="0" distR="0">
            <wp:extent cx="158750" cy="12065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788" cy="12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120" w:lineRule="exact"/>
        <w:ind w:firstLine="7920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240665</wp:posOffset>
            </wp:positionV>
            <wp:extent cx="349250" cy="3746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276" cy="37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304800" cy="762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178" w:lineRule="auto"/>
        <w:ind w:left="2494"/>
        <w:rPr>
          <w:rFonts w:ascii="黑体" w:hAnsi="黑体" w:eastAsia="黑体" w:cs="黑体"/>
          <w:sz w:val="32"/>
          <w:szCs w:val="32"/>
        </w:rPr>
      </w:pPr>
      <w:r>
        <w:pict>
          <v:shape id="_x0000_s1038" o:spid="_x0000_s1038" o:spt="202" type="#_x0000_t202" style="position:absolute;left:0pt;margin-left:688pt;margin-top:10.8pt;height:11.35pt;width:9.7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1"/>
                      <w:szCs w:val="21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388pt;margin-top:11.45pt;height:34.05pt;width:55.0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1" w:lineRule="auto"/>
                    <w:ind w:left="20" w:right="20" w:firstLine="109"/>
                    <w:rPr>
                      <w:rFonts w:ascii="Times New Roman" w:hAnsi="Times New Roman" w:eastAsia="Times New Roman" w:cs="Times New Roman"/>
                      <w:sz w:val="30"/>
                      <w:szCs w:val="30"/>
                    </w:rPr>
                  </w:pPr>
                  <w:r>
                    <w:rPr>
                      <w:rFonts w:ascii="黑体" w:hAnsi="黑体" w:eastAsia="黑体" w:cs="黑体"/>
                      <w:spacing w:val="-23"/>
                      <w:sz w:val="26"/>
                      <w:szCs w:val="26"/>
                    </w:rPr>
                    <w:t>都尔女斯</w:t>
                  </w:r>
                  <w:r>
                    <w:rPr>
                      <w:rFonts w:ascii="黑体" w:hAnsi="黑体" w:eastAsia="黑体" w:cs="黑体"/>
                      <w:spacing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sz w:val="30"/>
                      <w:szCs w:val="30"/>
                    </w:rPr>
                    <w:t>△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30"/>
                      <w:szCs w:val="30"/>
                    </w:rPr>
                    <w:t>ams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7A171E"/>
          <w:spacing w:val="-5"/>
          <w:sz w:val="32"/>
          <w:szCs w:val="32"/>
        </w:rPr>
        <w:t>持续发展平台</w:t>
      </w:r>
    </w:p>
    <w:p>
      <w:pPr>
        <w:spacing w:line="178" w:lineRule="auto"/>
        <w:ind w:left="13500"/>
        <w:rPr>
          <w:rFonts w:ascii="宋体" w:hAnsi="宋体" w:eastAsia="宋体" w:cs="宋体"/>
          <w:sz w:val="26"/>
          <w:szCs w:val="26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-2383790</wp:posOffset>
            </wp:positionV>
            <wp:extent cx="4241800" cy="27686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1743" cy="276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6"/>
          <w:szCs w:val="26"/>
        </w:rPr>
        <w:t>③</w:t>
      </w:r>
    </w:p>
    <w:p>
      <w:pPr>
        <w:spacing w:line="212" w:lineRule="auto"/>
        <w:ind w:left="8540"/>
        <w:rPr>
          <w:rFonts w:ascii="宋体" w:hAnsi="宋体" w:eastAsia="宋体" w:cs="宋体"/>
          <w:sz w:val="21"/>
          <w:szCs w:val="21"/>
        </w:rPr>
      </w:pPr>
      <w:r>
        <w:pict>
          <v:shape id="_x0000_s1040" o:spid="_x0000_s1040" o:spt="202" type="#_x0000_t202" style="position:absolute;left:0pt;margin-left:388.95pt;margin-top:-0.95pt;height:15.6pt;width:5.2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9" w:lineRule="auto"/>
                    <w:jc w:val="righ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color w:val="B34F59"/>
                      <w:spacing w:val="-41"/>
                      <w:sz w:val="21"/>
                      <w:szCs w:val="21"/>
                    </w:rPr>
                    <w:t>!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484.5pt;margin-top:-0.95pt;height:14.65pt;width:11.1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jc w:val="righ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28"/>
                      <w:sz w:val="21"/>
                      <w:szCs w:val="21"/>
                    </w:rPr>
                    <w:t>四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41275</wp:posOffset>
            </wp:positionV>
            <wp:extent cx="412750" cy="889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674" cy="8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dp</w:t>
      </w:r>
      <w:r>
        <w:rPr>
          <w:rFonts w:ascii="宋体" w:hAnsi="宋体" w:eastAsia="宋体" w:cs="宋体"/>
          <w:spacing w:val="-3"/>
          <w:sz w:val="21"/>
          <w:szCs w:val="21"/>
        </w:rPr>
        <w:t>山</w:t>
      </w:r>
    </w:p>
    <w:p>
      <w:pPr>
        <w:spacing w:before="141" w:line="213" w:lineRule="auto"/>
        <w:ind w:left="1769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spacing w:val="3"/>
          <w:sz w:val="26"/>
          <w:szCs w:val="26"/>
        </w:rPr>
        <w:t>倡导永不结业的教育理念，搭建新商界“一体两</w:t>
      </w:r>
    </w:p>
    <w:p>
      <w:pPr>
        <w:pStyle w:val="2"/>
        <w:spacing w:line="274" w:lineRule="auto"/>
      </w:pPr>
    </w:p>
    <w:p>
      <w:pPr>
        <w:spacing w:before="85" w:line="187" w:lineRule="auto"/>
        <w:ind w:left="1769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spacing w:val="4"/>
          <w:sz w:val="26"/>
          <w:szCs w:val="26"/>
        </w:rPr>
        <w:t>翼”高质量发展全国性平台，助力山西中小企业成长为价值型企</w:t>
      </w:r>
      <w:r>
        <w:rPr>
          <w:rFonts w:ascii="黑体" w:hAnsi="黑体" w:eastAsia="黑体" w:cs="黑体"/>
          <w:spacing w:val="3"/>
          <w:sz w:val="26"/>
          <w:szCs w:val="26"/>
        </w:rPr>
        <w:t>业。</w:t>
      </w:r>
    </w:p>
    <w:p>
      <w:pPr>
        <w:spacing w:line="187" w:lineRule="auto"/>
        <w:rPr>
          <w:rFonts w:ascii="黑体" w:hAnsi="黑体" w:eastAsia="黑体" w:cs="黑体"/>
          <w:sz w:val="26"/>
          <w:szCs w:val="26"/>
        </w:rPr>
        <w:sectPr>
          <w:type w:val="continuous"/>
          <w:pgSz w:w="15360" w:h="20840"/>
          <w:pgMar w:top="400" w:right="0" w:bottom="0" w:left="0" w:header="0" w:footer="0" w:gutter="0"/>
          <w:cols w:equalWidth="0" w:num="1">
            <w:col w:w="15360"/>
          </w:cols>
        </w:sectPr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line="2780" w:lineRule="exact"/>
        <w:ind w:firstLine="109"/>
      </w:pPr>
      <w:r>
        <w:rPr>
          <w:position w:val="-55"/>
        </w:rPr>
        <w:pict>
          <v:shape id="_x0000_s1042" o:spid="_x0000_s1042" o:spt="202" type="#_x0000_t202" style="height:139pt;width:754.5pt;" fillcolor="#901D2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9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9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70" w:line="220" w:lineRule="auto"/>
                    <w:ind w:left="10111"/>
                    <w:rPr>
                      <w:rFonts w:ascii="宋体" w:hAnsi="宋体" w:eastAsia="宋体" w:cs="宋体"/>
                      <w:sz w:val="83"/>
                      <w:szCs w:val="83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6"/>
                      <w:sz w:val="83"/>
                      <w:szCs w:val="83"/>
                    </w:rPr>
                    <w:t>课程体系</w:t>
                  </w:r>
                </w:p>
                <w:p>
                  <w:pPr>
                    <w:spacing w:before="80" w:line="188" w:lineRule="auto"/>
                    <w:ind w:left="8780"/>
                    <w:rPr>
                      <w:rFonts w:ascii="Times New Roman" w:hAnsi="Times New Roman" w:eastAsia="Times New Roman" w:cs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6"/>
                      <w:sz w:val="55"/>
                      <w:szCs w:val="55"/>
                    </w:rPr>
                    <w:t>COURSE SYSTEM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7"/>
      </w:pPr>
    </w:p>
    <w:p>
      <w:pPr>
        <w:spacing w:before="37"/>
      </w:pPr>
    </w:p>
    <w:p>
      <w:pPr>
        <w:spacing w:before="36"/>
      </w:pPr>
    </w:p>
    <w:tbl>
      <w:tblPr>
        <w:tblStyle w:val="5"/>
        <w:tblW w:w="12099" w:type="dxa"/>
        <w:tblInd w:w="16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145" w:line="219" w:lineRule="auto"/>
              <w:ind w:left="3450"/>
              <w:rPr>
                <w:sz w:val="40"/>
                <w:szCs w:val="40"/>
              </w:rPr>
            </w:pPr>
            <w:r>
              <w:rPr>
                <w:b/>
                <w:bCs/>
                <w:color w:val="auto"/>
                <w:sz w:val="40"/>
                <w:szCs w:val="40"/>
              </w:rPr>
              <w:t>管理经典-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</w:rPr>
              <w:t>管理经典-基础必修课程(4门)</w:t>
            </w:r>
            <w:r>
              <w:rPr>
                <w:b/>
                <w:bCs/>
                <w:color w:val="FFFFFF"/>
                <w:sz w:val="40"/>
                <w:szCs w:val="40"/>
              </w:rPr>
              <w:t>基础)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62" w:line="219" w:lineRule="auto"/>
              <w:ind w:left="5230"/>
            </w:pPr>
            <w:r>
              <w:rPr>
                <w:spacing w:val="-1"/>
              </w:rPr>
              <w:t>《战略管理》</w:t>
            </w:r>
          </w:p>
          <w:p>
            <w:pPr>
              <w:pStyle w:val="6"/>
              <w:spacing w:before="217" w:line="218" w:lineRule="auto"/>
              <w:ind w:left="984"/>
            </w:pPr>
            <w:r>
              <w:t>战略管理的形成与盈利模式；企业战略规划的制定、实施及评价；战略思维与企业经营谋略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43" w:line="219" w:lineRule="auto"/>
              <w:ind w:left="4959"/>
            </w:pPr>
            <w:r>
              <w:rPr>
                <w:spacing w:val="-1"/>
              </w:rPr>
              <w:t>《市场营销管理》</w:t>
            </w:r>
          </w:p>
          <w:p>
            <w:pPr>
              <w:pStyle w:val="6"/>
              <w:spacing w:before="217" w:line="219" w:lineRule="auto"/>
              <w:ind w:left="1064"/>
            </w:pPr>
            <w:r>
              <w:t>如何进行市场定位(STP);品牌创建与传播；高绩效营销团队建设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314" w:line="219" w:lineRule="auto"/>
              <w:ind w:left="4689"/>
            </w:pPr>
            <w:r>
              <w:t>《战略人力资源管理》</w:t>
            </w:r>
          </w:p>
          <w:p>
            <w:pPr>
              <w:pStyle w:val="6"/>
              <w:spacing w:before="177" w:line="219" w:lineRule="auto"/>
              <w:ind w:left="984"/>
            </w:pPr>
            <w:r>
              <w:t>战略性人力资源规划；企业识人、用人和留人之道；人才招聘与选拔、绩效管理与薪酬激励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42" w:line="218" w:lineRule="auto"/>
              <w:ind w:left="4289"/>
            </w:pPr>
            <w:r>
              <w:rPr>
                <w:spacing w:val="-1"/>
              </w:rPr>
              <w:t>《公司财务管理与价值创造》</w:t>
            </w:r>
          </w:p>
          <w:p>
            <w:pPr>
              <w:pStyle w:val="6"/>
              <w:spacing w:before="173" w:line="219" w:lineRule="auto"/>
              <w:ind w:left="1045"/>
            </w:pPr>
            <w:r>
              <w:rPr>
                <w:spacing w:val="1"/>
              </w:rPr>
              <w:t>报表解读涉及的管理问题；最新税收法规政策解读</w:t>
            </w:r>
            <w:r>
              <w:t>；纳税筹划与财务风险的有效控制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12" w:line="219" w:lineRule="auto"/>
            </w:pPr>
            <w:r>
              <w:rPr>
                <w:rFonts w:hint="eastAsia"/>
                <w:b/>
                <w:bCs/>
                <w:color w:val="FFFFFF"/>
                <w:spacing w:val="-20"/>
              </w:rPr>
              <w:t>管理创新-核心必修课程(5门)</w:t>
            </w:r>
            <w:r>
              <w:rPr>
                <w:b/>
                <w:bCs/>
                <w:color w:val="FFFFFF"/>
                <w:spacing w:val="-20"/>
              </w:rPr>
              <w:t>)</w:t>
            </w:r>
            <w:r>
              <w:rPr>
                <w:rFonts w:hint="eastAsia"/>
                <w:b/>
                <w:bCs/>
                <w:color w:val="auto"/>
                <w:sz w:val="40"/>
                <w:szCs w:val="40"/>
              </w:rPr>
              <w:t>管理创新-核心必修课程(5门)</w:t>
            </w:r>
            <w:r>
              <w:rPr>
                <w:rFonts w:hint="eastAsia"/>
                <w:b/>
                <w:bCs/>
                <w:color w:val="FFFFFF"/>
                <w:spacing w:val="-20"/>
              </w:rPr>
              <w:t>(5门)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96" w:line="219" w:lineRule="auto"/>
              <w:ind w:left="4689"/>
            </w:pPr>
            <w:r>
              <w:t>《管理学与思维创新》</w:t>
            </w:r>
          </w:p>
          <w:p>
            <w:pPr>
              <w:pStyle w:val="6"/>
              <w:spacing w:before="189" w:line="219" w:lineRule="auto"/>
              <w:ind w:left="1045"/>
            </w:pPr>
            <w:r>
              <w:rPr>
                <w:spacing w:val="1"/>
              </w:rPr>
              <w:t>管理的理念与创新；管理控制过程与要素、类型与方法；管理新思维在</w:t>
            </w:r>
            <w:r>
              <w:t>企业中的应用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317" w:line="219" w:lineRule="auto"/>
              <w:ind w:left="4560"/>
            </w:pPr>
            <w:r>
              <w:t>《商业模式变革与创新》</w:t>
            </w:r>
          </w:p>
          <w:p>
            <w:pPr>
              <w:pStyle w:val="6"/>
              <w:spacing w:before="189" w:line="219" w:lineRule="auto"/>
              <w:ind w:left="945"/>
            </w:pPr>
            <w:r>
              <w:t>商业模式与企业制度设计；商业模式重构方法与路径；盈利模式的创新设计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98" w:line="219" w:lineRule="auto"/>
              <w:ind w:left="4289"/>
            </w:pPr>
            <w:r>
              <w:rPr>
                <w:spacing w:val="-1"/>
              </w:rPr>
              <w:t>《公司治理与法律风险防范》</w:t>
            </w:r>
          </w:p>
          <w:p>
            <w:pPr>
              <w:pStyle w:val="6"/>
              <w:spacing w:before="198" w:line="219" w:lineRule="auto"/>
              <w:ind w:left="915"/>
            </w:pPr>
            <w:r>
              <w:rPr>
                <w:spacing w:val="1"/>
              </w:rPr>
              <w:t>法律风险防范体制建设；财富的传承规划以及风险</w:t>
            </w:r>
            <w:r>
              <w:t>管理；强化管理健全防范风险的机制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99" w:line="219" w:lineRule="auto"/>
              <w:ind w:left="4560"/>
            </w:pPr>
            <w:r>
              <w:t>《组织变革与企业文化》</w:t>
            </w:r>
          </w:p>
          <w:p>
            <w:pPr>
              <w:pStyle w:val="6"/>
              <w:spacing w:before="127" w:line="218" w:lineRule="auto"/>
              <w:ind w:left="774"/>
            </w:pPr>
            <w:r>
              <w:t>组织管理的底层逻辑；组织价值观与终身成长能力差异与组织运用；组织存续与组织变革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2099" w:type="dxa"/>
            <w:vAlign w:val="top"/>
          </w:tcPr>
          <w:p>
            <w:pPr>
              <w:pStyle w:val="6"/>
              <w:spacing w:before="247" w:line="218" w:lineRule="auto"/>
              <w:ind w:left="4289"/>
            </w:pPr>
            <w:r>
              <w:rPr>
                <w:spacing w:val="-1"/>
              </w:rPr>
              <w:t>《资本战略与股权价值倍增》</w:t>
            </w:r>
          </w:p>
          <w:p>
            <w:pPr>
              <w:pStyle w:val="6"/>
              <w:spacing w:before="111" w:line="218" w:lineRule="auto"/>
              <w:ind w:left="774"/>
            </w:pPr>
            <w:r>
              <w:t>企业走向资本市场的路径；如何打磨极具投资价值的创业项目；股权价值倍增的六大系统</w:t>
            </w:r>
          </w:p>
        </w:tc>
      </w:tr>
    </w:tbl>
    <w:p>
      <w:pPr>
        <w:pStyle w:val="2"/>
      </w:pPr>
    </w:p>
    <w:p>
      <w:pPr>
        <w:sectPr>
          <w:pgSz w:w="15360" w:h="208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2920" w:lineRule="exact"/>
      </w:pPr>
      <w:r>
        <w:rPr>
          <w:position w:val="-58"/>
        </w:rPr>
        <w:drawing>
          <wp:inline distT="0" distB="0" distL="0" distR="0">
            <wp:extent cx="9721215" cy="185356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1803" cy="18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4"/>
      </w:pPr>
    </w:p>
    <w:p>
      <w:pPr>
        <w:spacing w:before="43"/>
      </w:pPr>
    </w:p>
    <w:p>
      <w:pPr>
        <w:spacing w:before="43"/>
      </w:pPr>
    </w:p>
    <w:tbl>
      <w:tblPr>
        <w:tblStyle w:val="5"/>
        <w:tblW w:w="11729" w:type="dxa"/>
        <w:tblInd w:w="17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3"/>
        <w:gridCol w:w="97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729" w:type="dxa"/>
            <w:gridSpan w:val="2"/>
            <w:shd w:val="clear" w:color="auto" w:fill="901E2A"/>
            <w:vAlign w:val="top"/>
          </w:tcPr>
          <w:p>
            <w:pPr>
              <w:pStyle w:val="6"/>
              <w:spacing w:before="135" w:line="219" w:lineRule="auto"/>
              <w:ind w:left="3460"/>
              <w:rPr>
                <w:sz w:val="37"/>
                <w:szCs w:val="37"/>
              </w:rPr>
            </w:pPr>
            <w:r>
              <w:rPr>
                <w:b/>
                <w:bCs/>
                <w:color w:val="FFFFFF"/>
                <w:sz w:val="37"/>
                <w:szCs w:val="37"/>
              </w:rPr>
              <w:t>管理前沿-专题选修课程(2门)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11729" w:type="dxa"/>
            <w:gridSpan w:val="2"/>
            <w:vAlign w:val="top"/>
          </w:tcPr>
          <w:p>
            <w:pPr>
              <w:pStyle w:val="6"/>
              <w:spacing w:before="231" w:line="219" w:lineRule="auto"/>
              <w:ind w:left="4099"/>
            </w:pPr>
            <w:r>
              <w:rPr>
                <w:spacing w:val="-1"/>
              </w:rPr>
              <w:t>《当前经济分析与政策解读》</w:t>
            </w:r>
          </w:p>
          <w:p>
            <w:pPr>
              <w:pStyle w:val="6"/>
              <w:spacing w:before="287" w:line="218" w:lineRule="auto"/>
              <w:ind w:left="455"/>
            </w:pPr>
            <w:r>
              <w:rPr>
                <w:spacing w:val="1"/>
              </w:rPr>
              <w:t>分析宏观经济形势；解读政府工作报告和两会精神；预测经济</w:t>
            </w:r>
            <w:r>
              <w:t>发展趋势，指导企业管理方向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atLeast"/>
        </w:trPr>
        <w:tc>
          <w:tcPr>
            <w:tcW w:w="11729" w:type="dxa"/>
            <w:gridSpan w:val="2"/>
            <w:vAlign w:val="top"/>
          </w:tcPr>
          <w:p>
            <w:pPr>
              <w:pStyle w:val="6"/>
              <w:spacing w:before="272" w:line="219" w:lineRule="auto"/>
              <w:ind w:left="4370"/>
            </w:pPr>
            <w:r>
              <w:t>《新技术新业态新模式》</w:t>
            </w:r>
          </w:p>
          <w:p>
            <w:pPr>
              <w:pStyle w:val="6"/>
              <w:spacing w:before="185" w:line="216" w:lineRule="auto"/>
              <w:ind w:left="594"/>
            </w:pPr>
            <w:r>
              <w:t>数字化转型是系统性工程；构建数字化能力：数字经济+,智能+;数字化转型中的管理重构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11729" w:type="dxa"/>
            <w:gridSpan w:val="2"/>
            <w:vAlign w:val="top"/>
          </w:tcPr>
          <w:p>
            <w:pPr>
              <w:pStyle w:val="6"/>
              <w:spacing w:before="213" w:line="219" w:lineRule="auto"/>
              <w:ind w:left="4370"/>
            </w:pPr>
            <w:r>
              <w:t>《税务管理与风险防范》</w:t>
            </w:r>
          </w:p>
          <w:p>
            <w:pPr>
              <w:pStyle w:val="6"/>
              <w:spacing w:before="159" w:line="219" w:lineRule="auto"/>
              <w:ind w:left="594"/>
            </w:pPr>
            <w:r>
              <w:t>税收筹划方法和操作；分析行业税收方案股权管理与税收规划；税收政策解析及风险管控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729" w:type="dxa"/>
            <w:gridSpan w:val="2"/>
            <w:shd w:val="clear" w:color="auto" w:fill="8F1E2A"/>
            <w:vAlign w:val="top"/>
          </w:tcPr>
          <w:p>
            <w:pPr>
              <w:pStyle w:val="6"/>
              <w:spacing w:before="148" w:line="219" w:lineRule="auto"/>
              <w:ind w:left="3515"/>
              <w:rPr>
                <w:sz w:val="36"/>
                <w:szCs w:val="36"/>
              </w:rPr>
            </w:pPr>
            <w:r>
              <w:rPr>
                <w:color w:val="FFFFFF"/>
                <w:spacing w:val="5"/>
                <w:sz w:val="36"/>
                <w:szCs w:val="36"/>
              </w:rPr>
              <w:t>管理发展-公共选修课程(2门)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11729" w:type="dxa"/>
            <w:gridSpan w:val="2"/>
            <w:vAlign w:val="top"/>
          </w:tcPr>
          <w:p>
            <w:pPr>
              <w:pStyle w:val="6"/>
              <w:spacing w:before="223" w:line="219" w:lineRule="auto"/>
              <w:ind w:left="4370"/>
            </w:pPr>
            <w:r>
              <w:t>《舆情应对与危机管理》</w:t>
            </w:r>
          </w:p>
          <w:p>
            <w:pPr>
              <w:pStyle w:val="6"/>
              <w:spacing w:before="119" w:line="219" w:lineRule="auto"/>
              <w:ind w:left="384"/>
            </w:pPr>
            <w:r>
              <w:t>认知危机管理切割理论；危机管理5度理论示弱或示强法谈判策略；如何转危为安、化危为机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1729" w:type="dxa"/>
            <w:gridSpan w:val="2"/>
            <w:vAlign w:val="top"/>
          </w:tcPr>
          <w:p>
            <w:pPr>
              <w:pStyle w:val="6"/>
              <w:spacing w:before="236" w:line="219" w:lineRule="auto"/>
              <w:ind w:left="4370"/>
            </w:pPr>
            <w:r>
              <w:t>《项目管理与项目思维》</w:t>
            </w:r>
          </w:p>
          <w:p>
            <w:pPr>
              <w:pStyle w:val="6"/>
              <w:spacing w:before="147" w:line="219" w:lineRule="auto"/>
              <w:ind w:left="455"/>
            </w:pPr>
            <w:r>
              <w:t>项目商机发现和决策；项目的利益相关方分析；项目管理关键与原则；项目成果转化与落地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11729" w:type="dxa"/>
            <w:gridSpan w:val="2"/>
            <w:vAlign w:val="top"/>
          </w:tcPr>
          <w:p>
            <w:pPr>
              <w:pStyle w:val="6"/>
              <w:spacing w:before="215" w:line="219" w:lineRule="auto"/>
              <w:ind w:left="4370"/>
            </w:pPr>
            <w:r>
              <w:t>《传统文化与领导艺术》</w:t>
            </w:r>
          </w:p>
          <w:p>
            <w:pPr>
              <w:pStyle w:val="6"/>
              <w:spacing w:before="139" w:line="219" w:lineRule="auto"/>
              <w:ind w:left="455"/>
            </w:pPr>
            <w:r>
              <w:t>传统文化中的管理思想；领导素养与权威塑造优秀团队的执行力；支撑企业精英的个性因素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1729" w:type="dxa"/>
            <w:gridSpan w:val="2"/>
            <w:shd w:val="clear" w:color="auto" w:fill="8F1E2A"/>
            <w:vAlign w:val="top"/>
          </w:tcPr>
          <w:p>
            <w:pPr>
              <w:pStyle w:val="6"/>
              <w:spacing w:before="136" w:line="219" w:lineRule="auto"/>
              <w:ind w:left="5140"/>
              <w:rPr>
                <w:sz w:val="36"/>
                <w:szCs w:val="36"/>
              </w:rPr>
            </w:pPr>
            <w:r>
              <w:rPr>
                <w:b/>
                <w:bCs/>
                <w:color w:val="FFFFFF"/>
                <w:spacing w:val="-3"/>
                <w:sz w:val="36"/>
                <w:szCs w:val="36"/>
              </w:rPr>
              <w:t>增值服务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953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45"/>
            </w:pPr>
            <w:r>
              <w:rPr>
                <w:spacing w:val="2"/>
              </w:rPr>
              <w:t>学习分享</w:t>
            </w:r>
          </w:p>
        </w:tc>
        <w:tc>
          <w:tcPr>
            <w:tcW w:w="977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61"/>
            </w:pPr>
            <w:r>
              <w:t>温故而知新，组织学员课后分享学习心得，交流、碰撞产生火花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19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45"/>
            </w:pPr>
            <w:r>
              <w:rPr>
                <w:spacing w:val="2"/>
              </w:rPr>
              <w:t>主题沙龙</w:t>
            </w:r>
          </w:p>
        </w:tc>
        <w:tc>
          <w:tcPr>
            <w:tcW w:w="977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7" w:line="218" w:lineRule="auto"/>
              <w:jc w:val="right"/>
            </w:pPr>
            <w:r>
              <w:rPr>
                <w:spacing w:val="-7"/>
              </w:rPr>
              <w:t>将价值服务机构、各行业领域的管理者、专家聚合在一起，传播知识，传递</w:t>
            </w:r>
            <w:r>
              <w:rPr>
                <w:spacing w:val="-8"/>
              </w:rPr>
              <w:t>能量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19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45"/>
            </w:pPr>
            <w:r>
              <w:rPr>
                <w:spacing w:val="3"/>
              </w:rPr>
              <w:t>企业考察</w:t>
            </w:r>
          </w:p>
        </w:tc>
        <w:tc>
          <w:tcPr>
            <w:tcW w:w="9776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61"/>
            </w:pPr>
            <w:r>
              <w:t>标杆企业考察；入企交流座谈；深度解读优秀企业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1953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45"/>
            </w:pPr>
            <w:r>
              <w:rPr>
                <w:spacing w:val="2"/>
              </w:rPr>
              <w:t>总裁年会</w:t>
            </w:r>
          </w:p>
        </w:tc>
        <w:tc>
          <w:tcPr>
            <w:tcW w:w="977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8" w:line="219" w:lineRule="auto"/>
              <w:ind w:left="561"/>
            </w:pPr>
            <w:r>
              <w:t>跨班级融合；促学习交流、融合作共赢</w:t>
            </w:r>
          </w:p>
        </w:tc>
      </w:tr>
    </w:tbl>
    <w:p>
      <w:pPr>
        <w:pStyle w:val="2"/>
      </w:pPr>
    </w:p>
    <w:p>
      <w:pPr>
        <w:sectPr>
          <w:pgSz w:w="15360" w:h="20840"/>
          <w:pgMar w:top="400" w:right="50" w:bottom="0" w:left="0" w:header="0" w:footer="0" w:gutter="0"/>
          <w:cols w:space="720" w:num="1"/>
        </w:sectPr>
      </w:pP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780" w:lineRule="exact"/>
        <w:ind w:firstLine="90"/>
      </w:pPr>
      <w:r>
        <w:rPr>
          <w:position w:val="-55"/>
        </w:rPr>
        <w:pict>
          <v:shape id="_x0000_s1043" o:spid="_x0000_s1043" o:spt="202" type="#_x0000_t202" style="height:139pt;width:756.55pt;" fillcolor="#901C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1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69" w:line="219" w:lineRule="auto"/>
                    <w:ind w:left="10081"/>
                    <w:rPr>
                      <w:rFonts w:ascii="宋体" w:hAnsi="宋体" w:eastAsia="宋体" w:cs="宋体"/>
                      <w:sz w:val="83"/>
                      <w:szCs w:val="83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10"/>
                      <w:sz w:val="83"/>
                      <w:szCs w:val="83"/>
                    </w:rPr>
                    <w:t>师资配备</w:t>
                  </w:r>
                </w:p>
                <w:p>
                  <w:pPr>
                    <w:spacing w:before="64" w:line="189" w:lineRule="auto"/>
                    <w:ind w:left="8710"/>
                    <w:rPr>
                      <w:rFonts w:ascii="Times New Roman" w:hAnsi="Times New Roman" w:eastAsia="Times New Roman" w:cs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13"/>
                      <w:sz w:val="55"/>
                      <w:szCs w:val="55"/>
                    </w:rPr>
                    <w:t>TEACHING STAFF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before="101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-3038475</wp:posOffset>
            </wp:positionV>
            <wp:extent cx="9753600" cy="132334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16"/>
          <w:sz w:val="31"/>
          <w:szCs w:val="31"/>
        </w:rPr>
        <w:t>黄卫平：中国人民大学世界经济研究中心主任，中央政</w:t>
      </w:r>
      <w:r>
        <w:rPr>
          <w:rFonts w:ascii="黑体" w:hAnsi="黑体" w:eastAsia="黑体" w:cs="黑体"/>
          <w:spacing w:val="-17"/>
          <w:sz w:val="31"/>
          <w:szCs w:val="31"/>
        </w:rPr>
        <w:t>治局集体学习主讲专家</w:t>
      </w:r>
    </w:p>
    <w:p>
      <w:pPr>
        <w:spacing w:before="14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李平：中国人民大学商学院副院长，教授、博士生导师</w:t>
      </w:r>
    </w:p>
    <w:p>
      <w:pPr>
        <w:spacing w:before="13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胡汉辉：著名管理专家，东南大学集团经济与产业组织研究中心主任</w:t>
      </w:r>
    </w:p>
    <w:p>
      <w:pPr>
        <w:spacing w:before="16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5"/>
          <w:sz w:val="31"/>
          <w:szCs w:val="31"/>
        </w:rPr>
        <w:t>郝新军：北京大学汇丰商学院教授，北京大学民营经济研究</w:t>
      </w:r>
      <w:r>
        <w:rPr>
          <w:rFonts w:ascii="黑体" w:hAnsi="黑体" w:eastAsia="黑体" w:cs="黑体"/>
          <w:spacing w:val="-16"/>
          <w:sz w:val="31"/>
          <w:szCs w:val="31"/>
        </w:rPr>
        <w:t>院咨询顾问中心副主任</w:t>
      </w:r>
    </w:p>
    <w:p>
      <w:pPr>
        <w:spacing w:before="17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0"/>
          <w:sz w:val="31"/>
          <w:szCs w:val="31"/>
        </w:rPr>
        <w:t>张思萱：北京航空航天大学副教授，国际信息系统会议联合会成员(全球40名)</w:t>
      </w:r>
    </w:p>
    <w:p>
      <w:pPr>
        <w:spacing w:before="11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潘诚：著名战略管理专家，中企联管理咨询委员会执行委员</w:t>
      </w:r>
    </w:p>
    <w:p>
      <w:pPr>
        <w:spacing w:before="15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陈良华：东南大学经济管理学院教授，中国会计学会理事</w:t>
      </w:r>
    </w:p>
    <w:p>
      <w:pPr>
        <w:spacing w:before="166" w:line="221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5"/>
          <w:sz w:val="31"/>
          <w:szCs w:val="31"/>
        </w:rPr>
        <w:t>孙利沿：北京理工大学管理与经济学院副教授</w:t>
      </w:r>
    </w:p>
    <w:p>
      <w:pPr>
        <w:spacing w:before="96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王霆：中国政法大学商学院教授、博导，著名人力资源管理专家</w:t>
      </w:r>
    </w:p>
    <w:p>
      <w:pPr>
        <w:spacing w:before="18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4"/>
          <w:sz w:val="31"/>
          <w:szCs w:val="31"/>
        </w:rPr>
        <w:t>王新宇：国家高级人力资源管理师，清华大学经管学院</w:t>
      </w:r>
      <w:r>
        <w:rPr>
          <w:rFonts w:ascii="宋体" w:hAnsi="宋体" w:eastAsia="宋体" w:cs="宋体"/>
          <w:spacing w:val="-14"/>
          <w:sz w:val="31"/>
          <w:szCs w:val="31"/>
        </w:rPr>
        <w:t>EMBA</w:t>
      </w:r>
      <w:r>
        <w:rPr>
          <w:rFonts w:ascii="黑体" w:hAnsi="黑体" w:eastAsia="黑体" w:cs="黑体"/>
          <w:spacing w:val="-14"/>
          <w:sz w:val="31"/>
          <w:szCs w:val="31"/>
        </w:rPr>
        <w:t>教授</w:t>
      </w:r>
    </w:p>
    <w:p>
      <w:pPr>
        <w:spacing w:before="15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王毅：中央财经大学商学院市场营销系教授，中国高校市场</w:t>
      </w:r>
      <w:r>
        <w:rPr>
          <w:rFonts w:ascii="黑体" w:hAnsi="黑体" w:eastAsia="黑体" w:cs="黑体"/>
          <w:spacing w:val="-7"/>
          <w:sz w:val="31"/>
          <w:szCs w:val="31"/>
        </w:rPr>
        <w:t>学研究会理事</w:t>
      </w:r>
    </w:p>
    <w:p>
      <w:pPr>
        <w:spacing w:before="193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程绍珊：著名营销实战专家，华夏基石集团业务副总裁</w:t>
      </w:r>
    </w:p>
    <w:p>
      <w:pPr>
        <w:spacing w:before="12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班博：山东大学管理学院副教授，管理学博士，央视百家讲坛主讲人</w:t>
      </w:r>
    </w:p>
    <w:p>
      <w:pPr>
        <w:spacing w:before="18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翟新兵：著名实战派管理专家，北大、清华、浙大等总裁班</w:t>
      </w:r>
      <w:r>
        <w:rPr>
          <w:rFonts w:ascii="黑体" w:hAnsi="黑体" w:eastAsia="黑体" w:cs="黑体"/>
          <w:spacing w:val="-17"/>
          <w:sz w:val="31"/>
          <w:szCs w:val="31"/>
        </w:rPr>
        <w:t>主讲专家</w:t>
      </w:r>
    </w:p>
    <w:p>
      <w:pPr>
        <w:spacing w:before="153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邓路：北京航空航天大学教授、博导，北航深圳研究院副院长</w:t>
      </w:r>
    </w:p>
    <w:p>
      <w:pPr>
        <w:spacing w:before="13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徐旻：中小企业上市策划资深专家，中国企业联合会专家委员会委员</w:t>
      </w:r>
    </w:p>
    <w:p>
      <w:pPr>
        <w:spacing w:before="13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3"/>
          <w:sz w:val="31"/>
          <w:szCs w:val="31"/>
        </w:rPr>
        <w:t>刘</w:t>
      </w:r>
      <w:r>
        <w:rPr>
          <w:rFonts w:ascii="黑体" w:hAnsi="黑体" w:eastAsia="黑体" w:cs="黑体"/>
          <w:spacing w:val="12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13"/>
          <w:sz w:val="31"/>
          <w:szCs w:val="31"/>
        </w:rPr>
        <w:t>圻：中南财经政法大学教授，博士生导师</w:t>
      </w:r>
    </w:p>
    <w:p>
      <w:pPr>
        <w:spacing w:before="153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傅志勇：互联网商业化逻辑架构师，中国商业发展研究所首席专家</w:t>
      </w:r>
    </w:p>
    <w:p>
      <w:pPr>
        <w:spacing w:before="9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张勇：南开大学法学院法学研究所所长，天津市人民政府法律顾问</w:t>
      </w:r>
    </w:p>
    <w:p>
      <w:pPr>
        <w:spacing w:before="20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叶建平：著名财税管理专家，执业注册税务师、注册会计师</w:t>
      </w:r>
    </w:p>
    <w:p>
      <w:pPr>
        <w:spacing w:before="153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0"/>
          <w:sz w:val="31"/>
          <w:szCs w:val="31"/>
        </w:rPr>
        <w:t>艾学蛟：著名危机管理专家，北京大学危机管理课题</w:t>
      </w:r>
      <w:r>
        <w:rPr>
          <w:rFonts w:ascii="黑体" w:hAnsi="黑体" w:eastAsia="黑体" w:cs="黑体"/>
          <w:spacing w:val="-31"/>
          <w:sz w:val="31"/>
          <w:szCs w:val="31"/>
        </w:rPr>
        <w:t>组组长，多家中央媒体特约评论员</w:t>
      </w:r>
    </w:p>
    <w:p>
      <w:pPr>
        <w:spacing w:before="17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丁荣贵：山东大学管理学院教授、博士生导师，国际</w:t>
      </w:r>
      <w:r>
        <w:rPr>
          <w:rFonts w:ascii="黑体" w:hAnsi="黑体" w:eastAsia="黑体" w:cs="黑体"/>
          <w:spacing w:val="-17"/>
          <w:sz w:val="31"/>
          <w:szCs w:val="31"/>
        </w:rPr>
        <w:t>注册项目管理专家</w:t>
      </w:r>
    </w:p>
    <w:p>
      <w:pPr>
        <w:spacing w:before="152" w:line="213" w:lineRule="auto"/>
        <w:ind w:left="23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6"/>
          <w:sz w:val="31"/>
          <w:szCs w:val="31"/>
        </w:rPr>
        <w:t>赵玉平：北京邮电大学教授，国学博士，央视《百家讲坛》三国系列主讲人</w:t>
      </w:r>
    </w:p>
    <w:p>
      <w:pPr>
        <w:pStyle w:val="2"/>
        <w:spacing w:line="253" w:lineRule="auto"/>
      </w:pPr>
    </w:p>
    <w:p>
      <w:pPr>
        <w:spacing w:before="1" w:line="2230" w:lineRule="exact"/>
        <w:ind w:firstLine="1839"/>
      </w:pPr>
      <w:r>
        <w:rPr>
          <w:position w:val="-44"/>
        </w:rPr>
        <w:drawing>
          <wp:inline distT="0" distB="0" distL="0" distR="0">
            <wp:extent cx="7613650" cy="14160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13659" cy="14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30" w:lineRule="exact"/>
        <w:sectPr>
          <w:pgSz w:w="15360" w:h="208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780" w:lineRule="exact"/>
        <w:ind w:firstLine="109"/>
      </w:pPr>
      <w:r>
        <w:rPr>
          <w:position w:val="-55"/>
        </w:rPr>
        <w:pict>
          <v:shape id="_x0000_s1044" o:spid="_x0000_s1044" o:spt="202" type="#_x0000_t202" style="height:139pt;width:757.55pt;" fillcolor="#911D2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73" w:line="203" w:lineRule="auto"/>
                    <w:ind w:left="5910" w:right="1838" w:firstLine="4042"/>
                    <w:rPr>
                      <w:rFonts w:ascii="Times New Roman" w:hAnsi="Times New Roman" w:eastAsia="Times New Roman" w:cs="Times New Roman"/>
                      <w:sz w:val="56"/>
                      <w:szCs w:val="56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17"/>
                      <w:sz w:val="84"/>
                      <w:szCs w:val="84"/>
                    </w:rPr>
                    <w:t>入学要求</w:t>
                  </w:r>
                  <w:r>
                    <w:rPr>
                      <w:rFonts w:ascii="宋体" w:hAnsi="宋体" w:eastAsia="宋体" w:cs="宋体"/>
                      <w:color w:val="FFFFFF"/>
                      <w:spacing w:val="2"/>
                      <w:sz w:val="84"/>
                      <w:szCs w:val="8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24"/>
                      <w:sz w:val="56"/>
                      <w:szCs w:val="56"/>
                    </w:rPr>
                    <w:t>BNTRANCE REQUIREMBNTS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442" w:lineRule="auto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298450</wp:posOffset>
            </wp:positionV>
            <wp:extent cx="666750" cy="6794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6" cy="67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 w:line="222" w:lineRule="auto"/>
        <w:ind w:left="2770"/>
        <w:rPr>
          <w:rFonts w:ascii="黑体" w:hAnsi="黑体" w:eastAsia="黑体" w:cs="黑体"/>
          <w:sz w:val="44"/>
          <w:szCs w:val="44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-2980055</wp:posOffset>
            </wp:positionV>
            <wp:extent cx="9753600" cy="1323340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25"/>
          <w:sz w:val="44"/>
          <w:szCs w:val="44"/>
        </w:rPr>
        <w:t>报名条件</w:t>
      </w:r>
    </w:p>
    <w:p>
      <w:pPr>
        <w:spacing w:before="143" w:line="221" w:lineRule="auto"/>
        <w:ind w:left="2770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spacing w:val="-20"/>
          <w:sz w:val="34"/>
          <w:szCs w:val="34"/>
        </w:rPr>
        <w:t>企业董事长、总经理、各部门总监等高层管理者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  <w:r>
        <w:pict>
          <v:group id="_x0000_s1045" o:spid="_x0000_s1045" o:spt="203" style="position:absolute;left:0pt;margin-left:77.95pt;margin-top:10.05pt;height:47.55pt;width:46.55pt;z-index:251682816;mso-width-relative:page;mso-height-relative:page;" coordsize="930,950">
            <o:lock v:ext="edit"/>
            <v:shape id="_x0000_s1046" o:spid="_x0000_s1046" o:spt="75" type="#_x0000_t75" style="position:absolute;left:0;top:0;height:950;width:93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47" o:spid="_x0000_s1047" o:spt="202" type="#_x0000_t202" style="position:absolute;left:-20;top:-20;height:1095;width:9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40" w:lineRule="auto"/>
                    </w:pPr>
                  </w:p>
                  <w:p>
                    <w:pPr>
                      <w:spacing w:before="114" w:line="182" w:lineRule="auto"/>
                      <w:ind w:left="38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35"/>
                        <w:szCs w:val="35"/>
                      </w:rPr>
                      <w:t>7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pict>
          <v:group id="_x0000_s1048" o:spid="_x0000_s1048" o:spt="203" style="position:absolute;left:0pt;margin-left:77.95pt;margin-top:2.35pt;height:47.5pt;width:46.55pt;z-index:251683840;mso-width-relative:page;mso-height-relative:page;" coordsize="930,950">
            <o:lock v:ext="edit"/>
            <v:shape id="_x0000_s1049" o:spid="_x0000_s1049" o:spt="75" type="#_x0000_t75" style="position:absolute;left:0;top:0;height:950;width:930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50" o:spid="_x0000_s1050" o:spt="202" type="#_x0000_t202" style="position:absolute;left:-20;top:-20;height:1060;width:9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63" w:lineRule="auto"/>
                    </w:pPr>
                  </w:p>
                  <w:p>
                    <w:pPr>
                      <w:spacing w:before="97" w:line="188" w:lineRule="auto"/>
                      <w:ind w:left="380"/>
                      <w:rPr>
                        <w:rFonts w:ascii="Times New Roman" w:hAnsi="Times New Roman" w:eastAsia="Times New Roman" w:cs="Times New Roman"/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sz w:val="34"/>
                        <w:szCs w:val="34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pict>
          <v:group id="_x0000_s1051" o:spid="_x0000_s1051" o:spt="203" style="position:absolute;left:0pt;margin-left:77.45pt;margin-top:4pt;height:48.55pt;width:47.05pt;z-index:251681792;mso-width-relative:page;mso-height-relative:page;" coordsize="940,970">
            <o:lock v:ext="edit"/>
            <v:shape id="_x0000_s1052" o:spid="_x0000_s1052" o:spt="75" type="#_x0000_t75" style="position:absolute;left:0;top:0;height:970;width:940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53" o:spid="_x0000_s1053" o:spt="202" type="#_x0000_t202" style="position:absolute;left:-20;top:-20;height:1118;width:9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48" w:lineRule="auto"/>
                    </w:pPr>
                  </w:p>
                  <w:p>
                    <w:pPr>
                      <w:spacing w:before="114" w:line="183" w:lineRule="auto"/>
                      <w:ind w:left="39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35"/>
                        <w:szCs w:val="35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128905</wp:posOffset>
            </wp:positionV>
            <wp:extent cx="654050" cy="6731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3978" cy="67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 w:line="221" w:lineRule="auto"/>
        <w:ind w:left="2776"/>
        <w:rPr>
          <w:rFonts w:ascii="黑体" w:hAnsi="黑体" w:eastAsia="黑体" w:cs="黑体"/>
          <w:sz w:val="44"/>
          <w:szCs w:val="44"/>
        </w:rPr>
      </w:pPr>
      <w:r>
        <w:pict>
          <v:shape id="_x0000_s1054" o:spid="_x0000_s1054" o:spt="202" type="#_x0000_t202" style="position:absolute;left:0pt;margin-left:137.5pt;margin-top:-346.8pt;height:54.55pt;width:505.4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6"/>
                    <w:rPr>
                      <w:rFonts w:ascii="黑体" w:hAnsi="黑体" w:eastAsia="黑体" w:cs="黑体"/>
                      <w:sz w:val="44"/>
                      <w:szCs w:val="44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spacing w:val="-6"/>
                      <w:sz w:val="44"/>
                      <w:szCs w:val="44"/>
                    </w:rPr>
                    <w:t>学习方式</w:t>
                  </w:r>
                </w:p>
                <w:p>
                  <w:pPr>
                    <w:spacing w:before="131" w:line="213" w:lineRule="auto"/>
                    <w:ind w:left="20"/>
                    <w:rPr>
                      <w:rFonts w:ascii="黑体" w:hAnsi="黑体" w:eastAsia="黑体" w:cs="黑体"/>
                      <w:sz w:val="34"/>
                      <w:szCs w:val="34"/>
                    </w:rPr>
                  </w:pPr>
                  <w:r>
                    <w:rPr>
                      <w:rFonts w:ascii="黑体" w:hAnsi="黑体" w:eastAsia="黑体" w:cs="黑体"/>
                      <w:spacing w:val="-13"/>
                      <w:sz w:val="34"/>
                      <w:szCs w:val="34"/>
                    </w:rPr>
                    <w:t>学制：1年半，10门核心课+2门公共课。每月集中2-3天授课(周五六日)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37.5pt;margin-top:-233.8pt;height:56.5pt;width:56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6"/>
                    <w:rPr>
                      <w:rFonts w:ascii="黑体" w:hAnsi="黑体" w:eastAsia="黑体" w:cs="黑体"/>
                      <w:sz w:val="44"/>
                      <w:szCs w:val="44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spacing w:val="1"/>
                      <w:sz w:val="44"/>
                      <w:szCs w:val="44"/>
                    </w:rPr>
                    <w:t>授课方式</w:t>
                  </w:r>
                </w:p>
                <w:p>
                  <w:pPr>
                    <w:spacing w:before="156" w:line="221" w:lineRule="auto"/>
                    <w:jc w:val="right"/>
                    <w:rPr>
                      <w:rFonts w:ascii="黑体" w:hAnsi="黑体" w:eastAsia="黑体" w:cs="黑体"/>
                      <w:sz w:val="34"/>
                      <w:szCs w:val="34"/>
                    </w:rPr>
                  </w:pPr>
                  <w:r>
                    <w:rPr>
                      <w:rFonts w:ascii="黑体" w:hAnsi="黑体" w:eastAsia="黑体" w:cs="黑体"/>
                      <w:spacing w:val="-26"/>
                      <w:sz w:val="34"/>
                      <w:szCs w:val="34"/>
                    </w:rPr>
                    <w:t>授课方式</w:t>
                  </w:r>
                  <w:r>
                    <w:rPr>
                      <w:rFonts w:ascii="黑体" w:hAnsi="黑体" w:eastAsia="黑体" w:cs="黑体"/>
                      <w:spacing w:val="-25"/>
                      <w:sz w:val="34"/>
                      <w:szCs w:val="34"/>
                    </w:rPr>
                    <w:t>：课程传授+案例分析+课后分享+互动研讨+沙龙活动+拓展</w:t>
                  </w:r>
                  <w:r>
                    <w:rPr>
                      <w:rFonts w:ascii="黑体" w:hAnsi="黑体" w:eastAsia="黑体" w:cs="黑体"/>
                      <w:spacing w:val="-26"/>
                      <w:sz w:val="34"/>
                      <w:szCs w:val="34"/>
                    </w:rPr>
                    <w:t>训练+企业考</w:t>
                  </w:r>
                  <w:r>
                    <w:rPr>
                      <w:rFonts w:ascii="黑体" w:hAnsi="黑体" w:eastAsia="黑体" w:cs="黑体"/>
                      <w:spacing w:val="-22"/>
                      <w:sz w:val="34"/>
                      <w:szCs w:val="34"/>
                    </w:rPr>
                    <w:t>察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137.5pt;margin-top:-116.7pt;height:56.45pt;width:486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6"/>
                    <w:rPr>
                      <w:rFonts w:ascii="黑体" w:hAnsi="黑体" w:eastAsia="黑体" w:cs="黑体"/>
                      <w:sz w:val="44"/>
                      <w:szCs w:val="44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spacing w:val="-8"/>
                      <w:sz w:val="44"/>
                      <w:szCs w:val="44"/>
                    </w:rPr>
                    <w:t>报名资料</w:t>
                  </w:r>
                </w:p>
                <w:p>
                  <w:pPr>
                    <w:spacing w:before="168" w:line="213" w:lineRule="auto"/>
                    <w:jc w:val="right"/>
                    <w:rPr>
                      <w:rFonts w:ascii="黑体" w:hAnsi="黑体" w:eastAsia="黑体" w:cs="黑体"/>
                      <w:sz w:val="34"/>
                      <w:szCs w:val="34"/>
                    </w:rPr>
                  </w:pPr>
                  <w:r>
                    <w:rPr>
                      <w:rFonts w:ascii="黑体" w:hAnsi="黑体" w:eastAsia="黑体" w:cs="黑体"/>
                      <w:spacing w:val="-22"/>
                      <w:sz w:val="34"/>
                      <w:szCs w:val="34"/>
                    </w:rPr>
                    <w:t>企业营业执照副本、身份证、学历证明复印件，</w:t>
                  </w:r>
                  <w:r>
                    <w:rPr>
                      <w:rFonts w:ascii="黑体" w:hAnsi="黑体" w:eastAsia="黑体" w:cs="黑体"/>
                      <w:spacing w:val="-23"/>
                      <w:sz w:val="34"/>
                      <w:szCs w:val="34"/>
                    </w:rPr>
                    <w:t>近照2寸蓝底照两张。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5"/>
          <w:sz w:val="44"/>
          <w:szCs w:val="44"/>
        </w:rPr>
        <w:t>学习费用</w:t>
      </w:r>
    </w:p>
    <w:p>
      <w:pPr>
        <w:spacing w:before="106" w:line="221" w:lineRule="auto"/>
        <w:ind w:left="2770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spacing w:val="-9"/>
          <w:sz w:val="34"/>
          <w:szCs w:val="34"/>
        </w:rPr>
        <w:t>46800/人(包括授课费、资料费、教材讲义费)</w: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1" w:line="2300" w:lineRule="exact"/>
        <w:ind w:firstLine="440"/>
      </w:pPr>
      <w:r>
        <w:rPr>
          <w:position w:val="-46"/>
        </w:rPr>
        <w:drawing>
          <wp:inline distT="0" distB="0" distL="0" distR="0">
            <wp:extent cx="9194165" cy="14605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94720" cy="14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00" w:lineRule="exact"/>
        <w:sectPr>
          <w:pgSz w:w="15360" w:h="208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70" w:lineRule="auto"/>
      </w:pPr>
      <w:r>
        <mc:AlternateContent>
          <mc:Choice Requires="wps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3233400"/>
                <wp:effectExtent l="0" t="0" r="0" b="0"/>
                <wp:wrapNone/>
                <wp:docPr id="44" name="Rec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13233400"/>
                        </a:xfrm>
                        <a:prstGeom prst="rect">
                          <a:avLst/>
                        </a:prstGeom>
                        <a:solidFill>
                          <a:srgbClr val="FAFAF2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4" o:spid="_x0000_s1026" o:spt="1" style="position:absolute;left:0pt;margin-left:0pt;margin-top:0pt;height:1042pt;width:768pt;mso-position-horizontal-relative:page;mso-position-vertical-relative:page;z-index:-251631616;mso-width-relative:page;mso-height-relative:page;" fillcolor="#FAFAF2" filled="t" stroked="f" coordsize="21600,21600" o:allowincell="f" o:gfxdata="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2jR&#10;09UAAAAHAQAADwAAAAAAAAABACAAAAAiAAAAZHJzL2Rvd25yZXYueG1sUEsBAhQAFAAAAAgAh07i&#10;QNKS3ZElAgAAZgQAAA4AAAAAAAAAAQAgAAAAJAEAAGRycy9lMm9Eb2MueG1sUEsFBgAAAAAGAAYA&#10;WQEAALs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70" w:lineRule="exact"/>
        <w:ind w:firstLine="19"/>
      </w:pPr>
      <w:bookmarkStart w:id="0" w:name="_GoBack"/>
      <w:bookmarkEnd w:id="0"/>
      <w:r>
        <w:rPr>
          <w:position w:val="-55"/>
        </w:rPr>
        <w:pict>
          <v:shape id="_x0000_s1057" o:spid="_x0000_s1057" o:spt="202" type="#_x0000_t202" style="height:138.5pt;width:765.05pt;" fillcolor="#8F1C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7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7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73" w:line="221" w:lineRule="auto"/>
                    <w:ind w:left="10182"/>
                    <w:rPr>
                      <w:rFonts w:ascii="宋体" w:hAnsi="宋体" w:eastAsia="宋体" w:cs="宋体"/>
                      <w:sz w:val="84"/>
                      <w:szCs w:val="8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17"/>
                      <w:sz w:val="84"/>
                      <w:szCs w:val="84"/>
                    </w:rPr>
                    <w:t>历届合影</w:t>
                  </w:r>
                </w:p>
                <w:p>
                  <w:pPr>
                    <w:spacing w:before="32" w:line="189" w:lineRule="auto"/>
                    <w:ind w:left="9500"/>
                    <w:rPr>
                      <w:rFonts w:ascii="Times New Roman" w:hAnsi="Times New Roman" w:eastAsia="Times New Roman" w:cs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12"/>
                      <w:sz w:val="55"/>
                      <w:szCs w:val="55"/>
                    </w:rPr>
                    <w:t>GROUP PHOTO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87" w:lineRule="auto"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241300</wp:posOffset>
            </wp:positionV>
            <wp:extent cx="3041650" cy="17399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1660" cy="173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40" w:lineRule="exact"/>
        <w:ind w:firstLine="7599"/>
      </w:pPr>
      <w:r>
        <w:rPr>
          <w:position w:val="-46"/>
        </w:rPr>
        <w:drawing>
          <wp:inline distT="0" distB="0" distL="0" distR="0">
            <wp:extent cx="4025265" cy="148526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5896" cy="14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163195</wp:posOffset>
            </wp:positionV>
            <wp:extent cx="3022600" cy="15113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2543" cy="151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91" w:lineRule="exact"/>
        <w:ind w:firstLine="8079"/>
      </w:pPr>
      <w:r>
        <w:rPr>
          <w:position w:val="-47"/>
        </w:rPr>
        <w:drawing>
          <wp:inline distT="0" distB="0" distL="0" distR="0">
            <wp:extent cx="3352165" cy="151765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15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2970" w:lineRule="exact"/>
        <w:ind w:firstLine="1400"/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19050</wp:posOffset>
            </wp:positionV>
            <wp:extent cx="3352800" cy="186690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186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3015615" cy="188531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16202" cy="188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172720</wp:posOffset>
            </wp:positionV>
            <wp:extent cx="3390900" cy="180975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90839" cy="18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30" w:lineRule="exact"/>
        <w:ind w:firstLine="1400"/>
      </w:pPr>
      <w:r>
        <w:rPr>
          <w:position w:val="-56"/>
        </w:rPr>
        <w:drawing>
          <wp:inline distT="0" distB="0" distL="0" distR="0">
            <wp:extent cx="3021965" cy="179705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2543" cy="17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0" w:lineRule="exact"/>
        <w:sectPr>
          <w:pgSz w:w="15360" w:h="20840"/>
          <w:pgMar w:top="400" w:right="0" w:bottom="0" w:left="0" w:header="0" w:footer="0" w:gutter="0"/>
          <w:cols w:space="720" w:num="1"/>
        </w:sectPr>
      </w:pPr>
    </w:p>
    <w:p>
      <w:pPr>
        <w:spacing w:line="20827" w:lineRule="exact"/>
      </w:pPr>
      <w:r>
        <w:rPr>
          <w:position w:val="-416"/>
        </w:rPr>
        <w:drawing>
          <wp:inline distT="0" distB="0" distL="0" distR="0">
            <wp:extent cx="9753600" cy="132251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827" w:lineRule="exact"/>
        <w:sectPr>
          <w:footerReference r:id="rId7" w:type="default"/>
          <w:pgSz w:w="15360" w:h="20840"/>
          <w:pgMar w:top="1" w:right="0" w:bottom="1" w:left="0" w:header="0" w:footer="0" w:gutter="0"/>
          <w:cols w:space="720" w:num="1"/>
        </w:sectPr>
      </w:pPr>
    </w:p>
    <w:p>
      <w:pPr>
        <w:spacing w:line="20827" w:lineRule="exact"/>
      </w:pPr>
      <w:r>
        <w:rPr>
          <w:position w:val="-416"/>
        </w:rPr>
        <w:drawing>
          <wp:inline distT="0" distB="0" distL="0" distR="0">
            <wp:extent cx="9753600" cy="1322514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827" w:lineRule="exact"/>
        <w:sectPr>
          <w:pgSz w:w="15360" w:h="20840"/>
          <w:pgMar w:top="1" w:right="0" w:bottom="1" w:left="0" w:header="0" w:footer="0" w:gutter="0"/>
          <w:cols w:space="720" w:num="1"/>
        </w:sectPr>
      </w:pPr>
    </w:p>
    <w:p>
      <w:pPr>
        <w:spacing w:line="20827" w:lineRule="exact"/>
      </w:pPr>
      <w:r>
        <w:rPr>
          <w:position w:val="-416"/>
        </w:rPr>
        <w:drawing>
          <wp:inline distT="0" distB="0" distL="0" distR="0">
            <wp:extent cx="9753600" cy="1322514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2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827" w:lineRule="exact"/>
        <w:sectPr>
          <w:pgSz w:w="15360" w:h="20840"/>
          <w:pgMar w:top="1" w:right="0" w:bottom="1" w:left="0" w:header="0" w:footer="0" w:gutter="0"/>
          <w:cols w:space="720" w:num="1"/>
        </w:sectPr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line="5664" w:lineRule="exact"/>
        <w:ind w:firstLine="700"/>
      </w:pPr>
      <w:r>
        <w:rPr>
          <w:position w:val="-113"/>
        </w:rPr>
        <w:drawing>
          <wp:inline distT="0" distB="0" distL="0" distR="0">
            <wp:extent cx="7047865" cy="359664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48439" cy="359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1" w:lineRule="auto"/>
        <w:ind w:left="247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-4"/>
          <w:sz w:val="35"/>
          <w:szCs w:val="35"/>
        </w:rPr>
        <w:t>“一体两翼”高质量发展平台企业成长战略合作伙伴</w:t>
      </w:r>
    </w:p>
    <w:p>
      <w:pPr>
        <w:spacing w:before="165" w:line="189" w:lineRule="auto"/>
        <w:ind w:left="259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1"/>
          <w:szCs w:val="21"/>
        </w:rPr>
        <w:t>One body two wings high-quality development platform strategic partner</w:t>
      </w:r>
      <w:r>
        <w:rPr>
          <w:rFonts w:ascii="Times New Roman" w:hAnsi="Times New Roman" w:eastAsia="Times New Roman" w:cs="Times New Roman"/>
          <w:b/>
          <w:bCs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b/>
          <w:bCs/>
          <w:spacing w:val="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1"/>
          <w:szCs w:val="21"/>
        </w:rPr>
        <w:t>enterprise</w:t>
      </w:r>
      <w:r>
        <w:rPr>
          <w:rFonts w:ascii="Times New Roman" w:hAnsi="Times New Roman" w:eastAsia="Times New Roman" w:cs="Times New Roman"/>
          <w:b/>
          <w:bCs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1"/>
          <w:szCs w:val="21"/>
        </w:rPr>
        <w:t>growth</w:t>
      </w:r>
    </w:p>
    <w:p>
      <w:pPr>
        <w:pStyle w:val="2"/>
        <w:spacing w:line="355" w:lineRule="auto"/>
      </w:pPr>
    </w:p>
    <w:p>
      <w:pPr>
        <w:pStyle w:val="2"/>
        <w:spacing w:line="356" w:lineRule="auto"/>
      </w:pPr>
    </w:p>
    <w:p>
      <w:pPr>
        <w:spacing w:before="68" w:line="222" w:lineRule="auto"/>
        <w:ind w:left="8593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CE511B"/>
          <w:spacing w:val="-5"/>
          <w:sz w:val="21"/>
          <w:szCs w:val="21"/>
        </w:rPr>
        <w:t>海南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214630</wp:posOffset>
            </wp:positionV>
            <wp:extent cx="1130300" cy="113030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0246" cy="113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7200265</wp:posOffset>
            </wp:positionH>
            <wp:positionV relativeFrom="paragraph">
              <wp:posOffset>227330</wp:posOffset>
            </wp:positionV>
            <wp:extent cx="1130300" cy="11303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30344" cy="113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4" w:line="221" w:lineRule="auto"/>
        <w:ind w:left="5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12"/>
          <w:sz w:val="35"/>
          <w:szCs w:val="35"/>
          <w:u w:val="single" w:color="auto"/>
        </w:rPr>
        <w:t>晋美智享</w:t>
      </w:r>
      <w:r>
        <w:rPr>
          <w:rFonts w:ascii="黑体" w:hAnsi="黑体" w:eastAsia="黑体" w:cs="黑体"/>
          <w:spacing w:val="-12"/>
          <w:sz w:val="35"/>
          <w:szCs w:val="35"/>
          <w:u w:val="single" w:color="auto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35"/>
          <w:szCs w:val="35"/>
          <w:u w:val="single" w:color="auto"/>
        </w:rPr>
        <w:t>·新商界高层管理教育项目</w:t>
      </w:r>
    </w:p>
    <w:p>
      <w:pPr>
        <w:spacing w:before="93" w:line="221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7"/>
          <w:sz w:val="28"/>
          <w:szCs w:val="28"/>
        </w:rPr>
        <w:t>地址：太原市小店区平阳路西二巷6号教学楼401</w:t>
      </w:r>
    </w:p>
    <w:p>
      <w:pPr>
        <w:spacing w:before="69" w:line="224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电话：0351—5267097</w:t>
      </w:r>
    </w:p>
    <w:sectPr>
      <w:pgSz w:w="15360" w:h="20840"/>
      <w:pgMar w:top="400" w:right="1349" w:bottom="400" w:left="88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164176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26" textRotate="1"/>
    <customShpInfo spid="_x0000_s1030"/>
    <customShpInfo spid="_x0000_s1031"/>
    <customShpInfo spid="_x0000_s1032"/>
    <customShpInfo spid="_x0000_s1034"/>
    <customShpInfo spid="_x0000_s1035"/>
    <customShpInfo spid="_x0000_s1033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4"/>
    <customShpInfo spid="_x0000_s1055"/>
    <customShpInfo spid="_x0000_s1056"/>
    <customShpInfo spid="_x0000_s1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2167</Words>
  <Characters>2285</Characters>
  <TotalTime>24</TotalTime>
  <ScaleCrop>false</ScaleCrop>
  <LinksUpToDate>false</LinksUpToDate>
  <CharactersWithSpaces>2328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2024-07-30T19:39:00Z</dcterms:created>
  <dc:creator>Kingsoft-PDF</dc:creator>
  <cp:lastModifiedBy>冰冰⊙▽⊙＊</cp:lastModifiedBy>
  <dcterms:modified xsi:type="dcterms:W3CDTF">2024-07-30T12:04:29Z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2024-07-30T19:40:03Z</vt:filetime>
  </property>
  <property fmtid="{D5CDD505-2E9C-101B-9397-08002B2CF9AE}" pid="4" name="UsrData">
    <vt:lpwstr>66a8d107542596001fa91910wl</vt:lpwstr>
  </property>
  <property fmtid="{D5CDD505-2E9C-101B-9397-08002B2CF9AE}" pid="5" name="KSOProductBuildVer">
    <vt:lpwstr>2052-12.1.0.16929</vt:lpwstr>
  </property>
  <property fmtid="{D5CDD505-2E9C-101B-9397-08002B2CF9AE}" pid="6" name="ICV">
    <vt:lpwstr>47105C1D03724BFEA7C6AB05FC5ED5CC_13</vt:lpwstr>
  </property>
</Properties>
</file>