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44" w:lineRule="auto"/>
      </w:pPr>
    </w:p>
    <w:p>
      <w:pPr>
        <w:pStyle w:val="2"/>
        <w:spacing w:line="344" w:lineRule="auto"/>
      </w:pPr>
    </w:p>
    <w:p>
      <w:pPr>
        <w:spacing w:line="927" w:lineRule="exact"/>
        <w:ind w:firstLine="1471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165100</wp:posOffset>
            </wp:positionV>
            <wp:extent cx="1358900" cy="40132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9066" cy="40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520825" cy="5880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1429" cy="5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before="437" w:line="179" w:lineRule="auto"/>
        <w:ind w:left="1224"/>
        <w:outlineLvl w:val="0"/>
        <w:rPr>
          <w:rFonts w:ascii="微软雅黑" w:hAnsi="微软雅黑" w:eastAsia="微软雅黑" w:cs="微软雅黑"/>
          <w:sz w:val="102"/>
          <w:szCs w:val="102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-4107815</wp:posOffset>
            </wp:positionV>
            <wp:extent cx="7560310" cy="613219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61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24"/>
          <w:sz w:val="102"/>
          <w:szCs w:val="102"/>
        </w:rPr>
        <w:t>金融学硕士</w:t>
      </w:r>
    </w:p>
    <w:p>
      <w:pPr>
        <w:spacing w:before="42" w:line="172" w:lineRule="auto"/>
        <w:ind w:left="1340"/>
        <w:rPr>
          <w:rFonts w:ascii="微软雅黑" w:hAnsi="微软雅黑" w:eastAsia="微软雅黑" w:cs="微软雅黑"/>
          <w:sz w:val="77"/>
          <w:szCs w:val="77"/>
        </w:rPr>
      </w:pPr>
      <w:r>
        <w:rPr>
          <w:rFonts w:ascii="微软雅黑" w:hAnsi="微软雅黑" w:eastAsia="微软雅黑" w:cs="微软雅黑"/>
          <w:b/>
          <w:bCs/>
          <w:color w:val="FFFFFF"/>
          <w:spacing w:val="88"/>
          <w:sz w:val="77"/>
          <w:szCs w:val="77"/>
          <w14:textFill>
            <w14:solidFill>
              <w14:srgbClr w14:val="FFFFFF">
                <w14:alpha w14:val="85098"/>
              </w14:srgbClr>
            </w14:solidFill>
          </w14:textFill>
        </w:rPr>
        <w:t>MASTER OF FINANCE</w:t>
      </w:r>
    </w:p>
    <w:p>
      <w:pPr>
        <w:pStyle w:val="2"/>
        <w:spacing w:line="314" w:lineRule="auto"/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spacing w:before="219" w:line="178" w:lineRule="auto"/>
        <w:ind w:left="1521"/>
        <w:rPr>
          <w:rFonts w:ascii="微软雅黑" w:hAnsi="微软雅黑" w:eastAsia="微软雅黑" w:cs="微软雅黑"/>
          <w:sz w:val="51"/>
          <w:szCs w:val="51"/>
        </w:rPr>
      </w:pPr>
      <w:r>
        <w:rPr>
          <w:rFonts w:ascii="微软雅黑" w:hAnsi="微软雅黑" w:eastAsia="微软雅黑" w:cs="微软雅黑"/>
          <w:color w:val="5A5D5F"/>
          <w:spacing w:val="-12"/>
          <w:sz w:val="51"/>
          <w:szCs w:val="51"/>
        </w:rPr>
        <w:t>西</w:t>
      </w:r>
      <w:r>
        <w:rPr>
          <w:rFonts w:ascii="微软雅黑" w:hAnsi="微软雅黑" w:eastAsia="微软雅黑" w:cs="微软雅黑"/>
          <w:color w:val="5A5D5F"/>
          <w:spacing w:val="129"/>
          <w:sz w:val="51"/>
          <w:szCs w:val="51"/>
        </w:rPr>
        <w:t xml:space="preserve"> </w:t>
      </w:r>
      <w:r>
        <w:rPr>
          <w:rFonts w:ascii="微软雅黑" w:hAnsi="微软雅黑" w:eastAsia="微软雅黑" w:cs="微软雅黑"/>
          <w:color w:val="5A5D5F"/>
          <w:spacing w:val="-12"/>
          <w:sz w:val="51"/>
          <w:szCs w:val="51"/>
        </w:rPr>
        <w:t>班</w:t>
      </w:r>
      <w:r>
        <w:rPr>
          <w:rFonts w:ascii="微软雅黑" w:hAnsi="微软雅黑" w:eastAsia="微软雅黑" w:cs="微软雅黑"/>
          <w:color w:val="5A5D5F"/>
          <w:spacing w:val="134"/>
          <w:sz w:val="51"/>
          <w:szCs w:val="51"/>
        </w:rPr>
        <w:t xml:space="preserve"> </w:t>
      </w:r>
      <w:r>
        <w:rPr>
          <w:rFonts w:ascii="微软雅黑" w:hAnsi="微软雅黑" w:eastAsia="微软雅黑" w:cs="微软雅黑"/>
          <w:color w:val="5A5D5F"/>
          <w:spacing w:val="-12"/>
          <w:sz w:val="51"/>
          <w:szCs w:val="51"/>
        </w:rPr>
        <w:t>牙  胡  安  卡</w:t>
      </w:r>
      <w:r>
        <w:rPr>
          <w:rFonts w:ascii="微软雅黑" w:hAnsi="微软雅黑" w:eastAsia="微软雅黑" w:cs="微软雅黑"/>
          <w:color w:val="5A5D5F"/>
          <w:spacing w:val="132"/>
          <w:sz w:val="51"/>
          <w:szCs w:val="51"/>
        </w:rPr>
        <w:t xml:space="preserve"> </w:t>
      </w:r>
      <w:r>
        <w:rPr>
          <w:rFonts w:ascii="微软雅黑" w:hAnsi="微软雅黑" w:eastAsia="微软雅黑" w:cs="微软雅黑"/>
          <w:color w:val="5A5D5F"/>
          <w:spacing w:val="-12"/>
          <w:sz w:val="51"/>
          <w:szCs w:val="51"/>
        </w:rPr>
        <w:t>洛</w:t>
      </w:r>
      <w:r>
        <w:rPr>
          <w:rFonts w:ascii="微软雅黑" w:hAnsi="微软雅黑" w:eastAsia="微软雅黑" w:cs="微软雅黑"/>
          <w:color w:val="5A5D5F"/>
          <w:spacing w:val="130"/>
          <w:sz w:val="51"/>
          <w:szCs w:val="51"/>
        </w:rPr>
        <w:t xml:space="preserve"> </w:t>
      </w:r>
      <w:r>
        <w:rPr>
          <w:rFonts w:ascii="微软雅黑" w:hAnsi="微软雅黑" w:eastAsia="微软雅黑" w:cs="微软雅黑"/>
          <w:color w:val="5A5D5F"/>
          <w:spacing w:val="-12"/>
          <w:sz w:val="51"/>
          <w:szCs w:val="51"/>
        </w:rPr>
        <w:t xml:space="preserve">斯  国  王 </w:t>
      </w:r>
      <w:r>
        <w:rPr>
          <w:rFonts w:ascii="微软雅黑" w:hAnsi="微软雅黑" w:eastAsia="微软雅黑" w:cs="微软雅黑"/>
          <w:color w:val="5A5D5F"/>
          <w:spacing w:val="-13"/>
          <w:sz w:val="51"/>
          <w:szCs w:val="51"/>
        </w:rPr>
        <w:t xml:space="preserve"> 大  学</w:t>
      </w:r>
    </w:p>
    <w:p>
      <w:pPr>
        <w:spacing w:before="234" w:line="172" w:lineRule="auto"/>
        <w:ind w:left="1350"/>
        <w:outlineLvl w:val="0"/>
        <w:rPr>
          <w:rFonts w:ascii="微软雅黑" w:hAnsi="微软雅黑" w:eastAsia="微软雅黑" w:cs="微软雅黑"/>
          <w:sz w:val="211"/>
          <w:szCs w:val="211"/>
        </w:rPr>
      </w:pPr>
      <w:r>
        <w:pict>
          <v:shape id="_x0000_s1026" o:spid="_x0000_s1026" o:spt="202" type="#_x0000_t202" style="position:absolute;left:0pt;margin-left:478.1pt;margin-top:16.25pt;height:75.2pt;width:47.8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73" w:lineRule="auto"/>
                    <w:ind w:left="20"/>
                    <w:rPr>
                      <w:rFonts w:ascii="微软雅黑" w:hAnsi="微软雅黑" w:eastAsia="微软雅黑" w:cs="微软雅黑"/>
                      <w:sz w:val="72"/>
                      <w:szCs w:val="7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6777C"/>
                      <w:spacing w:val="11"/>
                      <w:sz w:val="72"/>
                      <w:szCs w:val="72"/>
                    </w:rPr>
                    <w:t>学院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1A75B4"/>
          <w:spacing w:val="222"/>
          <w:sz w:val="211"/>
          <w:szCs w:val="211"/>
        </w:rPr>
        <w:t>CEDEU</w:t>
      </w:r>
    </w:p>
    <w:p>
      <w:pPr>
        <w:spacing w:line="172" w:lineRule="auto"/>
        <w:rPr>
          <w:rFonts w:ascii="微软雅黑" w:hAnsi="微软雅黑" w:eastAsia="微软雅黑" w:cs="微软雅黑"/>
          <w:sz w:val="211"/>
          <w:szCs w:val="211"/>
        </w:rPr>
        <w:sectPr>
          <w:headerReference r:id="rId5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before="257" w:line="179" w:lineRule="auto"/>
        <w:ind w:left="3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7"/>
          <w:sz w:val="60"/>
          <w:szCs w:val="60"/>
        </w:rPr>
        <w:t>背景介绍</w:t>
      </w:r>
    </w:p>
    <w:p>
      <w:pPr>
        <w:spacing w:before="60" w:line="174" w:lineRule="auto"/>
        <w:ind w:left="100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83185</wp:posOffset>
            </wp:positionV>
            <wp:extent cx="367030" cy="9779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6"/>
          <w:sz w:val="28"/>
          <w:szCs w:val="28"/>
        </w:rPr>
        <w:t>BACKGROUND INTRODUCTION</w:t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line="5791" w:lineRule="exact"/>
        <w:ind w:firstLine="1"/>
      </w:pPr>
      <w:r>
        <w:rPr>
          <w:position w:val="-115"/>
        </w:rPr>
        <w:drawing>
          <wp:inline distT="0" distB="0" distL="0" distR="0">
            <wp:extent cx="5975350" cy="36772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601" cy="36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4" w:lineRule="auto"/>
      </w:pPr>
    </w:p>
    <w:p>
      <w:pPr>
        <w:pStyle w:val="2"/>
        <w:spacing w:line="325" w:lineRule="auto"/>
      </w:pPr>
    </w:p>
    <w:p>
      <w:pPr>
        <w:spacing w:before="155" w:line="177" w:lineRule="auto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西班牙国情</w:t>
      </w:r>
    </w:p>
    <w:p>
      <w:pPr>
        <w:spacing w:before="261" w:line="233" w:lineRule="auto"/>
        <w:ind w:left="11" w:right="90" w:firstLine="8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西班牙是欧洲传统的发达资本主义国家，人均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GDP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约3万美元，是世界公认的科技强国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和教育强国，更是一个体育大国和旅游大国，其在国际化商业活动组织、体育赛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事管理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及推广、旅游策划及营销方面一直走在世界前列。联合国世界旅游组织总部就设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在西班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牙的首都马德里。</w:t>
      </w:r>
    </w:p>
    <w:p>
      <w:pPr>
        <w:pStyle w:val="2"/>
        <w:spacing w:line="341" w:lineRule="auto"/>
      </w:pPr>
    </w:p>
    <w:p>
      <w:pPr>
        <w:pStyle w:val="2"/>
        <w:spacing w:line="341" w:lineRule="auto"/>
      </w:pPr>
    </w:p>
    <w:p>
      <w:pPr>
        <w:spacing w:before="155" w:line="179" w:lineRule="auto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西班牙教育</w:t>
      </w:r>
    </w:p>
    <w:p>
      <w:pPr>
        <w:spacing w:before="185" w:line="231" w:lineRule="auto"/>
        <w:ind w:left="49" w:right="103" w:hanging="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西班牙高等教育体系的建立，可以追溯到800多年以前欧洲最早参与《博洛尼亚进程》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的29个成员国之一。现有100多所大学及300多所高校和研究中心，每年接纳国际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学生约</w:t>
      </w:r>
    </w:p>
    <w:p>
      <w:pPr>
        <w:spacing w:line="231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6" w:type="default"/>
          <w:footerReference r:id="rId7" w:type="default"/>
          <w:pgSz w:w="11906" w:h="16838"/>
          <w:pgMar w:top="400" w:right="1271" w:bottom="2161" w:left="1222" w:header="0" w:footer="1864" w:gutter="0"/>
          <w:cols w:space="720" w:num="1"/>
        </w:sectPr>
      </w:pPr>
    </w:p>
    <w:p>
      <w:pPr>
        <w:pStyle w:val="2"/>
        <w:spacing w:line="6445" w:lineRule="exact"/>
      </w:pPr>
      <w:r>
        <w:rPr>
          <w:position w:val="-128"/>
        </w:rPr>
        <w:pict>
          <v:group id="_x0000_s1027" o:spid="_x0000_s1027" o:spt="203" style="height:322.4pt;width:595.3pt;" coordsize="11905,6447">
            <o:lock v:ext="edit"/>
            <v:shape id="_x0000_s1028" o:spid="_x0000_s1028" o:spt="75" type="#_x0000_t75" style="position:absolute;left:0;top:0;height:6447;width:11905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29" o:spid="_x0000_s1029" o:spt="202" type="#_x0000_t202" style="position:absolute;left:-20;top:-20;height:6487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10" w:line="186" w:lineRule="auto"/>
                      <w:ind w:left="662"/>
                      <w:rPr>
                        <w:rFonts w:ascii="微软雅黑" w:hAnsi="微软雅黑" w:eastAsia="微软雅黑" w:cs="微软雅黑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"/>
                        <w:sz w:val="49"/>
                        <w:szCs w:val="49"/>
                      </w:rPr>
                      <w:t>为什么要选择胡安卡洛斯国王大学？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74"/>
      </w:pPr>
    </w:p>
    <w:p>
      <w:pPr>
        <w:spacing w:before="74"/>
      </w:pPr>
    </w:p>
    <w:p>
      <w:pPr>
        <w:spacing w:before="74"/>
      </w:pPr>
    </w:p>
    <w:p>
      <w:pPr>
        <w:sectPr>
          <w:footerReference r:id="rId8" w:type="default"/>
          <w:pgSz w:w="11906" w:h="16838"/>
          <w:pgMar w:top="1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89" w:line="165" w:lineRule="auto"/>
        <w:ind w:left="1184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42545</wp:posOffset>
            </wp:positionV>
            <wp:extent cx="573405" cy="5734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36"/>
          <w:szCs w:val="36"/>
        </w:rPr>
        <w:t>优质教育</w:t>
      </w:r>
    </w:p>
    <w:p>
      <w:pPr>
        <w:spacing w:line="179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更高效</w:t>
      </w:r>
    </w:p>
    <w:p>
      <w:pPr>
        <w:spacing w:before="141" w:line="20" w:lineRule="exact"/>
        <w:ind w:firstLine="1217"/>
      </w:pPr>
      <w:r>
        <w:pict>
          <v:shape id="_x0000_s1030" o:spid="_x0000_s1030" style="height:1pt;width:206.3pt;" filled="f" stroked="t" coordsize="4126,20" path="m0,10l4125,10e">
            <v:fill on="f" focussize="0,0"/>
            <v:stroke weight="1pt" color="#898A8D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70" w:lineRule="auto"/>
      </w:pPr>
    </w:p>
    <w:p>
      <w:pPr>
        <w:spacing w:before="103" w:line="207" w:lineRule="auto"/>
        <w:ind w:left="1177" w:right="1071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课程与时俱进，强调在掌握现代经济理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7"/>
          <w:sz w:val="24"/>
          <w:szCs w:val="24"/>
        </w:rPr>
        <w:t>论与管理方法的基础上，通过商业分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析、实战观摩、分析与决策技能训练培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养学生的实际操作能力。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48895</wp:posOffset>
            </wp:positionV>
            <wp:extent cx="534035" cy="53403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 w:line="164" w:lineRule="auto"/>
        <w:ind w:left="1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人才济济</w:t>
      </w:r>
    </w:p>
    <w:p>
      <w:pPr>
        <w:spacing w:before="1" w:line="178" w:lineRule="auto"/>
        <w:ind w:left="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更实战</w:t>
      </w:r>
    </w:p>
    <w:p>
      <w:pPr>
        <w:spacing w:before="144" w:line="20" w:lineRule="exact"/>
        <w:ind w:firstLine="42"/>
      </w:pPr>
      <w:r>
        <w:pict>
          <v:shape id="_x0000_s1031" o:spid="_x0000_s1031" style="height:1pt;width:210.45pt;" filled="f" stroked="t" coordsize="4208,20" path="m0,10l4208,10e">
            <v:fill on="f" focussize="0,0"/>
            <v:stroke weight="1pt" color="#898A8D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70" w:lineRule="auto"/>
      </w:pPr>
    </w:p>
    <w:p>
      <w:pPr>
        <w:spacing w:before="103" w:line="207" w:lineRule="auto"/>
        <w:ind w:left="2" w:right="1181" w:hanging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各个学科领域的专家教授共计超过2000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名。来自113个国家的5000多名国际学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生在胡安卡洛斯国王大学学习,就业率全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24"/>
          <w:szCs w:val="24"/>
        </w:rPr>
        <w:t>球前300。</w:t>
      </w:r>
    </w:p>
    <w:p>
      <w:pPr>
        <w:spacing w:line="207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1" w:right="0" w:bottom="400" w:left="0" w:header="0" w:footer="0" w:gutter="0"/>
          <w:cols w:equalWidth="0" w:num="2">
            <w:col w:w="6372" w:space="100"/>
            <w:col w:w="5434"/>
          </w:cols>
        </w:sectPr>
      </w:pPr>
    </w:p>
    <w:p>
      <w:pPr>
        <w:spacing w:before="37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ectPr>
          <w:type w:val="continuous"/>
          <w:pgSz w:w="11906" w:h="16838"/>
          <w:pgMar w:top="1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49" w:line="166" w:lineRule="auto"/>
        <w:ind w:left="1188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77470</wp:posOffset>
            </wp:positionV>
            <wp:extent cx="568960" cy="51117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36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36"/>
          <w:szCs w:val="36"/>
        </w:rPr>
        <w:t>公立学校</w:t>
      </w:r>
    </w:p>
    <w:p>
      <w:pPr>
        <w:spacing w:before="2" w:line="178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更保障</w:t>
      </w:r>
    </w:p>
    <w:p>
      <w:pPr>
        <w:spacing w:before="142" w:line="20" w:lineRule="exact"/>
        <w:ind w:firstLine="1217"/>
      </w:pPr>
      <w:r>
        <w:pict>
          <v:shape id="_x0000_s1032" o:spid="_x0000_s1032" style="height:1pt;width:207.35pt;" filled="f" stroked="t" coordsize="4147,20" path="m0,10l4146,10e">
            <v:fill on="f" focussize="0,0"/>
            <v:stroke weight="1pt" color="#898A8D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64" w:lineRule="auto"/>
      </w:pPr>
    </w:p>
    <w:p>
      <w:pPr>
        <w:spacing w:before="103" w:line="208" w:lineRule="auto"/>
        <w:ind w:left="1177" w:right="1046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该学校一直以跨学科研究成果来解决问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题，专注于教学和研究。并且凭借其优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良的学术项目和高质量的国际科学研究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跻身于首都马德里最好的大学之列。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41910</wp:posOffset>
            </wp:positionV>
            <wp:extent cx="539115" cy="53911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53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 w:line="165" w:lineRule="auto"/>
        <w:ind w:left="1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费用亲民</w:t>
      </w:r>
    </w:p>
    <w:p>
      <w:pPr>
        <w:spacing w:before="1" w:line="178" w:lineRule="auto"/>
        <w:ind w:left="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更简单</w:t>
      </w:r>
    </w:p>
    <w:p>
      <w:pPr>
        <w:spacing w:before="142" w:line="20" w:lineRule="exact"/>
        <w:ind w:firstLine="44"/>
      </w:pPr>
      <w:r>
        <w:pict>
          <v:shape id="_x0000_s1033" o:spid="_x0000_s1033" style="height:1pt;width:206.25pt;" filled="f" stroked="t" coordsize="4125,20" path="m0,10l4124,10e">
            <v:fill on="f" focussize="0,0"/>
            <v:stroke weight="1pt" color="#898A8D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68" w:lineRule="auto"/>
      </w:pPr>
    </w:p>
    <w:p>
      <w:pPr>
        <w:spacing w:before="104" w:line="233" w:lineRule="auto"/>
        <w:ind w:right="1223" w:firstLine="7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2"/>
          <w:sz w:val="24"/>
          <w:szCs w:val="24"/>
        </w:rPr>
        <w:t>公立大学的学费主要是由政府资助担</w:t>
      </w:r>
      <w:r>
        <w:rPr>
          <w:rFonts w:ascii="微软雅黑" w:hAnsi="微软雅黑" w:eastAsia="微软雅黑" w:cs="微软雅黑"/>
          <w:color w:val="333334"/>
          <w:spacing w:val="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保，因此对于学生来说费用与私立大学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相比低很多。</w:t>
      </w:r>
    </w:p>
    <w:p>
      <w:pPr>
        <w:spacing w:line="23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1" w:right="0" w:bottom="400" w:left="0" w:header="0" w:footer="0" w:gutter="0"/>
          <w:cols w:equalWidth="0" w:num="2">
            <w:col w:w="6371" w:space="100"/>
            <w:col w:w="5436"/>
          </w:cols>
        </w:sectPr>
      </w:pPr>
    </w:p>
    <w:p>
      <w:pPr>
        <w:pStyle w:val="2"/>
        <w:spacing w:line="318" w:lineRule="auto"/>
      </w:pPr>
    </w:p>
    <w:p>
      <w:pPr>
        <w:pStyle w:val="2"/>
        <w:spacing w:line="318" w:lineRule="auto"/>
      </w:pPr>
    </w:p>
    <w:p>
      <w:pPr>
        <w:spacing w:before="257" w:line="179" w:lineRule="auto"/>
        <w:ind w:left="1283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5"/>
          <w:sz w:val="60"/>
          <w:szCs w:val="60"/>
        </w:rPr>
        <w:t>大学介绍</w:t>
      </w:r>
    </w:p>
    <w:p>
      <w:pPr>
        <w:spacing w:before="40" w:line="174" w:lineRule="auto"/>
        <w:ind w:left="1307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6389370</wp:posOffset>
            </wp:positionH>
            <wp:positionV relativeFrom="paragraph">
              <wp:posOffset>80645</wp:posOffset>
            </wp:positionV>
            <wp:extent cx="367030" cy="9779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2"/>
          <w:sz w:val="28"/>
          <w:szCs w:val="28"/>
        </w:rPr>
        <w:t>UNIVERSITY INTRODUCTION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line="396" w:lineRule="exact"/>
        <w:ind w:left="4235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-1165860</wp:posOffset>
            </wp:positionV>
            <wp:extent cx="7552690" cy="585724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85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21" cy="2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5460" cy="1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3653" cy="19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182" w:lineRule="auto"/>
        <w:ind w:left="327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04" w:line="175" w:lineRule="auto"/>
        <w:ind w:left="2105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4" o:spid="_x0000_s1034" o:spt="202" type="#_x0000_t202" style="position:absolute;left:0pt;margin-left:427.7pt;margin-top:4.15pt;height:105.5pt;width:74.8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校企合作</w:t>
                  </w:r>
                </w:p>
                <w:p>
                  <w:pPr>
                    <w:spacing w:before="21" w:line="182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全国第3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旅游类专业</w:t>
                  </w:r>
                </w:p>
                <w:p>
                  <w:pPr>
                    <w:spacing w:before="21" w:line="182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274.35pt;margin-top:4.2pt;height:105.5pt;width:100.4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现代化程度</w:t>
                  </w:r>
                </w:p>
                <w:p>
                  <w:pPr>
                    <w:spacing w:before="20" w:line="182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全国第1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经管类专业</w:t>
                  </w:r>
                </w:p>
                <w:p>
                  <w:pPr>
                    <w:spacing w:before="24" w:line="181" w:lineRule="auto"/>
                    <w:ind w:left="3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3"/>
                      <w:sz w:val="35"/>
                      <w:szCs w:val="35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6" o:spid="_x0000_s1036" style="position:absolute;left:0pt;margin-left:91.5pt;margin-top:7.7pt;height:29.9pt;width:2.85pt;z-index:251675648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7" o:spid="_x0000_s1037" style="position:absolute;left:0pt;margin-left:263.05pt;margin-top:7.7pt;height:29.9pt;width:2.85pt;z-index:251671552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8" o:spid="_x0000_s1038" style="position:absolute;left:0pt;margin-left:416.8pt;margin-top:7.7pt;height:29.9pt;width:2.85pt;z-index:251672576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33"/>
          <w:sz w:val="24"/>
          <w:szCs w:val="24"/>
        </w:rPr>
        <w:t>院校数量排名</w:t>
      </w:r>
    </w:p>
    <w:p>
      <w:pPr>
        <w:spacing w:before="22" w:line="182" w:lineRule="auto"/>
        <w:ind w:left="2090"/>
        <w:outlineLvl w:val="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7"/>
          <w:sz w:val="35"/>
          <w:szCs w:val="35"/>
        </w:rPr>
        <w:t>全国第1</w:t>
      </w:r>
    </w:p>
    <w:p>
      <w:pPr>
        <w:pStyle w:val="2"/>
        <w:spacing w:line="404" w:lineRule="auto"/>
      </w:pPr>
    </w:p>
    <w:p>
      <w:pPr>
        <w:spacing w:before="104" w:line="177" w:lineRule="auto"/>
        <w:ind w:left="2098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9" o:spid="_x0000_s1039" style="position:absolute;left:0pt;margin-left:91.5pt;margin-top:7.7pt;height:29.9pt;width:2.85pt;z-index:251676672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40" o:spid="_x0000_s1040" style="position:absolute;left:0pt;margin-left:263.05pt;margin-top:7.7pt;height:29.9pt;width:2.85pt;z-index:251673600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41" o:spid="_x0000_s1041" style="position:absolute;left:0pt;margin-left:416.8pt;margin-top:7.7pt;height:29.9pt;width:2.85pt;z-index:251674624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8"/>
          <w:sz w:val="24"/>
          <w:szCs w:val="24"/>
        </w:rPr>
        <w:t>就业率</w:t>
      </w:r>
    </w:p>
    <w:p>
      <w:pPr>
        <w:spacing w:before="24" w:line="181" w:lineRule="auto"/>
        <w:ind w:left="210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3"/>
          <w:sz w:val="35"/>
          <w:szCs w:val="35"/>
        </w:rPr>
        <w:t>世界前300</w:t>
      </w: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4" w:line="210" w:lineRule="auto"/>
        <w:ind w:left="1261" w:right="1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胡安卡洛斯国王大学创立于1996年，以西班牙前任国王名字命名。自建校之初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，</w:t>
      </w:r>
      <w:r>
        <w:rPr>
          <w:rFonts w:ascii="微软雅黑" w:hAnsi="微软雅黑" w:eastAsia="微软雅黑" w:cs="微软雅黑"/>
          <w:color w:val="333334"/>
          <w:spacing w:val="53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一直得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到前任国王胡安·卡洛斯一世的大力支持。</w:t>
      </w:r>
    </w:p>
    <w:p>
      <w:pPr>
        <w:spacing w:before="282" w:line="209" w:lineRule="auto"/>
        <w:ind w:left="1260" w:right="13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学校一直以跨学科研究成果来解决问题为目的，专注于教学和研究。并且凭借其优良的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学术项目和高质量的国际科学研究跻身于首都马德里最好的大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学之列。</w:t>
      </w:r>
    </w:p>
    <w:p>
      <w:pPr>
        <w:spacing w:before="282" w:line="175" w:lineRule="auto"/>
        <w:ind w:left="12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胡安卡洛斯国王大学是马德里自治大区的六所公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立大学之一。</w:t>
      </w:r>
    </w:p>
    <w:p>
      <w:pPr>
        <w:spacing w:line="175" w:lineRule="auto"/>
        <w:rPr>
          <w:rFonts w:ascii="微软雅黑" w:hAnsi="微软雅黑" w:eastAsia="微软雅黑" w:cs="微软雅黑"/>
          <w:sz w:val="24"/>
          <w:szCs w:val="24"/>
        </w:rPr>
        <w:sectPr>
          <w:pgSz w:w="11906" w:h="16838"/>
          <w:pgMar w:top="400" w:right="0" w:bottom="400" w:left="11" w:header="0" w:footer="0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219" w:line="182" w:lineRule="auto"/>
        <w:ind w:left="39"/>
        <w:outlineLvl w:val="1"/>
        <w:rPr>
          <w:rFonts w:ascii="微软雅黑" w:hAnsi="微软雅黑" w:eastAsia="微软雅黑" w:cs="微软雅黑"/>
          <w:sz w:val="51"/>
          <w:szCs w:val="51"/>
        </w:rPr>
      </w:pPr>
      <w:r>
        <w:rPr>
          <w:rFonts w:ascii="微软雅黑" w:hAnsi="微软雅黑" w:eastAsia="微软雅黑" w:cs="微软雅黑"/>
          <w:b/>
          <w:bCs/>
          <w:color w:val="1A75B4"/>
          <w:sz w:val="51"/>
          <w:szCs w:val="51"/>
        </w:rPr>
        <w:t>CEDEU</w:t>
      </w:r>
      <w:r>
        <w:rPr>
          <w:rFonts w:ascii="微软雅黑" w:hAnsi="微软雅黑" w:eastAsia="微软雅黑" w:cs="微软雅黑"/>
          <w:b/>
          <w:bCs/>
          <w:color w:val="1A75B4"/>
          <w:spacing w:val="4"/>
          <w:sz w:val="51"/>
          <w:szCs w:val="51"/>
        </w:rPr>
        <w:t>学院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2247900" cy="428244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785" cy="428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 w:line="256" w:lineRule="auto"/>
        <w:ind w:left="4145" w:right="992" w:hanging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学院是根据目前西班牙监管标准创建的大学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>学院中心，隶属于马德里的胡安卡洛斯国王大学，</w:t>
      </w:r>
    </w:p>
    <w:p>
      <w:pPr>
        <w:spacing w:before="6" w:line="255" w:lineRule="auto"/>
        <w:ind w:left="4140" w:right="992" w:firstLine="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主要负责经管和社会科学领域的教学、研究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、技术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咨询及知识传播。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大学研究中心的创建目的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是为了满足人们和社会在任何时候所出现的培训需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求，致力于创造社会价值，在创造、传播、保护和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应用知识方面实现包容、传播和卓越的一所大学中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1"/>
          <w:sz w:val="24"/>
          <w:szCs w:val="24"/>
        </w:rPr>
        <w:t>心。</w:t>
      </w:r>
    </w:p>
    <w:p>
      <w:pPr>
        <w:spacing w:before="287" w:line="256" w:lineRule="auto"/>
        <w:ind w:left="4138" w:right="992" w:firstLine="6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学院在教育、文化和体育部的西班牙大学中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心及学位注册处登记在册（RUCT28053897，已被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授权进行全日制及半日制的官方学位研究学习。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  <w:r>
        <w:pict>
          <v:rect id="_x0000_s1042" o:spid="_x0000_s1042" o:spt="1" style="position:absolute;left:0pt;margin-left:81.65pt;margin-top:4.8pt;height:68.55pt;width:445.75pt;z-index:251679744;mso-width-relative:page;mso-height-relative:page;" fillcolor="#EAA433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212725</wp:posOffset>
            </wp:positionV>
            <wp:extent cx="4514215" cy="281495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4297" cy="2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 w:line="172" w:lineRule="auto"/>
        <w:ind w:left="18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43536"/>
          <w:spacing w:val="2"/>
          <w:sz w:val="34"/>
          <w:szCs w:val="34"/>
        </w:rPr>
        <w:t>西班牙</w:t>
      </w:r>
    </w:p>
    <w:p>
      <w:pPr>
        <w:spacing w:before="1" w:line="179" w:lineRule="auto"/>
        <w:ind w:left="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43536"/>
          <w:spacing w:val="6"/>
          <w:sz w:val="34"/>
          <w:szCs w:val="34"/>
        </w:rPr>
        <w:t>教育部可查</w:t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270" w:lineRule="exact"/>
      </w:pPr>
      <w:r>
        <w:rPr>
          <w:position w:val="-5"/>
        </w:rPr>
        <w:pict>
          <v:shape id="_x0000_s1043" o:spid="_x0000_s1043" style="height:13.5pt;width:64.65pt;" filled="f" stroked="t" coordsize="1293,270" path="m0,251l1279,251,1066,11e">
            <v:fill on="f" focussize="0,0"/>
            <v:stroke weight="1.78pt" color="#D72B29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270" w:lineRule="exact"/>
        <w:sectPr>
          <w:pgSz w:w="11906" w:h="16838"/>
          <w:pgMar w:top="400" w:right="0" w:bottom="400" w:left="1357" w:header="0" w:footer="0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line="1992" w:lineRule="exact"/>
        <w:ind w:firstLine="885"/>
      </w:pPr>
      <w:r>
        <w:pict>
          <v:shape id="_x0000_s1044" o:spid="_x0000_s1044" style="position:absolute;left:0pt;margin-left:157.4pt;margin-top:2.3pt;height:96pt;width:76.5pt;z-index:251683840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5" o:spid="_x0000_s1045" style="position:absolute;left:0pt;margin-left:257.25pt;margin-top:2.3pt;height:96pt;width:93.4pt;z-index:251682816;mso-width-relative:page;mso-height-relative:page;" filled="f" stroked="t" coordsize="1868,1920" path="m10,1909l695,1909c1402,1909,1857,1591,1857,952c1857,310,1402,10,669,10l10,10,10,1909xm490,1604l490,312,639,312c1087,312,1367,487,1367,952c1367,1414,1087,1604,639,1604l490,1604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6" o:spid="_x0000_s1046" style="position:absolute;left:0pt;margin-left:373.15pt;margin-top:2.3pt;height:96pt;width:76.5pt;z-index:251684864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7" o:spid="_x0000_s1047" style="position:absolute;left:0pt;margin-left:472.35pt;margin-top:2.3pt;height:97.8pt;width:94.2pt;z-index:251681792;mso-width-relative:page;mso-height-relative:page;" filled="f" stroked="t" coordsize="1883,1956" path="m945,1945c1532,1945,1873,1686,1873,1054l1873,10,1412,10,1412,1088c1412,1483,1230,1617,945,1617c662,1617,490,1483,490,1088l490,10,10,10,10,1054c10,1686,360,1945,945,1945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rPr>
          <w:position w:val="-39"/>
        </w:rPr>
        <w:pict>
          <v:shape id="_x0000_s1048" o:spid="_x0000_s1048" style="height:99.6pt;width:94.35pt;" filled="f" stroked="t" coordsize="1886,1991" path="m1110,1981c1422,1981,1678,1884,1876,1701l1623,1465c1493,1576,1331,1653,1126,1653c747,1653,500,1404,500,990c500,582,773,336,1136,336c1318,336,1458,402,1578,495l1831,253c1675,125,1432,10,1126,10c519,10,10,377,10,1003c10,1637,503,1981,1110,1981e">
            <v:fill on="f" focussize="0,0"/>
            <v:stroke weight="1pt" color="#FFFFFF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232" w:line="180" w:lineRule="auto"/>
        <w:ind w:left="2748"/>
        <w:outlineLvl w:val="0"/>
        <w:rPr>
          <w:rFonts w:ascii="微软雅黑" w:hAnsi="微软雅黑" w:eastAsia="微软雅黑" w:cs="微软雅黑"/>
          <w:sz w:val="54"/>
          <w:szCs w:val="54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-4535170</wp:posOffset>
            </wp:positionV>
            <wp:extent cx="7560310" cy="507174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507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-1"/>
          <w:sz w:val="54"/>
          <w:szCs w:val="54"/>
        </w:rPr>
        <w:t>中国教育部涉外监管网可查</w:t>
      </w:r>
    </w:p>
    <w:p>
      <w:pPr>
        <w:spacing w:before="166" w:line="92" w:lineRule="exact"/>
        <w:ind w:firstLine="5223"/>
      </w:pPr>
      <w:r>
        <w:rPr>
          <w:position w:val="-1"/>
        </w:rPr>
        <w:drawing>
          <wp:inline distT="0" distB="0" distL="0" distR="0">
            <wp:extent cx="957580" cy="577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8024" cy="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line="4212" w:lineRule="exact"/>
        <w:ind w:firstLine="1381"/>
      </w:pPr>
      <w:r>
        <w:rPr>
          <w:position w:val="-84"/>
        </w:rPr>
        <w:drawing>
          <wp:inline distT="0" distB="0" distL="0" distR="0">
            <wp:extent cx="5696585" cy="26746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6931" cy="26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1656" w:lineRule="exact"/>
        <w:ind w:firstLine="1396"/>
      </w:pPr>
      <w:r>
        <w:rPr>
          <w:position w:val="-33"/>
        </w:rPr>
        <w:drawing>
          <wp:inline distT="0" distB="0" distL="0" distR="0">
            <wp:extent cx="5687060" cy="1050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7548" cy="10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56" w:lineRule="exact"/>
        <w:sectPr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258" w:line="179" w:lineRule="auto"/>
        <w:ind w:left="1324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3"/>
          <w:sz w:val="60"/>
          <w:szCs w:val="60"/>
        </w:rPr>
        <w:t>项目介绍</w:t>
      </w:r>
    </w:p>
    <w:p>
      <w:pPr>
        <w:spacing w:before="63" w:line="174" w:lineRule="auto"/>
        <w:ind w:left="1368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6396990</wp:posOffset>
            </wp:positionH>
            <wp:positionV relativeFrom="paragraph">
              <wp:posOffset>82550</wp:posOffset>
            </wp:positionV>
            <wp:extent cx="367030" cy="9779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287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7"/>
          <w:sz w:val="28"/>
          <w:szCs w:val="28"/>
        </w:rPr>
        <w:t>PROGRAMME  INTRODUCTION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71" w:line="178" w:lineRule="auto"/>
        <w:ind w:left="205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FFFFFF"/>
          <w:spacing w:val="4"/>
          <w:sz w:val="40"/>
          <w:szCs w:val="40"/>
        </w:rPr>
        <w:t>金融学硕士</w:t>
      </w:r>
    </w:p>
    <w:p>
      <w:pPr>
        <w:spacing w:before="123" w:line="20" w:lineRule="exact"/>
        <w:ind w:firstLine="2042"/>
      </w:pPr>
      <w:r>
        <w:pict>
          <v:shape id="_x0000_s1049" o:spid="_x0000_s1049" style="height:1pt;width:388.05pt;" filled="f" stroked="t" coordsize="7760,20" path="m0,10l7760,10e">
            <v:fill on="f" focussize="0,0"/>
            <v:stroke weight="1pt" color="#FFFFFF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465" w:lineRule="auto"/>
      </w:pPr>
    </w:p>
    <w:p>
      <w:pPr>
        <w:spacing w:before="103" w:line="268" w:lineRule="auto"/>
        <w:ind w:left="2054" w:right="2075" w:hanging="3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金融学项目是为响应国家坚定不移走人才强国战略，</w:t>
      </w:r>
      <w:r>
        <w:rPr>
          <w:rFonts w:ascii="微软雅黑" w:hAnsi="微软雅黑" w:eastAsia="微软雅黑" w:cs="微软雅黑"/>
          <w:color w:val="FFFFFF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为中国金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融领域有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0"/>
          <w:sz w:val="24"/>
          <w:szCs w:val="24"/>
        </w:rPr>
        <w:t>丰富实战管理经验的专业人才量身打造的项目。该项目将金融和管</w:t>
      </w: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理同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0"/>
          <w:sz w:val="24"/>
          <w:szCs w:val="24"/>
        </w:rPr>
        <w:t>时作为主要方向，旨在升华拥有管理才能和金融专业知识行业管理</w:t>
      </w: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者的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学识与眼界，</w:t>
      </w:r>
      <w:r>
        <w:rPr>
          <w:rFonts w:ascii="微软雅黑" w:hAnsi="微软雅黑" w:eastAsia="微软雅黑" w:cs="微软雅黑"/>
          <w:color w:val="FFFFFF"/>
          <w:spacing w:val="-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提高学员开拓创新能力。学员不仅能获得拓展商业和金融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世界的前沿知识，也能获得开展独立且复杂金融项目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的研究技能，</w:t>
      </w:r>
      <w:r>
        <w:rPr>
          <w:rFonts w:ascii="微软雅黑" w:hAnsi="微软雅黑" w:eastAsia="微软雅黑" w:cs="微软雅黑"/>
          <w:color w:val="FFFFFF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学会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如何在全球视角下理解并解决问题，</w:t>
      </w:r>
      <w:r>
        <w:rPr>
          <w:rFonts w:ascii="微软雅黑" w:hAnsi="微软雅黑" w:eastAsia="微软雅黑" w:cs="微软雅黑"/>
          <w:color w:val="FFFFFF"/>
          <w:spacing w:val="-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从而成为一个具有全球化视野的行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24"/>
          <w:szCs w:val="24"/>
        </w:rPr>
        <w:t>业领导者。</w:t>
      </w:r>
    </w:p>
    <w:p>
      <w:pPr>
        <w:spacing w:line="268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9" w:type="default"/>
          <w:pgSz w:w="11906" w:h="16838"/>
          <w:pgMar w:top="400" w:right="0" w:bottom="400" w:left="26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257" w:line="179" w:lineRule="auto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5"/>
          <w:sz w:val="60"/>
          <w:szCs w:val="60"/>
        </w:rPr>
        <w:t>课程介绍</w:t>
      </w:r>
    </w:p>
    <w:p>
      <w:pPr>
        <w:spacing w:before="64" w:line="174" w:lineRule="auto"/>
        <w:ind w:left="44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83185</wp:posOffset>
            </wp:positionV>
            <wp:extent cx="367030" cy="9779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287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1"/>
          <w:sz w:val="28"/>
          <w:szCs w:val="28"/>
        </w:rPr>
        <w:t>COURSE INTRODUCTION</w:t>
      </w:r>
    </w:p>
    <w:p>
      <w:pPr>
        <w:spacing w:before="6"/>
      </w:pPr>
    </w:p>
    <w:p>
      <w:pPr>
        <w:spacing w:before="6"/>
      </w:pPr>
    </w:p>
    <w:p>
      <w:pPr>
        <w:spacing w:before="5"/>
      </w:pPr>
    </w:p>
    <w:tbl>
      <w:tblPr>
        <w:tblStyle w:val="5"/>
        <w:tblW w:w="9094" w:type="dxa"/>
        <w:tblInd w:w="11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9"/>
        <w:gridCol w:w="587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754" w:hRule="atLeast"/>
        </w:trPr>
        <w:tc>
          <w:tcPr>
            <w:tcW w:w="3219" w:type="dxa"/>
            <w:shd w:val="clear" w:color="auto" w:fill="1A75B4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50" o:spid="_x0000_s1050" o:spt="1" style="position:absolute;left:0pt;margin-left:0pt;margin-top:0pt;height:37.75pt;width:18.15pt;mso-position-horizontal-relative:page;mso-position-vertical-relative:page;z-index:251687936;mso-width-relative:page;mso-height-relative:page;" fillcolor="#EAA433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5875" w:type="dxa"/>
            <w:shd w:val="clear" w:color="auto" w:fill="1A75B4"/>
            <w:vAlign w:val="top"/>
          </w:tcPr>
          <w:p>
            <w:pPr>
              <w:spacing w:before="242" w:line="175" w:lineRule="auto"/>
              <w:ind w:left="506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32"/>
                <w:szCs w:val="32"/>
              </w:rPr>
              <w:t>专业必修课程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795" w:hRule="atLeast"/>
        </w:trPr>
        <w:tc>
          <w:tcPr>
            <w:tcW w:w="3219" w:type="dxa"/>
            <w:vAlign w:val="top"/>
          </w:tcPr>
          <w:p>
            <w:pPr>
              <w:spacing w:before="342" w:line="176" w:lineRule="auto"/>
              <w:ind w:left="42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宏观经济学</w:t>
            </w:r>
          </w:p>
        </w:tc>
        <w:tc>
          <w:tcPr>
            <w:tcW w:w="587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7" w:line="171" w:lineRule="auto"/>
              <w:ind w:left="421"/>
            </w:pPr>
            <w:r>
              <w:rPr>
                <w:color w:val="333334"/>
                <w:spacing w:val="-2"/>
              </w:rPr>
              <w:t>Macroeconomics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286" w:line="176" w:lineRule="auto"/>
              <w:ind w:left="424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微观经济学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1" w:lineRule="auto"/>
              <w:ind w:left="417"/>
            </w:pPr>
            <w:r>
              <w:rPr>
                <w:color w:val="333334"/>
                <w:spacing w:val="-2"/>
              </w:rPr>
              <w:t>Microeconomics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219" w:type="dxa"/>
            <w:vAlign w:val="top"/>
          </w:tcPr>
          <w:p>
            <w:pPr>
              <w:spacing w:before="272" w:line="175" w:lineRule="auto"/>
              <w:ind w:left="42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24"/>
                <w:szCs w:val="24"/>
              </w:rPr>
              <w:t>数字金融</w:t>
            </w:r>
          </w:p>
        </w:tc>
        <w:tc>
          <w:tcPr>
            <w:tcW w:w="587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17"/>
            </w:pPr>
            <w:r>
              <w:rPr>
                <w:color w:val="333334"/>
                <w:spacing w:val="-3"/>
              </w:rPr>
              <w:t>Digital</w:t>
            </w:r>
            <w:r>
              <w:rPr>
                <w:color w:val="333334"/>
                <w:spacing w:val="25"/>
                <w:w w:val="101"/>
              </w:rPr>
              <w:t xml:space="preserve"> </w:t>
            </w:r>
            <w:r>
              <w:rPr>
                <w:color w:val="333334"/>
                <w:spacing w:val="-3"/>
              </w:rPr>
              <w:t>Finance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300" w:line="174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财务管理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29"/>
            </w:pPr>
            <w:r>
              <w:rPr>
                <w:color w:val="333334"/>
                <w:spacing w:val="-2"/>
              </w:rPr>
              <w:t>Financial</w:t>
            </w:r>
            <w:r>
              <w:rPr>
                <w:color w:val="333334"/>
                <w:spacing w:val="19"/>
                <w:w w:val="101"/>
              </w:rPr>
              <w:t xml:space="preserve"> </w:t>
            </w:r>
            <w:r>
              <w:rPr>
                <w:color w:val="333334"/>
                <w:spacing w:val="-2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219" w:type="dxa"/>
            <w:vAlign w:val="top"/>
          </w:tcPr>
          <w:p>
            <w:pPr>
              <w:spacing w:before="283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24"/>
                <w:szCs w:val="24"/>
              </w:rPr>
              <w:t>统计学</w:t>
            </w:r>
          </w:p>
        </w:tc>
        <w:tc>
          <w:tcPr>
            <w:tcW w:w="587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7" w:line="174" w:lineRule="auto"/>
              <w:ind w:left="412"/>
            </w:pPr>
            <w:r>
              <w:rPr>
                <w:color w:val="333334"/>
                <w:spacing w:val="-2"/>
              </w:rPr>
              <w:t>Statistics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269" w:line="176" w:lineRule="auto"/>
              <w:ind w:left="42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金融衍生品与风险管理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29"/>
            </w:pPr>
            <w:r>
              <w:rPr>
                <w:color w:val="333334"/>
                <w:spacing w:val="-2"/>
              </w:rPr>
              <w:t>Financial</w:t>
            </w:r>
            <w:r>
              <w:rPr>
                <w:color w:val="333334"/>
                <w:spacing w:val="21"/>
                <w:w w:val="101"/>
              </w:rPr>
              <w:t xml:space="preserve"> </w:t>
            </w:r>
            <w:r>
              <w:rPr>
                <w:color w:val="333334"/>
                <w:spacing w:val="-2"/>
              </w:rPr>
              <w:t>Derivatives and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2"/>
              </w:rPr>
              <w:t>Risk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2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219" w:type="dxa"/>
            <w:vAlign w:val="top"/>
          </w:tcPr>
          <w:p>
            <w:pPr>
              <w:spacing w:before="255" w:line="176" w:lineRule="auto"/>
              <w:ind w:left="42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兼并与收购</w:t>
            </w:r>
          </w:p>
        </w:tc>
        <w:tc>
          <w:tcPr>
            <w:tcW w:w="5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24"/>
            </w:pPr>
            <w:r>
              <w:rPr>
                <w:color w:val="333334"/>
                <w:spacing w:val="-2"/>
              </w:rPr>
              <w:t>Merger and</w:t>
            </w:r>
            <w:r>
              <w:rPr>
                <w:color w:val="333334"/>
                <w:spacing w:val="23"/>
                <w:w w:val="101"/>
              </w:rPr>
              <w:t xml:space="preserve"> </w:t>
            </w:r>
            <w:r>
              <w:rPr>
                <w:color w:val="333334"/>
                <w:spacing w:val="-2"/>
              </w:rPr>
              <w:t>Acquisition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280" w:line="176" w:lineRule="auto"/>
              <w:ind w:left="42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货币银行学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09"/>
            </w:pPr>
            <w:r>
              <w:rPr>
                <w:color w:val="333334"/>
                <w:spacing w:val="-2"/>
              </w:rPr>
              <w:t>Currency</w:t>
            </w:r>
            <w:r>
              <w:rPr>
                <w:color w:val="333334"/>
                <w:spacing w:val="21"/>
              </w:rPr>
              <w:t xml:space="preserve"> </w:t>
            </w:r>
            <w:r>
              <w:rPr>
                <w:color w:val="333334"/>
                <w:spacing w:val="-2"/>
              </w:rPr>
              <w:t>Banking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32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3219" w:type="dxa"/>
            <w:shd w:val="clear" w:color="auto" w:fill="1A75B4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51" o:spid="_x0000_s1051" o:spt="1" style="position:absolute;left:0pt;margin-left:0pt;margin-top:0pt;height:37.85pt;width:18.2pt;mso-position-horizontal-relative:page;mso-position-vertical-relative:page;z-index:251688960;mso-width-relative:page;mso-height-relative:page;" fillcolor="#EAA433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5875" w:type="dxa"/>
            <w:shd w:val="clear" w:color="auto" w:fill="1A75B4"/>
            <w:vAlign w:val="top"/>
          </w:tcPr>
          <w:p>
            <w:pPr>
              <w:spacing w:before="249" w:line="175" w:lineRule="auto"/>
              <w:ind w:left="822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32"/>
                <w:szCs w:val="32"/>
              </w:rPr>
              <w:t>选修课程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757" w:hRule="atLeast"/>
        </w:trPr>
        <w:tc>
          <w:tcPr>
            <w:tcW w:w="3219" w:type="dxa"/>
            <w:vAlign w:val="top"/>
          </w:tcPr>
          <w:p>
            <w:pPr>
              <w:spacing w:before="293" w:line="174" w:lineRule="auto"/>
              <w:ind w:left="44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5"/>
                <w:sz w:val="24"/>
                <w:szCs w:val="24"/>
              </w:rPr>
              <w:t>国际贸易</w:t>
            </w:r>
          </w:p>
        </w:tc>
        <w:tc>
          <w:tcPr>
            <w:tcW w:w="587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417"/>
            </w:pPr>
            <w:r>
              <w:rPr>
                <w:color w:val="333334"/>
                <w:spacing w:val="-1"/>
              </w:rPr>
              <w:t>International Trade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274" w:line="175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危机管理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pStyle w:val="6"/>
              <w:spacing w:before="281" w:line="174" w:lineRule="auto"/>
              <w:ind w:left="417"/>
            </w:pPr>
            <w:r>
              <w:rPr>
                <w:color w:val="333334"/>
                <w:spacing w:val="-2"/>
              </w:rPr>
              <w:t>Crisis</w:t>
            </w:r>
            <w:r>
              <w:rPr>
                <w:color w:val="333334"/>
                <w:spacing w:val="21"/>
              </w:rPr>
              <w:t xml:space="preserve"> </w:t>
            </w:r>
            <w:r>
              <w:rPr>
                <w:color w:val="333334"/>
                <w:spacing w:val="-2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219" w:type="dxa"/>
            <w:vAlign w:val="top"/>
          </w:tcPr>
          <w:p>
            <w:pPr>
              <w:spacing w:before="258" w:line="176" w:lineRule="auto"/>
              <w:ind w:left="43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24"/>
                <w:szCs w:val="24"/>
              </w:rPr>
              <w:t>战略管理</w:t>
            </w:r>
          </w:p>
        </w:tc>
        <w:tc>
          <w:tcPr>
            <w:tcW w:w="5875" w:type="dxa"/>
            <w:vAlign w:val="top"/>
          </w:tcPr>
          <w:p>
            <w:pPr>
              <w:pStyle w:val="6"/>
              <w:spacing w:before="267" w:line="174" w:lineRule="auto"/>
              <w:ind w:left="412"/>
            </w:pPr>
            <w:r>
              <w:rPr>
                <w:color w:val="333334"/>
                <w:spacing w:val="-2"/>
              </w:rPr>
              <w:t>Strategic</w:t>
            </w:r>
            <w:r>
              <w:rPr>
                <w:color w:val="333334"/>
                <w:spacing w:val="24"/>
              </w:rPr>
              <w:t xml:space="preserve"> </w:t>
            </w:r>
            <w:r>
              <w:rPr>
                <w:color w:val="333334"/>
                <w:spacing w:val="-2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219" w:type="dxa"/>
            <w:shd w:val="clear" w:color="auto" w:fill="E1EAEE"/>
            <w:vAlign w:val="top"/>
          </w:tcPr>
          <w:p>
            <w:pPr>
              <w:spacing w:before="240" w:line="177" w:lineRule="auto"/>
              <w:ind w:left="42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24"/>
                <w:szCs w:val="24"/>
              </w:rPr>
              <w:t>博弈论</w:t>
            </w:r>
          </w:p>
        </w:tc>
        <w:tc>
          <w:tcPr>
            <w:tcW w:w="5875" w:type="dxa"/>
            <w:shd w:val="clear" w:color="auto" w:fill="E1EAEE"/>
            <w:vAlign w:val="top"/>
          </w:tcPr>
          <w:p>
            <w:pPr>
              <w:pStyle w:val="6"/>
              <w:spacing w:before="285" w:line="179" w:lineRule="auto"/>
              <w:ind w:left="417"/>
            </w:pPr>
            <w:r>
              <w:rPr>
                <w:color w:val="333334"/>
                <w:spacing w:val="-1"/>
              </w:rPr>
              <w:t>Game Theory</w:t>
            </w:r>
          </w:p>
        </w:tc>
      </w:tr>
    </w:tbl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86" w:line="176" w:lineRule="auto"/>
        <w:ind w:left="284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67696B"/>
          <w:spacing w:val="3"/>
          <w:sz w:val="20"/>
          <w:szCs w:val="20"/>
        </w:rPr>
        <w:t>*以上课程设置会根据学校需求适当调整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" w:type="default"/>
          <w:pgSz w:w="11906" w:h="16838"/>
          <w:pgMar w:top="400" w:right="1245" w:bottom="400" w:left="1321" w:header="0" w:footer="0" w:gutter="0"/>
          <w:cols w:space="720" w:num="1"/>
        </w:sectPr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258" w:line="179" w:lineRule="auto"/>
        <w:ind w:left="31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9"/>
          <w:sz w:val="60"/>
          <w:szCs w:val="60"/>
        </w:rPr>
        <w:t>师资介绍</w:t>
      </w:r>
    </w:p>
    <w:p>
      <w:pPr>
        <w:spacing w:before="63" w:line="174" w:lineRule="auto"/>
        <w:ind w:left="315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5751195</wp:posOffset>
            </wp:positionH>
            <wp:positionV relativeFrom="paragraph">
              <wp:posOffset>82550</wp:posOffset>
            </wp:positionV>
            <wp:extent cx="367030" cy="9779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1"/>
          <w:sz w:val="28"/>
          <w:szCs w:val="28"/>
        </w:rPr>
        <w:t>TEACHER INTRODUCTION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158750</wp:posOffset>
            </wp:positionV>
            <wp:extent cx="1537970" cy="157162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7995" cy="157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 w:line="175" w:lineRule="auto"/>
        <w:ind w:left="292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5"/>
          <w:sz w:val="36"/>
          <w:szCs w:val="36"/>
        </w:rPr>
        <w:t>殷教授</w:t>
      </w:r>
    </w:p>
    <w:p>
      <w:pPr>
        <w:spacing w:before="52" w:line="60" w:lineRule="exact"/>
        <w:ind w:firstLine="2901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047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280" w:lineRule="auto"/>
        <w:ind w:left="28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中国管理科学研究院社会信用体系建设发展中心专家委员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会副主席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国资委职业经理研究中心特聘专家</w:t>
      </w:r>
    </w:p>
    <w:p>
      <w:pPr>
        <w:spacing w:before="2" w:line="279" w:lineRule="auto"/>
        <w:ind w:left="2847" w:right="239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清华大学能源规划与管理训练中心特聘专家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9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北大经济管理学院客座教授</w:t>
      </w:r>
    </w:p>
    <w:p>
      <w:pPr>
        <w:spacing w:before="2" w:line="176" w:lineRule="auto"/>
        <w:ind w:left="28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5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资深危机管理与风险管理专家</w:t>
      </w:r>
    </w:p>
    <w:p>
      <w:pPr>
        <w:pStyle w:val="2"/>
        <w:spacing w:line="274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1537970" cy="158432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7982" cy="158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76" w:lineRule="auto"/>
        <w:ind w:left="290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4"/>
          <w:sz w:val="36"/>
          <w:szCs w:val="36"/>
        </w:rPr>
        <w:t>钟教授</w:t>
      </w:r>
    </w:p>
    <w:p>
      <w:pPr>
        <w:spacing w:before="53" w:line="60" w:lineRule="exact"/>
        <w:ind w:firstLine="289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2047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280" w:lineRule="auto"/>
        <w:ind w:left="2836" w:right="24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曾出任世界银行和世界粮食计划署项目官员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青岛理工大学经济教学部主任</w:t>
      </w:r>
    </w:p>
    <w:p>
      <w:pPr>
        <w:spacing w:before="2" w:line="174" w:lineRule="auto"/>
        <w:ind w:left="28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为北大清华VD班授课</w:t>
      </w: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537970" cy="155892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7982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75" w:lineRule="auto"/>
        <w:ind w:left="291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6"/>
          <w:sz w:val="36"/>
          <w:szCs w:val="36"/>
        </w:rPr>
        <w:t>王教授</w:t>
      </w:r>
    </w:p>
    <w:p>
      <w:pPr>
        <w:spacing w:before="53" w:line="60" w:lineRule="exact"/>
        <w:ind w:firstLine="289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2047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279" w:lineRule="auto"/>
        <w:ind w:left="2836" w:right="217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华中科技大学管理学院财务金融系教授、硕导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华中科技大学企业管理专业博士</w:t>
      </w:r>
    </w:p>
    <w:p>
      <w:pPr>
        <w:pStyle w:val="2"/>
        <w:spacing w:before="1" w:line="280" w:lineRule="auto"/>
        <w:ind w:left="3132" w:right="1264" w:hanging="296"/>
        <w:rPr>
          <w:rFonts w:ascii="微软雅黑" w:hAnsi="微软雅黑" w:eastAsia="微软雅黑" w:cs="微软雅黑"/>
          <w:sz w:val="24"/>
          <w:szCs w:val="24"/>
        </w:rPr>
      </w:pPr>
      <w:r>
        <w:rPr>
          <w:color w:val="D1994D"/>
          <w:spacing w:val="-4"/>
          <w:position w:val="6"/>
          <w:sz w:val="19"/>
          <w:szCs w:val="19"/>
        </w:rPr>
        <w:t xml:space="preserve">o   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2013年McFarlan(麦克法兰)大奖得主国家自然基金委员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会同行评议专家</w:t>
      </w: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spacing w:before="87" w:line="182" w:lineRule="auto"/>
        <w:ind w:left="53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898A8D"/>
          <w:spacing w:val="-1"/>
          <w:sz w:val="20"/>
          <w:szCs w:val="20"/>
        </w:rPr>
        <w:t>上述师资阵容会根据学校专业项目等具体需求适当调整，具体情况以学校最终决定的师资配备为准。</w:t>
      </w:r>
    </w:p>
    <w:p>
      <w:pPr>
        <w:spacing w:line="18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400" w:right="818" w:bottom="400" w:left="997" w:header="0" w:footer="0" w:gutter="0"/>
          <w:cols w:space="720" w:num="1"/>
        </w:sectPr>
      </w:pP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pStyle w:val="2"/>
        <w:spacing w:line="292" w:lineRule="auto"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537970" cy="155892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7995" cy="155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 w:line="178" w:lineRule="auto"/>
        <w:ind w:left="291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5"/>
          <w:sz w:val="36"/>
          <w:szCs w:val="36"/>
        </w:rPr>
        <w:t>臧教授</w:t>
      </w:r>
    </w:p>
    <w:p>
      <w:pPr>
        <w:spacing w:before="52" w:line="60" w:lineRule="exact"/>
        <w:ind w:firstLine="289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2048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278" w:lineRule="auto"/>
        <w:ind w:left="2836" w:right="1589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中国农业大学经济管理学院教授，博士生导师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6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历任中国农业大学校长秘书、金融系主任等职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8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北京市高等学校教学名师</w:t>
      </w:r>
    </w:p>
    <w:p>
      <w:pPr>
        <w:spacing w:before="9" w:line="176" w:lineRule="auto"/>
        <w:ind w:left="28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首届全球金融类10强华人讲师</w:t>
      </w:r>
    </w:p>
    <w:p>
      <w:pPr>
        <w:pStyle w:val="2"/>
        <w:spacing w:line="304" w:lineRule="auto"/>
      </w:pPr>
    </w:p>
    <w:p>
      <w:pPr>
        <w:pStyle w:val="2"/>
        <w:spacing w:line="304" w:lineRule="auto"/>
      </w:pPr>
    </w:p>
    <w:p>
      <w:pPr>
        <w:pStyle w:val="2"/>
        <w:spacing w:line="305" w:lineRule="auto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1550670" cy="157162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0682" cy="157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75" w:lineRule="auto"/>
        <w:ind w:left="300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5"/>
          <w:sz w:val="36"/>
          <w:szCs w:val="36"/>
        </w:rPr>
        <w:t>卫教授</w:t>
      </w:r>
    </w:p>
    <w:p>
      <w:pPr>
        <w:spacing w:before="91" w:line="60" w:lineRule="exact"/>
        <w:ind w:firstLine="303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2048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79" w:lineRule="auto"/>
        <w:ind w:left="3283" w:right="480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215900</wp:posOffset>
            </wp:positionV>
            <wp:extent cx="67310" cy="76581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76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武汉大学经济与管理学院工商管理系教授，博士生导师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武汉大学MBA/EMBA中心副主任，副系主任</w:t>
      </w:r>
    </w:p>
    <w:p>
      <w:pPr>
        <w:spacing w:before="1" w:line="183" w:lineRule="auto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主要研究方向：组织行为与战略管理，人力资源，创新创业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555750" cy="157353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5673" cy="157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75" w:lineRule="auto"/>
        <w:ind w:left="300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5"/>
          <w:sz w:val="36"/>
          <w:szCs w:val="36"/>
        </w:rPr>
        <w:t>毛教授</w:t>
      </w:r>
    </w:p>
    <w:p>
      <w:pPr>
        <w:spacing w:before="91" w:line="60" w:lineRule="exact"/>
        <w:ind w:firstLine="303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2048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3" w:line="280" w:lineRule="auto"/>
        <w:ind w:left="2985" w:right="167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北京大学心理与认知科学学院副教授、博导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北京大学心理学系博士</w:t>
      </w:r>
    </w:p>
    <w:p>
      <w:pPr>
        <w:spacing w:before="1" w:line="176" w:lineRule="auto"/>
        <w:ind w:left="298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4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美国哈佛大学心理学系博士后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1560195" cy="155448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9915" cy="155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line="175" w:lineRule="auto"/>
        <w:ind w:left="299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4"/>
          <w:sz w:val="36"/>
          <w:szCs w:val="36"/>
        </w:rPr>
        <w:t>李教授</w:t>
      </w:r>
    </w:p>
    <w:p>
      <w:pPr>
        <w:spacing w:before="91" w:line="60" w:lineRule="exact"/>
        <w:ind w:firstLine="3030"/>
      </w:pPr>
      <w:r>
        <w:rPr>
          <w:position w:val="-1"/>
        </w:rPr>
        <w:drawing>
          <wp:inline distT="0" distB="0" distL="0" distR="0">
            <wp:extent cx="3720465" cy="3810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2048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1" w:line="183" w:lineRule="auto"/>
        <w:ind w:left="298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3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中央财经大学MBA中心教授，投资系博士生导师、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教授</w:t>
      </w:r>
    </w:p>
    <w:p>
      <w:pPr>
        <w:spacing w:before="167" w:line="280" w:lineRule="auto"/>
        <w:ind w:left="2985" w:right="7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D1994D"/>
          <w:spacing w:val="-1"/>
          <w:position w:val="5"/>
          <w:sz w:val="13"/>
          <w:szCs w:val="13"/>
        </w:rPr>
        <w:t>。</w:t>
      </w:r>
      <w:r>
        <w:rPr>
          <w:rFonts w:ascii="微软雅黑" w:hAnsi="微软雅黑" w:eastAsia="微软雅黑" w:cs="微软雅黑"/>
          <w:color w:val="D1994D"/>
          <w:spacing w:val="16"/>
          <w:position w:val="5"/>
          <w:sz w:val="13"/>
          <w:szCs w:val="13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中国人民大学法学博士、耶鲁大学日本研究硕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士、加州大学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3"/>
          <w:sz w:val="24"/>
          <w:szCs w:val="24"/>
        </w:rPr>
        <w:drawing>
          <wp:inline distT="0" distB="0" distL="0" distR="0">
            <wp:extent cx="67310" cy="6731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22" cy="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5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伯克利分校金融学硕士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86" w:line="182" w:lineRule="auto"/>
        <w:ind w:left="53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898A8D"/>
          <w:spacing w:val="-1"/>
          <w:sz w:val="20"/>
          <w:szCs w:val="20"/>
        </w:rPr>
        <w:t>上述师资阵容会根据学校专业项目等具体需求适当调整，具体情况以学校最终决定的师资配备为准。</w:t>
      </w:r>
    </w:p>
    <w:p>
      <w:pPr>
        <w:spacing w:line="18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400" w:right="1097" w:bottom="400" w:left="1300" w:header="0" w:footer="0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257" w:line="178" w:lineRule="auto"/>
        <w:ind w:left="28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12"/>
          <w:sz w:val="60"/>
          <w:szCs w:val="60"/>
        </w:rPr>
        <w:t>申请资料</w:t>
      </w:r>
    </w:p>
    <w:p>
      <w:pPr>
        <w:spacing w:before="58" w:line="186" w:lineRule="auto"/>
        <w:ind w:left="21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79375</wp:posOffset>
            </wp:positionV>
            <wp:extent cx="367030" cy="9779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1"/>
          <w:sz w:val="28"/>
          <w:szCs w:val="28"/>
        </w:rPr>
        <w:t>APPLICATION MATERIALS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  <w:r>
        <w:pict>
          <v:rect id="_x0000_s1052" o:spid="_x0000_s1052" o:spt="1" style="position:absolute;left:0pt;margin-left:0pt;margin-top:4.9pt;height:19.25pt;width:208.95pt;z-index:25170124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41" w:lineRule="auto"/>
      </w:pPr>
    </w:p>
    <w:p>
      <w:pPr>
        <w:pStyle w:val="2"/>
        <w:spacing w:line="3639" w:lineRule="exact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3810</wp:posOffset>
            </wp:positionV>
            <wp:extent cx="1312545" cy="231457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12559" cy="231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1108710</wp:posOffset>
            </wp:positionV>
            <wp:extent cx="2447925" cy="121221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48135" cy="121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2"/>
        </w:rPr>
        <w:pict>
          <v:shape id="_x0000_s1053" o:spid="_x0000_s1053" o:spt="202" type="#_x0000_t202" style="height:181.95pt;width:463.2pt;" fillcolor="#DDDDD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4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7" w:line="175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5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24" name="IM 1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IM 124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7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3"/>
                      <w:sz w:val="32"/>
                      <w:szCs w:val="32"/>
                    </w:rPr>
                    <w:t>入学申请表</w:t>
                  </w:r>
                </w:p>
                <w:p>
                  <w:pPr>
                    <w:spacing w:before="294" w:line="176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4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26" name="IM 1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 12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7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2"/>
                      <w:sz w:val="32"/>
                      <w:szCs w:val="32"/>
                    </w:rPr>
                    <w:t>身份证、护照扫描件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8" w:line="329" w:lineRule="auto"/>
                    <w:ind w:left="527" w:right="5014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C0A0A"/>
                      <w:position w:val="3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28" name="IM 1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IM 12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8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3"/>
                      <w:sz w:val="32"/>
                      <w:szCs w:val="32"/>
                    </w:rPr>
                    <w:t>学历、学位证书扫描件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position w:val="6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30" name="IM 1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 13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3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C0A0A"/>
                      <w:spacing w:val="-7"/>
                      <w:sz w:val="32"/>
                      <w:szCs w:val="32"/>
                    </w:rPr>
                    <w:t>电子证件照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before="214" w:line="177" w:lineRule="auto"/>
        <w:ind w:left="3200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333334"/>
          <w:spacing w:val="-5"/>
          <w:sz w:val="50"/>
          <w:szCs w:val="50"/>
        </w:rPr>
        <w:t>学位证书样本</w:t>
      </w:r>
    </w:p>
    <w:p>
      <w:pPr>
        <w:spacing w:before="79" w:line="234" w:lineRule="exact"/>
        <w:ind w:left="336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D82528"/>
          <w:spacing w:val="-3"/>
          <w:position w:val="-1"/>
          <w:sz w:val="24"/>
          <w:szCs w:val="24"/>
        </w:rPr>
        <w:t>（以官方学位证书为准）</w:t>
      </w:r>
    </w:p>
    <w:p>
      <w:pPr>
        <w:spacing w:line="6081" w:lineRule="exact"/>
        <w:ind w:firstLine="390"/>
      </w:pPr>
      <w:r>
        <w:rPr>
          <w:position w:val="-121"/>
        </w:rPr>
        <w:drawing>
          <wp:inline distT="0" distB="0" distL="0" distR="0">
            <wp:extent cx="5462905" cy="386143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63518" cy="38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81" w:lineRule="exact"/>
        <w:sectPr>
          <w:pgSz w:w="11906" w:h="16838"/>
          <w:pgMar w:top="400" w:right="1252" w:bottom="400" w:left="1322" w:header="0" w:footer="0" w:gutter="0"/>
          <w:cols w:space="720" w:num="1"/>
        </w:sectPr>
      </w:pPr>
    </w:p>
    <w:p>
      <w:pPr>
        <w:pStyle w:val="2"/>
        <w:spacing w:line="317" w:lineRule="auto"/>
      </w:pPr>
    </w:p>
    <w:p>
      <w:pPr>
        <w:pStyle w:val="2"/>
        <w:spacing w:line="317" w:lineRule="auto"/>
      </w:pPr>
    </w:p>
    <w:p>
      <w:pPr>
        <w:spacing w:before="257" w:line="180" w:lineRule="auto"/>
        <w:ind w:left="135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7"/>
          <w:sz w:val="60"/>
          <w:szCs w:val="60"/>
        </w:rPr>
        <w:t>学员评价</w:t>
      </w:r>
    </w:p>
    <w:p>
      <w:pPr>
        <w:spacing w:before="54" w:line="174" w:lineRule="auto"/>
        <w:ind w:left="1336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6419215</wp:posOffset>
            </wp:positionH>
            <wp:positionV relativeFrom="paragraph">
              <wp:posOffset>76835</wp:posOffset>
            </wp:positionV>
            <wp:extent cx="367030" cy="9779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2"/>
          <w:sz w:val="28"/>
          <w:szCs w:val="28"/>
        </w:rPr>
        <w:t>STUDENT EVALUATION</w:t>
      </w:r>
    </w:p>
    <w:p>
      <w:pPr>
        <w:pStyle w:val="2"/>
        <w:spacing w:line="423" w:lineRule="auto"/>
      </w:pPr>
    </w:p>
    <w:p>
      <w:pPr>
        <w:spacing w:line="3847" w:lineRule="exact"/>
      </w:pPr>
      <w:r>
        <w:rPr>
          <w:position w:val="-76"/>
        </w:rPr>
        <w:drawing>
          <wp:inline distT="0" distB="0" distL="0" distR="0">
            <wp:extent cx="7559675" cy="244221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4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8" w:lineRule="auto"/>
      </w:pPr>
    </w:p>
    <w:p>
      <w:pPr>
        <w:pStyle w:val="2"/>
        <w:spacing w:line="359" w:lineRule="auto"/>
      </w:pPr>
    </w:p>
    <w:p>
      <w:pPr>
        <w:pStyle w:val="2"/>
        <w:spacing w:line="3743" w:lineRule="exact"/>
        <w:ind w:firstLine="1128"/>
      </w:pPr>
      <w:r>
        <w:rPr>
          <w:position w:val="-74"/>
        </w:rPr>
        <w:pict>
          <v:group id="_x0000_s1054" o:spid="_x0000_s1054" o:spt="203" style="height:187.15pt;width:476.1pt;" coordsize="9522,3742">
            <o:lock v:ext="edit"/>
            <v:rect id="_x0000_s1055" o:spid="_x0000_s1055" o:spt="1" style="position:absolute;left:712;top:0;height:3742;width:8809;" fillcolor="#1A75B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6" o:spid="_x0000_s1056" o:spt="202" type="#_x0000_t202" style="position:absolute;left:1489;top:608;height:2498;width:73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4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教授授课清晰，结合实际列举了很多生动案例，通俗易懂。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对公司财务三张报表及财务整体进行了系统讲解，开拓了我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们财务管理视野，提高了理财决策。此外，老师还列举了施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乐公司、贵州茅台等一些财务案例，讲解了财务风险、财务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杠杆、资本成本，以及现金流等财务管理方面的知识。课程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28"/>
                        <w:szCs w:val="28"/>
                      </w:rPr>
                      <w:t>非常好。</w:t>
                    </w:r>
                  </w:p>
                </w:txbxContent>
              </v:textbox>
            </v:shape>
            <v:shape id="_x0000_s1057" o:spid="_x0000_s1057" o:spt="202" type="#_x0000_t202" style="position:absolute;left:-10;top:42;height:1171;width:3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"/>
                        <w:sz w:val="37"/>
                        <w:szCs w:val="37"/>
                      </w:rPr>
                      <w:t>林先生</w:t>
                    </w:r>
                  </w:p>
                </w:txbxContent>
              </v:textbox>
            </v:shape>
            <v:shape id="_x0000_s1058" o:spid="_x0000_s1058" o:spt="202" type="#_x0000_t202" style="position:absolute;left:-20;top:1634;height:307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9" w:lineRule="auto"/>
                      <w:ind w:left="20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color w:val="DA2A2C"/>
                        <w:sz w:val="33"/>
                        <w:szCs w:val="33"/>
                      </w:rPr>
                      <w:t>&gt;</w:t>
                    </w:r>
                  </w:p>
                </w:txbxContent>
              </v:textbox>
            </v:shape>
            <v:shape id="_x0000_s1059" o:spid="_x0000_s1059" o:spt="202" type="#_x0000_t202" style="position:absolute;left:189;top:1354;height:307;width: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color w:val="F6B735"/>
                        <w:spacing w:val="2"/>
                        <w:sz w:val="32"/>
                        <w:szCs w:val="32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3277" w:lineRule="exact"/>
        <w:ind w:firstLine="1128"/>
      </w:pPr>
      <w:r>
        <w:rPr>
          <w:position w:val="-65"/>
        </w:rPr>
        <w:pict>
          <v:group id="_x0000_s1060" o:spid="_x0000_s1060" o:spt="203" style="height:163.9pt;width:475.1pt;" coordsize="9502,3277">
            <o:lock v:ext="edit"/>
            <v:rect id="_x0000_s1061" o:spid="_x0000_s1061" o:spt="1" style="position:absolute;left:712;top:0;height:3277;width:8790;" fillcolor="#1A75B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2" o:spid="_x0000_s1062" o:spt="202" type="#_x0000_t202" style="position:absolute;left:1455;top:534;height:2060;width:73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ind w:left="20" w:right="20" w:firstLine="1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讲课内容丰富，知识结构系统性强，逻辑性也强，案例生动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有趣，晦涩的内容被张老师讲得通俗易懂，有很强启发性。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基于当前全球化的货币政策趋势和货币战争，张老师建议我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</w:rPr>
                      <w:t>们购买实物来应对通胀。本次课程让我受益匪浅，希望有</w:t>
                    </w:r>
                  </w:p>
                  <w:p>
                    <w:pPr>
                      <w:spacing w:before="1" w:line="173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8"/>
                        <w:sz w:val="28"/>
                        <w:szCs w:val="28"/>
                      </w:rPr>
                      <w:t>机会再受教。</w:t>
                    </w:r>
                  </w:p>
                </w:txbxContent>
              </v:textbox>
            </v:shape>
            <v:shape id="_x0000_s1063" o:spid="_x0000_s1063" o:spt="202" type="#_x0000_t202" style="position:absolute;left:-3;top:50;height:1171;width:3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8" w:line="171" w:lineRule="auto"/>
                      <w:ind w:left="20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"/>
                        <w:sz w:val="37"/>
                        <w:szCs w:val="37"/>
                      </w:rPr>
                      <w:t>陈女士</w:t>
                    </w:r>
                  </w:p>
                </w:txbxContent>
              </v:textbox>
            </v:shape>
            <v:shape id="_x0000_s1064" o:spid="_x0000_s1064" o:spt="202" type="#_x0000_t202" style="position:absolute;left:-20;top:1641;height:307;width: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9" w:lineRule="auto"/>
                      <w:ind w:left="20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color w:val="DA2A2C"/>
                        <w:sz w:val="33"/>
                        <w:szCs w:val="33"/>
                      </w:rPr>
                      <w:t>&gt;</w:t>
                    </w:r>
                  </w:p>
                </w:txbxContent>
              </v:textbox>
            </v:shape>
            <v:shape id="_x0000_s1065" o:spid="_x0000_s1065" o:spt="202" type="#_x0000_t202" style="position:absolute;left:189;top:1418;height:307;width: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4" w:lineRule="auto"/>
                      <w:ind w:left="20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color w:val="F6B735"/>
                        <w:spacing w:val="2"/>
                        <w:sz w:val="32"/>
                        <w:szCs w:val="32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277" w:lineRule="exact"/>
        <w:sectPr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258" w:line="179" w:lineRule="auto"/>
        <w:ind w:left="1316"/>
        <w:outlineLvl w:val="1"/>
        <w:rPr>
          <w:rFonts w:ascii="微软雅黑" w:hAnsi="微软雅黑" w:eastAsia="微软雅黑" w:cs="微软雅黑"/>
          <w:sz w:val="60"/>
          <w:szCs w:val="60"/>
        </w:rPr>
      </w:pPr>
      <w:bookmarkStart w:id="0" w:name="_GoBack"/>
      <w:r>
        <w:rPr>
          <w:rFonts w:ascii="微软雅黑" w:hAnsi="微软雅黑" w:eastAsia="微软雅黑" w:cs="微软雅黑"/>
          <w:b/>
          <w:bCs/>
          <w:color w:val="4A4B4C"/>
          <w:spacing w:val="-7"/>
          <w:sz w:val="60"/>
          <w:szCs w:val="60"/>
        </w:rPr>
        <w:t>学院环境</w:t>
      </w:r>
    </w:p>
    <w:bookmarkEnd w:id="0"/>
    <w:p>
      <w:pPr>
        <w:spacing w:before="68" w:line="174" w:lineRule="auto"/>
        <w:ind w:left="1314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81915</wp:posOffset>
            </wp:positionV>
            <wp:extent cx="367030" cy="9779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5"/>
          <w:sz w:val="28"/>
          <w:szCs w:val="28"/>
        </w:rPr>
        <w:t>SCHOOL ENVIRONMENT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173355</wp:posOffset>
            </wp:positionV>
            <wp:extent cx="3067050" cy="202374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66744" cy="202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80" w:lineRule="exact"/>
        <w:ind w:firstLine="1072"/>
      </w:pPr>
      <w:r>
        <w:rPr>
          <w:position w:val="-63"/>
        </w:rPr>
        <w:drawing>
          <wp:inline distT="0" distB="0" distL="0" distR="0">
            <wp:extent cx="3066415" cy="201930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66883" cy="201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4655" w:lineRule="exact"/>
        <w:ind w:firstLine="1056"/>
      </w:pPr>
      <w:r>
        <w:rPr>
          <w:position w:val="-93"/>
        </w:rPr>
        <w:drawing>
          <wp:inline distT="0" distB="0" distL="0" distR="0">
            <wp:extent cx="6231255" cy="295529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31813" cy="29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348" w:line="196" w:lineRule="auto"/>
        <w:ind w:firstLine="55"/>
        <w:outlineLvl w:val="0"/>
        <w:rPr>
          <w:sz w:val="121"/>
          <w:szCs w:val="121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-1179830</wp:posOffset>
            </wp:positionV>
            <wp:extent cx="1915795" cy="150304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15626" cy="150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-1179830</wp:posOffset>
            </wp:positionV>
            <wp:extent cx="1915795" cy="151574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15557" cy="151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-1181735</wp:posOffset>
            </wp:positionV>
            <wp:extent cx="2188210" cy="151955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88220" cy="151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9"/>
          <w:sz w:val="121"/>
          <w:szCs w:val="121"/>
        </w:rPr>
        <w:t>UNIVERSIDAD</w:t>
      </w:r>
      <w:r>
        <w:rPr>
          <w:b/>
          <w:bCs/>
          <w:color w:val="EEF0F0"/>
          <w:spacing w:val="113"/>
          <w:sz w:val="121"/>
          <w:szCs w:val="121"/>
        </w:rPr>
        <w:t xml:space="preserve"> </w:t>
      </w:r>
      <w:r>
        <w:rPr>
          <w:b/>
          <w:bCs/>
          <w:color w:val="EEF0F0"/>
          <w:spacing w:val="9"/>
          <w:sz w:val="121"/>
          <w:szCs w:val="121"/>
        </w:rPr>
        <w:t>REY</w:t>
      </w:r>
      <w:r>
        <w:rPr>
          <w:b/>
          <w:bCs/>
          <w:color w:val="EEF0F0"/>
          <w:sz w:val="121"/>
          <w:szCs w:val="121"/>
        </w:rPr>
        <w:t xml:space="preserve"> </w:t>
      </w:r>
      <w:r>
        <w:rPr>
          <w:b/>
          <w:bCs/>
          <w:color w:val="EEF0F0"/>
          <w:spacing w:val="16"/>
          <w:sz w:val="121"/>
          <w:szCs w:val="121"/>
        </w:rPr>
        <w:t>JUAN CARLOS</w:t>
      </w:r>
    </w:p>
    <w:p>
      <w:pPr>
        <w:spacing w:line="196" w:lineRule="auto"/>
        <w:rPr>
          <w:sz w:val="121"/>
          <w:szCs w:val="121"/>
        </w:rPr>
        <w:sectPr>
          <w:pgSz w:w="11906" w:h="16838"/>
          <w:pgMar w:top="400" w:right="395" w:bottom="400" w:left="52" w:header="0" w:footer="0" w:gutter="0"/>
          <w:cols w:space="720" w:num="1"/>
        </w:sectPr>
      </w:pP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spacing w:before="257" w:line="179" w:lineRule="auto"/>
        <w:ind w:left="65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4A4B4C"/>
          <w:spacing w:val="-7"/>
          <w:sz w:val="60"/>
          <w:szCs w:val="60"/>
        </w:rPr>
        <w:t>学员风采</w:t>
      </w:r>
    </w:p>
    <w:p>
      <w:pPr>
        <w:spacing w:before="60" w:line="174" w:lineRule="auto"/>
        <w:ind w:left="75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80645</wp:posOffset>
            </wp:positionV>
            <wp:extent cx="367030" cy="9779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7289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EAA433"/>
          <w:spacing w:val="-24"/>
          <w:sz w:val="28"/>
          <w:szCs w:val="28"/>
        </w:rPr>
        <w:t>EVENT PHOTOGRAPH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line="4992" w:lineRule="exact"/>
        <w:ind w:firstLine="1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3255010</wp:posOffset>
            </wp:positionV>
            <wp:extent cx="2928620" cy="195008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28812" cy="195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9"/>
        </w:rPr>
        <w:drawing>
          <wp:inline distT="0" distB="0" distL="0" distR="0">
            <wp:extent cx="5975985" cy="316928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6156" cy="31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3071" w:lineRule="exact"/>
      </w:pPr>
      <w:r>
        <w:rPr>
          <w:position w:val="-61"/>
        </w:rPr>
        <w:drawing>
          <wp:inline distT="0" distB="0" distL="0" distR="0">
            <wp:extent cx="2970530" cy="195008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71088" cy="19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line="3923" w:lineRule="exact"/>
      </w:pPr>
      <w:r>
        <w:rPr>
          <w:position w:val="-78"/>
        </w:rPr>
        <w:drawing>
          <wp:inline distT="0" distB="0" distL="0" distR="0">
            <wp:extent cx="5964555" cy="249110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64770" cy="24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3" w:lineRule="exact"/>
        <w:sectPr>
          <w:pgSz w:w="11906" w:h="16838"/>
          <w:pgMar w:top="400" w:right="1251" w:bottom="400" w:left="1240" w:header="0" w:footer="0" w:gutter="0"/>
          <w:cols w:space="720" w:num="1"/>
        </w:sectPr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line="5256" w:lineRule="exact"/>
        <w:ind w:firstLine="14"/>
      </w:pPr>
      <w:r>
        <w:pict>
          <v:rect id="_x0000_s1066" o:spid="_x0000_s1066" o:spt="1" style="position:absolute;left:0pt;margin-left:386.65pt;margin-top:269.9pt;height:311.1pt;width:69.45pt;z-index:251711488;mso-width-relative:page;mso-height-relative:page;" fillcolor="#EAA433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3427730</wp:posOffset>
            </wp:positionV>
            <wp:extent cx="2371725" cy="146558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71971" cy="146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5"/>
        </w:rPr>
        <w:drawing>
          <wp:inline distT="0" distB="0" distL="0" distR="0">
            <wp:extent cx="5782945" cy="333692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83084" cy="33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308" w:lineRule="exact"/>
        <w:ind w:firstLine="3866"/>
      </w:pPr>
      <w:r>
        <w:rPr>
          <w:position w:val="-46"/>
        </w:rPr>
        <w:drawing>
          <wp:inline distT="0" distB="0" distL="0" distR="0">
            <wp:extent cx="2359660" cy="146558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59890" cy="14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before="388" w:line="172" w:lineRule="auto"/>
        <w:ind w:left="309" w:right="25" w:firstLine="4888"/>
        <w:rPr>
          <w:sz w:val="122"/>
          <w:szCs w:val="122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-2294890</wp:posOffset>
            </wp:positionV>
            <wp:extent cx="4814570" cy="278193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14849" cy="278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195"/>
          <w:spacing w:val="179"/>
          <w:w w:val="128"/>
          <w:sz w:val="135"/>
          <w:szCs w:val="135"/>
        </w:rPr>
        <w:t>VET</w:t>
      </w:r>
      <w:r>
        <w:rPr>
          <w:color w:val="919195"/>
          <w:sz w:val="135"/>
          <w:szCs w:val="135"/>
        </w:rPr>
        <w:t xml:space="preserve"> </w:t>
      </w:r>
      <w:r>
        <w:rPr>
          <w:color w:val="919195"/>
          <w:spacing w:val="4"/>
          <w:sz w:val="122"/>
          <w:szCs w:val="122"/>
        </w:rPr>
        <w:t>PH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5334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5"/>
          <w:spacing w:val="4"/>
          <w:sz w:val="122"/>
          <w:szCs w:val="122"/>
        </w:rPr>
        <w:t>T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5333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19195"/>
          <w:spacing w:val="4"/>
          <w:sz w:val="122"/>
          <w:szCs w:val="122"/>
        </w:rPr>
        <w:t>GRAPH</w:t>
      </w:r>
    </w:p>
    <w:sectPr>
      <w:pgSz w:w="11906" w:h="16838"/>
      <w:pgMar w:top="400" w:right="1425" w:bottom="400" w:left="135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ind w:left="49"/>
      <w:rPr>
        <w:rFonts w:ascii="微软雅黑" w:hAnsi="微软雅黑" w:eastAsia="微软雅黑" w:cs="微软雅黑"/>
        <w:sz w:val="24"/>
        <w:szCs w:val="24"/>
      </w:rPr>
    </w:pPr>
    <w:r>
      <w:rPr>
        <w:rFonts w:ascii="微软雅黑" w:hAnsi="微软雅黑" w:eastAsia="微软雅黑" w:cs="微软雅黑"/>
        <w:color w:val="333334"/>
        <w:spacing w:val="-12"/>
        <w:sz w:val="24"/>
        <w:szCs w:val="24"/>
      </w:rPr>
      <w:t>10万人。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16510</wp:posOffset>
          </wp:positionH>
          <wp:positionV relativeFrom="page">
            <wp:posOffset>2130425</wp:posOffset>
          </wp:positionV>
          <wp:extent cx="7543165" cy="7443470"/>
          <wp:effectExtent l="0" t="0" r="0" b="0"/>
          <wp:wrapNone/>
          <wp:docPr id="42" name="IM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279" cy="7443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C284A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Segoe UI Light" w:hAnsi="Segoe UI Light" w:eastAsia="Segoe UI Light" w:cs="Segoe UI Light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2.xml"/><Relationship Id="rId79" Type="http://schemas.openxmlformats.org/officeDocument/2006/relationships/image" Target="media/image69.jpe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jpeg"/><Relationship Id="rId74" Type="http://schemas.openxmlformats.org/officeDocument/2006/relationships/image" Target="media/image64.png"/><Relationship Id="rId73" Type="http://schemas.openxmlformats.org/officeDocument/2006/relationships/image" Target="media/image63.jpeg"/><Relationship Id="rId72" Type="http://schemas.openxmlformats.org/officeDocument/2006/relationships/image" Target="media/image62.jpeg"/><Relationship Id="rId71" Type="http://schemas.openxmlformats.org/officeDocument/2006/relationships/image" Target="media/image61.jpeg"/><Relationship Id="rId70" Type="http://schemas.openxmlformats.org/officeDocument/2006/relationships/image" Target="media/image60.png"/><Relationship Id="rId7" Type="http://schemas.openxmlformats.org/officeDocument/2006/relationships/footer" Target="footer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jpe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5"/>
    <customShpInfo spid="_x0000_s1056"/>
    <customShpInfo spid="_x0000_s1057"/>
    <customShpInfo spid="_x0000_s1058"/>
    <customShpInfo spid="_x0000_s1059"/>
    <customShpInfo spid="_x0000_s1054"/>
    <customShpInfo spid="_x0000_s1061"/>
    <customShpInfo spid="_x0000_s1062"/>
    <customShpInfo spid="_x0000_s1063"/>
    <customShpInfo spid="_x0000_s1064"/>
    <customShpInfo spid="_x0000_s1065"/>
    <customShpInfo spid="_x0000_s1060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1799</Words>
  <Characters>2249</Characters>
  <TotalTime>76</TotalTime>
  <ScaleCrop>false</ScaleCrop>
  <LinksUpToDate>false</LinksUpToDate>
  <CharactersWithSpaces>2384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2023-11-23T16:22:00Z</dcterms:created>
  <dc:creator>xiao0</dc:creator>
  <cp:lastModifiedBy>冰冰⊙▽⊙＊</cp:lastModifiedBy>
  <dcterms:modified xsi:type="dcterms:W3CDTF">2024-07-15T03:31:30Z</dcterms:modified>
  <dc:title>胡安卡洛斯CEDEU（金融学硕士）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2024-07-15T10:15:01Z</vt:filetime>
  </property>
  <property fmtid="{D5CDD505-2E9C-101B-9397-08002B2CF9AE}" pid="4" name="KSOProductBuildVer">
    <vt:lpwstr>2052-12.1.0.16929</vt:lpwstr>
  </property>
  <property fmtid="{D5CDD505-2E9C-101B-9397-08002B2CF9AE}" pid="5" name="ICV">
    <vt:lpwstr>D7C7EAF234DB47B193F71A17652422BB_13</vt:lpwstr>
  </property>
</Properties>
</file>