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马来西亚理工大学PMBA专业工商管理硕士学位课程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马来西亚著名公立大学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QS世界大学排名188位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马来西亚五星级大学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学院介绍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马来西亚理工大学(Universiti Teknologi Malaysia,UTM)是马来西亚著名的国立大学之一。大学主校区位于马来西亚西 马南端的柔佛州新山市，占地面积1177公顷，在吉隆坡市中心还有一个校区(-研究生院),占地面积38公顷。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马来西亚理工大学的学科设置覆盖电机工程、化工与自然资源工程、环境建设、民用工程、医学工程、综合科学、管理与人 力资源发展、教育等领域。在学术交流方面，与世界50多个学术机构进行合作和交流。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作为马来西亚五大国立院校之一，马来西亚理工大学在2021QS 世界大学排名中位列第187位，2022年QS 世界大学排名中 位列191,2024年QS 世界大学排名中位列第188位。除此之外， UTM连续多年被评为QS 五星级大学。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随着中国经济的发展和全球化的加深，中国越来越多的企业开始走向国际化舞台，实施全球化战略。本项目为愿意进军全球商业领域的学生提供专业工商管理硕士 (PMBA)  课程，培养学生成为具有远见的创新型商业领袖。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学生通过本项目的学习既接受传统MBA 学习的同时又增加国际人力资源、国际业务中的风险管理、全球领导力管理等课程。助 力中国企业更快适应国际市场上高强度的角逐，更好提升自身核心竞争力，在国际舞台上拥有更大的话语权。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资质与排名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2024QS世界大学排名188,马来西亚著名的国立大学之一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主校区位于马来西亚南端的柔佛州新山市(Johor), 占地面积达1177公顷，吉隆坡市中心的研究生院占地38公顷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中马两国学历/学位互认院校名单、教育部教育涉外监管信息网名单、中国留 学网认证名单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3181350" cy="3000375"/>
            <wp:effectExtent l="0" t="0" r="0" b="9525"/>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181350" cy="3000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课程体系</w:t>
      </w:r>
    </w:p>
    <w:tbl>
      <w:tblPr>
        <w:tblW w:w="7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9"/>
        <w:gridCol w:w="4644"/>
        <w:gridCol w:w="1415"/>
        <w:gridCol w:w="7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90" w:hRule="atLeast"/>
        </w:trPr>
        <w:tc>
          <w:tcPr>
            <w:tcW w:w="7815" w:type="dxa"/>
            <w:gridSpan w:val="4"/>
            <w:tcBorders>
              <w:top w:val="single" w:color="000000" w:sz="6" w:space="0"/>
              <w:left w:val="single" w:color="000000" w:sz="6" w:space="0"/>
              <w:bottom w:val="single" w:color="000000" w:sz="6" w:space="0"/>
              <w:right w:val="single" w:color="000000" w:sz="6" w:space="0"/>
            </w:tcBorders>
            <w:shd w:val="clear" w:color="auto" w:fill="812B46"/>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0" w:afterAutospacing="0"/>
              <w:ind w:left="2730" w:right="0" w:firstLine="420"/>
            </w:pPr>
            <w:r>
              <w:rPr>
                <w:rStyle w:val="6"/>
                <w:rFonts w:ascii="华文细黑" w:hAnsi="华文细黑" w:eastAsia="华文细黑" w:cs="华文细黑"/>
                <w:i w:val="0"/>
                <w:iCs w:val="0"/>
                <w:caps w:val="0"/>
                <w:color w:val="FFFFFF"/>
                <w:spacing w:val="0"/>
                <w:sz w:val="19"/>
                <w:szCs w:val="19"/>
                <w:bdr w:val="none" w:color="auto" w:sz="0" w:space="0"/>
              </w:rPr>
              <w:t>必修课考核方式</w:t>
            </w:r>
            <w:r>
              <w:rPr>
                <w:rStyle w:val="6"/>
                <w:rFonts w:hint="eastAsia" w:ascii="华文细黑" w:hAnsi="华文细黑" w:eastAsia="华文细黑" w:cs="华文细黑"/>
                <w:i w:val="0"/>
                <w:iCs w:val="0"/>
                <w:caps w:val="0"/>
                <w:color w:val="FFFFFF"/>
                <w:spacing w:val="0"/>
                <w:sz w:val="19"/>
                <w:szCs w:val="19"/>
                <w:bdr w:val="none" w:color="auto" w:sz="0" w:space="0"/>
              </w:rPr>
              <w:t>(作业)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825" w:type="dxa"/>
            <w:tcBorders>
              <w:top w:val="nil"/>
              <w:left w:val="single" w:color="000000" w:sz="6" w:space="0"/>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435" w:right="0" w:firstLine="420"/>
            </w:pPr>
            <w:r>
              <w:rPr>
                <w:rFonts w:hint="eastAsia" w:ascii="华文细黑" w:hAnsi="华文细黑" w:eastAsia="华文细黑" w:cs="华文细黑"/>
                <w:i w:val="0"/>
                <w:iCs w:val="0"/>
                <w:caps w:val="0"/>
                <w:color w:val="FFFFFF"/>
                <w:spacing w:val="0"/>
                <w:sz w:val="19"/>
                <w:szCs w:val="19"/>
                <w:bdr w:val="none" w:color="auto" w:sz="0" w:space="0"/>
              </w:rPr>
              <w:t>1</w:t>
            </w:r>
          </w:p>
        </w:tc>
        <w:tc>
          <w:tcPr>
            <w:tcW w:w="4740" w:type="dxa"/>
            <w:tcBorders>
              <w:top w:val="single" w:color="000000" w:sz="6" w:space="0"/>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315" w:right="0" w:firstLine="420"/>
            </w:pPr>
            <w:r>
              <w:rPr>
                <w:rFonts w:hint="eastAsia" w:ascii="华文细黑" w:hAnsi="华文细黑" w:eastAsia="华文细黑" w:cs="华文细黑"/>
                <w:i w:val="0"/>
                <w:iCs w:val="0"/>
                <w:caps w:val="0"/>
                <w:color w:val="FFFFFF"/>
                <w:spacing w:val="0"/>
                <w:sz w:val="19"/>
                <w:szCs w:val="19"/>
                <w:bdr w:val="none" w:color="auto" w:sz="0" w:space="0"/>
              </w:rPr>
              <w:t>战略管理Strategic Management</w:t>
            </w:r>
          </w:p>
        </w:tc>
        <w:tc>
          <w:tcPr>
            <w:tcW w:w="1455" w:type="dxa"/>
            <w:tcBorders>
              <w:top w:val="single" w:color="000000" w:sz="6" w:space="0"/>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0" w:right="0" w:firstLine="420"/>
              <w:jc w:val="right"/>
            </w:pPr>
            <w:r>
              <w:rPr>
                <w:rFonts w:hint="eastAsia" w:ascii="华文细黑" w:hAnsi="华文细黑" w:eastAsia="华文细黑" w:cs="华文细黑"/>
                <w:i w:val="0"/>
                <w:iCs w:val="0"/>
                <w:caps w:val="0"/>
                <w:color w:val="FFFFFF"/>
                <w:spacing w:val="-30"/>
                <w:sz w:val="19"/>
                <w:szCs w:val="19"/>
                <w:bdr w:val="none" w:color="auto" w:sz="0" w:space="0"/>
              </w:rPr>
              <w:t>学分：</w:t>
            </w:r>
          </w:p>
        </w:tc>
        <w:tc>
          <w:tcPr>
            <w:tcW w:w="795" w:type="dxa"/>
            <w:tcBorders>
              <w:top w:val="single" w:color="000000" w:sz="6" w:space="0"/>
              <w:left w:val="nil"/>
              <w:bottom w:val="single" w:color="000000" w:sz="6" w:space="0"/>
              <w:right w:val="single" w:color="000000" w:sz="6" w:space="0"/>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ind w:left="90" w:right="0" w:firstLine="420"/>
            </w:pPr>
            <w:r>
              <w:rPr>
                <w:rFonts w:hint="eastAsia" w:ascii="华文细黑" w:hAnsi="华文细黑" w:eastAsia="华文细黑" w:cs="华文细黑"/>
                <w:i w:val="0"/>
                <w:iCs w:val="0"/>
                <w:caps w:val="0"/>
                <w:color w:val="FFFFFF"/>
                <w:spacing w:val="0"/>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825" w:type="dxa"/>
            <w:tcBorders>
              <w:top w:val="nil"/>
              <w:left w:val="single" w:color="000000" w:sz="6" w:space="0"/>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435" w:right="0" w:firstLine="420"/>
            </w:pPr>
            <w:r>
              <w:rPr>
                <w:rFonts w:hint="eastAsia" w:ascii="华文细黑" w:hAnsi="华文细黑" w:eastAsia="华文细黑" w:cs="华文细黑"/>
                <w:i w:val="0"/>
                <w:iCs w:val="0"/>
                <w:caps w:val="0"/>
                <w:color w:val="333333"/>
                <w:spacing w:val="0"/>
                <w:sz w:val="19"/>
                <w:szCs w:val="19"/>
                <w:bdr w:val="none" w:color="auto" w:sz="0" w:space="0"/>
              </w:rPr>
              <w:t>2</w:t>
            </w:r>
          </w:p>
        </w:tc>
        <w:tc>
          <w:tcPr>
            <w:tcW w:w="4740" w:type="dxa"/>
            <w:tcBorders>
              <w:top w:val="nil"/>
              <w:left w:val="nil"/>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300" w:right="0" w:firstLine="420"/>
            </w:pPr>
            <w:r>
              <w:rPr>
                <w:rFonts w:hint="eastAsia" w:ascii="华文细黑" w:hAnsi="华文细黑" w:eastAsia="华文细黑" w:cs="华文细黑"/>
                <w:i w:val="0"/>
                <w:iCs w:val="0"/>
                <w:caps w:val="0"/>
                <w:color w:val="333333"/>
                <w:spacing w:val="0"/>
                <w:sz w:val="19"/>
                <w:szCs w:val="19"/>
                <w:bdr w:val="none" w:color="auto" w:sz="0" w:space="0"/>
              </w:rPr>
              <w:t>管理经济学Managerial Economics</w:t>
            </w:r>
          </w:p>
        </w:tc>
        <w:tc>
          <w:tcPr>
            <w:tcW w:w="1455" w:type="dxa"/>
            <w:tcBorders>
              <w:top w:val="nil"/>
              <w:left w:val="nil"/>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0" w:right="0" w:firstLine="420"/>
              <w:jc w:val="right"/>
            </w:pPr>
            <w:r>
              <w:rPr>
                <w:rFonts w:hint="eastAsia" w:ascii="华文细黑" w:hAnsi="华文细黑" w:eastAsia="华文细黑" w:cs="华文细黑"/>
                <w:i w:val="0"/>
                <w:iCs w:val="0"/>
                <w:caps w:val="0"/>
                <w:color w:val="333333"/>
                <w:spacing w:val="-30"/>
                <w:sz w:val="19"/>
                <w:szCs w:val="19"/>
                <w:bdr w:val="none" w:color="auto" w:sz="0" w:space="0"/>
              </w:rPr>
              <w:t>学分：</w:t>
            </w:r>
          </w:p>
        </w:tc>
        <w:tc>
          <w:tcPr>
            <w:tcW w:w="795" w:type="dxa"/>
            <w:tcBorders>
              <w:top w:val="nil"/>
              <w:left w:val="nil"/>
              <w:bottom w:val="single" w:color="000000" w:sz="6" w:space="0"/>
              <w:right w:val="single" w:color="000000" w:sz="6" w:space="0"/>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75" w:right="0" w:firstLine="420"/>
            </w:pPr>
            <w:r>
              <w:rPr>
                <w:rFonts w:hint="eastAsia" w:ascii="华文细黑" w:hAnsi="华文细黑" w:eastAsia="华文细黑" w:cs="华文细黑"/>
                <w:i w:val="0"/>
                <w:iCs w:val="0"/>
                <w:caps w:val="0"/>
                <w:color w:val="333333"/>
                <w:spacing w:val="0"/>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25" w:type="dxa"/>
            <w:tcBorders>
              <w:top w:val="nil"/>
              <w:left w:val="single" w:color="000000" w:sz="6" w:space="0"/>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ind w:left="435" w:right="0" w:firstLine="420"/>
            </w:pPr>
            <w:r>
              <w:rPr>
                <w:rFonts w:hint="eastAsia" w:ascii="华文细黑" w:hAnsi="华文细黑" w:eastAsia="华文细黑" w:cs="华文细黑"/>
                <w:i w:val="0"/>
                <w:iCs w:val="0"/>
                <w:caps w:val="0"/>
                <w:color w:val="FFFFFF"/>
                <w:spacing w:val="0"/>
                <w:sz w:val="19"/>
                <w:szCs w:val="19"/>
                <w:bdr w:val="none" w:color="auto" w:sz="0" w:space="0"/>
              </w:rPr>
              <w:t>3</w:t>
            </w:r>
          </w:p>
        </w:tc>
        <w:tc>
          <w:tcPr>
            <w:tcW w:w="4740" w:type="dxa"/>
            <w:tcBorders>
              <w:top w:val="nil"/>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315" w:right="0" w:firstLine="420"/>
            </w:pPr>
            <w:r>
              <w:rPr>
                <w:rFonts w:hint="eastAsia" w:ascii="华文细黑" w:hAnsi="华文细黑" w:eastAsia="华文细黑" w:cs="华文细黑"/>
                <w:i w:val="0"/>
                <w:iCs w:val="0"/>
                <w:caps w:val="0"/>
                <w:color w:val="FFFFFF"/>
                <w:spacing w:val="0"/>
                <w:sz w:val="19"/>
                <w:szCs w:val="19"/>
                <w:bdr w:val="none" w:color="auto" w:sz="0" w:space="0"/>
              </w:rPr>
              <w:t>管理会计Managerial Accounting</w:t>
            </w:r>
          </w:p>
        </w:tc>
        <w:tc>
          <w:tcPr>
            <w:tcW w:w="1455" w:type="dxa"/>
            <w:tcBorders>
              <w:top w:val="nil"/>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0" w:right="0" w:firstLine="420"/>
              <w:jc w:val="right"/>
            </w:pPr>
            <w:r>
              <w:rPr>
                <w:rFonts w:hint="eastAsia" w:ascii="华文细黑" w:hAnsi="华文细黑" w:eastAsia="华文细黑" w:cs="华文细黑"/>
                <w:i w:val="0"/>
                <w:iCs w:val="0"/>
                <w:caps w:val="0"/>
                <w:color w:val="FFFFFF"/>
                <w:spacing w:val="-30"/>
                <w:sz w:val="19"/>
                <w:szCs w:val="19"/>
                <w:bdr w:val="none" w:color="auto" w:sz="0" w:space="0"/>
              </w:rPr>
              <w:t>学分：</w:t>
            </w:r>
          </w:p>
        </w:tc>
        <w:tc>
          <w:tcPr>
            <w:tcW w:w="795" w:type="dxa"/>
            <w:tcBorders>
              <w:top w:val="nil"/>
              <w:left w:val="nil"/>
              <w:bottom w:val="single" w:color="000000" w:sz="6" w:space="0"/>
              <w:right w:val="single" w:color="000000" w:sz="6" w:space="0"/>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75" w:right="0" w:firstLine="420"/>
            </w:pPr>
            <w:r>
              <w:rPr>
                <w:rFonts w:hint="eastAsia" w:ascii="华文细黑" w:hAnsi="华文细黑" w:eastAsia="华文细黑" w:cs="华文细黑"/>
                <w:i w:val="0"/>
                <w:iCs w:val="0"/>
                <w:caps w:val="0"/>
                <w:color w:val="FFFFFF"/>
                <w:spacing w:val="0"/>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825" w:type="dxa"/>
            <w:tcBorders>
              <w:top w:val="nil"/>
              <w:left w:val="single" w:color="000000" w:sz="6" w:space="0"/>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ind w:left="435" w:right="0" w:firstLine="420"/>
            </w:pPr>
            <w:r>
              <w:rPr>
                <w:rFonts w:hint="eastAsia" w:ascii="华文细黑" w:hAnsi="华文细黑" w:eastAsia="华文细黑" w:cs="华文细黑"/>
                <w:i w:val="0"/>
                <w:iCs w:val="0"/>
                <w:caps w:val="0"/>
                <w:color w:val="333333"/>
                <w:spacing w:val="0"/>
                <w:sz w:val="19"/>
                <w:szCs w:val="19"/>
                <w:bdr w:val="none" w:color="auto" w:sz="0" w:space="0"/>
              </w:rPr>
              <w:t>4</w:t>
            </w:r>
          </w:p>
        </w:tc>
        <w:tc>
          <w:tcPr>
            <w:tcW w:w="4740" w:type="dxa"/>
            <w:tcBorders>
              <w:top w:val="nil"/>
              <w:left w:val="nil"/>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315" w:right="0" w:firstLine="420"/>
            </w:pPr>
            <w:r>
              <w:rPr>
                <w:rFonts w:hint="eastAsia" w:ascii="华文细黑" w:hAnsi="华文细黑" w:eastAsia="华文细黑" w:cs="华文细黑"/>
                <w:i w:val="0"/>
                <w:iCs w:val="0"/>
                <w:caps w:val="0"/>
                <w:color w:val="333333"/>
                <w:spacing w:val="0"/>
                <w:sz w:val="19"/>
                <w:szCs w:val="19"/>
                <w:bdr w:val="none" w:color="auto" w:sz="0" w:space="0"/>
              </w:rPr>
              <w:t>组织行为学Organizational Behavior</w:t>
            </w:r>
          </w:p>
        </w:tc>
        <w:tc>
          <w:tcPr>
            <w:tcW w:w="1455" w:type="dxa"/>
            <w:tcBorders>
              <w:top w:val="nil"/>
              <w:left w:val="nil"/>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420"/>
              <w:jc w:val="right"/>
            </w:pPr>
            <w:r>
              <w:rPr>
                <w:rFonts w:hint="eastAsia" w:ascii="华文细黑" w:hAnsi="华文细黑" w:eastAsia="华文细黑" w:cs="华文细黑"/>
                <w:i w:val="0"/>
                <w:iCs w:val="0"/>
                <w:caps w:val="0"/>
                <w:color w:val="333333"/>
                <w:spacing w:val="-30"/>
                <w:sz w:val="19"/>
                <w:szCs w:val="19"/>
                <w:bdr w:val="none" w:color="auto" w:sz="0" w:space="0"/>
              </w:rPr>
              <w:t>学分：</w:t>
            </w:r>
          </w:p>
        </w:tc>
        <w:tc>
          <w:tcPr>
            <w:tcW w:w="795" w:type="dxa"/>
            <w:tcBorders>
              <w:top w:val="nil"/>
              <w:left w:val="nil"/>
              <w:bottom w:val="single" w:color="000000" w:sz="6" w:space="0"/>
              <w:right w:val="single" w:color="000000" w:sz="6" w:space="0"/>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75" w:right="0" w:firstLine="420"/>
            </w:pPr>
            <w:r>
              <w:rPr>
                <w:rFonts w:hint="eastAsia" w:ascii="华文细黑" w:hAnsi="华文细黑" w:eastAsia="华文细黑" w:cs="华文细黑"/>
                <w:i w:val="0"/>
                <w:iCs w:val="0"/>
                <w:caps w:val="0"/>
                <w:color w:val="333333"/>
                <w:spacing w:val="0"/>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825" w:type="dxa"/>
            <w:tcBorders>
              <w:top w:val="nil"/>
              <w:left w:val="single" w:color="000000" w:sz="6" w:space="0"/>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ind w:left="435" w:right="0" w:firstLine="420"/>
            </w:pPr>
            <w:r>
              <w:rPr>
                <w:rFonts w:hint="eastAsia" w:ascii="华文细黑" w:hAnsi="华文细黑" w:eastAsia="华文细黑" w:cs="华文细黑"/>
                <w:i w:val="0"/>
                <w:iCs w:val="0"/>
                <w:caps w:val="0"/>
                <w:color w:val="FFFFFF"/>
                <w:spacing w:val="0"/>
                <w:sz w:val="19"/>
                <w:szCs w:val="19"/>
                <w:bdr w:val="none" w:color="auto" w:sz="0" w:space="0"/>
              </w:rPr>
              <w:t>5</w:t>
            </w:r>
          </w:p>
        </w:tc>
        <w:tc>
          <w:tcPr>
            <w:tcW w:w="4740" w:type="dxa"/>
            <w:tcBorders>
              <w:top w:val="nil"/>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300" w:right="0" w:firstLine="420"/>
            </w:pPr>
            <w:r>
              <w:rPr>
                <w:rFonts w:hint="eastAsia" w:ascii="华文细黑" w:hAnsi="华文细黑" w:eastAsia="华文细黑" w:cs="华文细黑"/>
                <w:i w:val="0"/>
                <w:iCs w:val="0"/>
                <w:caps w:val="0"/>
                <w:color w:val="FFFFFF"/>
                <w:spacing w:val="0"/>
                <w:sz w:val="19"/>
                <w:szCs w:val="19"/>
                <w:bdr w:val="none" w:color="auto" w:sz="0" w:space="0"/>
              </w:rPr>
              <w:t>人力资源管理Human Resource Management</w:t>
            </w:r>
          </w:p>
        </w:tc>
        <w:tc>
          <w:tcPr>
            <w:tcW w:w="1455" w:type="dxa"/>
            <w:tcBorders>
              <w:top w:val="nil"/>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ind w:left="0" w:right="0" w:firstLine="420"/>
              <w:jc w:val="right"/>
            </w:pPr>
            <w:r>
              <w:rPr>
                <w:rFonts w:hint="eastAsia" w:ascii="华文细黑" w:hAnsi="华文细黑" w:eastAsia="华文细黑" w:cs="华文细黑"/>
                <w:i w:val="0"/>
                <w:iCs w:val="0"/>
                <w:caps w:val="0"/>
                <w:color w:val="FFFFFF"/>
                <w:spacing w:val="-30"/>
                <w:sz w:val="19"/>
                <w:szCs w:val="19"/>
                <w:bdr w:val="none" w:color="auto" w:sz="0" w:space="0"/>
              </w:rPr>
              <w:t>学分：</w:t>
            </w:r>
          </w:p>
        </w:tc>
        <w:tc>
          <w:tcPr>
            <w:tcW w:w="795" w:type="dxa"/>
            <w:tcBorders>
              <w:top w:val="nil"/>
              <w:left w:val="nil"/>
              <w:bottom w:val="single" w:color="000000" w:sz="6" w:space="0"/>
              <w:right w:val="single" w:color="000000" w:sz="6" w:space="0"/>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75" w:right="0" w:firstLine="420"/>
            </w:pPr>
            <w:r>
              <w:rPr>
                <w:rFonts w:hint="eastAsia" w:ascii="华文细黑" w:hAnsi="华文细黑" w:eastAsia="华文细黑" w:cs="华文细黑"/>
                <w:i w:val="0"/>
                <w:iCs w:val="0"/>
                <w:caps w:val="0"/>
                <w:color w:val="FFFFFF"/>
                <w:spacing w:val="0"/>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25" w:type="dxa"/>
            <w:tcBorders>
              <w:top w:val="nil"/>
              <w:left w:val="single" w:color="000000" w:sz="6" w:space="0"/>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435" w:right="0" w:firstLine="420"/>
            </w:pPr>
            <w:r>
              <w:rPr>
                <w:rFonts w:hint="eastAsia" w:ascii="华文细黑" w:hAnsi="华文细黑" w:eastAsia="华文细黑" w:cs="华文细黑"/>
                <w:i w:val="0"/>
                <w:iCs w:val="0"/>
                <w:caps w:val="0"/>
                <w:color w:val="333333"/>
                <w:spacing w:val="0"/>
                <w:sz w:val="19"/>
                <w:szCs w:val="19"/>
                <w:bdr w:val="none" w:color="auto" w:sz="0" w:space="0"/>
              </w:rPr>
              <w:t>6</w:t>
            </w:r>
          </w:p>
        </w:tc>
        <w:tc>
          <w:tcPr>
            <w:tcW w:w="4740" w:type="dxa"/>
            <w:tcBorders>
              <w:top w:val="nil"/>
              <w:left w:val="nil"/>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300" w:right="0" w:firstLine="420"/>
            </w:pPr>
            <w:r>
              <w:rPr>
                <w:rFonts w:hint="eastAsia" w:ascii="华文细黑" w:hAnsi="华文细黑" w:eastAsia="华文细黑" w:cs="华文细黑"/>
                <w:i w:val="0"/>
                <w:iCs w:val="0"/>
                <w:caps w:val="0"/>
                <w:color w:val="333333"/>
                <w:spacing w:val="0"/>
                <w:sz w:val="19"/>
                <w:szCs w:val="19"/>
                <w:bdr w:val="none" w:color="auto" w:sz="0" w:space="0"/>
              </w:rPr>
              <w:t>财务管理CorporateFinance</w:t>
            </w:r>
          </w:p>
        </w:tc>
        <w:tc>
          <w:tcPr>
            <w:tcW w:w="1455" w:type="dxa"/>
            <w:tcBorders>
              <w:top w:val="nil"/>
              <w:left w:val="nil"/>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0" w:right="0" w:firstLine="420"/>
              <w:jc w:val="right"/>
            </w:pPr>
            <w:r>
              <w:rPr>
                <w:rFonts w:hint="eastAsia" w:ascii="华文细黑" w:hAnsi="华文细黑" w:eastAsia="华文细黑" w:cs="华文细黑"/>
                <w:i w:val="0"/>
                <w:iCs w:val="0"/>
                <w:caps w:val="0"/>
                <w:color w:val="333333"/>
                <w:spacing w:val="-30"/>
                <w:sz w:val="19"/>
                <w:szCs w:val="19"/>
                <w:bdr w:val="none" w:color="auto" w:sz="0" w:space="0"/>
              </w:rPr>
              <w:t>学分：</w:t>
            </w:r>
          </w:p>
        </w:tc>
        <w:tc>
          <w:tcPr>
            <w:tcW w:w="795" w:type="dxa"/>
            <w:tcBorders>
              <w:top w:val="nil"/>
              <w:left w:val="nil"/>
              <w:bottom w:val="single" w:color="000000" w:sz="6" w:space="0"/>
              <w:right w:val="single" w:color="000000" w:sz="6" w:space="0"/>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75" w:right="0" w:firstLine="420"/>
            </w:pPr>
            <w:r>
              <w:rPr>
                <w:rFonts w:hint="eastAsia" w:ascii="华文细黑" w:hAnsi="华文细黑" w:eastAsia="华文细黑" w:cs="华文细黑"/>
                <w:i w:val="0"/>
                <w:iCs w:val="0"/>
                <w:caps w:val="0"/>
                <w:color w:val="333333"/>
                <w:spacing w:val="0"/>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825" w:type="dxa"/>
            <w:tcBorders>
              <w:top w:val="nil"/>
              <w:left w:val="single" w:color="000000" w:sz="6" w:space="0"/>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435" w:right="0" w:firstLine="420"/>
            </w:pPr>
            <w:r>
              <w:rPr>
                <w:rFonts w:hint="eastAsia" w:ascii="华文细黑" w:hAnsi="华文细黑" w:eastAsia="华文细黑" w:cs="华文细黑"/>
                <w:i w:val="0"/>
                <w:iCs w:val="0"/>
                <w:caps w:val="0"/>
                <w:color w:val="FFFFFF"/>
                <w:spacing w:val="0"/>
                <w:sz w:val="19"/>
                <w:szCs w:val="19"/>
                <w:bdr w:val="none" w:color="auto" w:sz="0" w:space="0"/>
              </w:rPr>
              <w:t>7</w:t>
            </w:r>
          </w:p>
        </w:tc>
        <w:tc>
          <w:tcPr>
            <w:tcW w:w="4740" w:type="dxa"/>
            <w:tcBorders>
              <w:top w:val="nil"/>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315" w:right="0" w:firstLine="420"/>
            </w:pPr>
            <w:r>
              <w:rPr>
                <w:rFonts w:hint="eastAsia" w:ascii="华文细黑" w:hAnsi="华文细黑" w:eastAsia="华文细黑" w:cs="华文细黑"/>
                <w:i w:val="0"/>
                <w:iCs w:val="0"/>
                <w:caps w:val="0"/>
                <w:color w:val="FFFFFF"/>
                <w:spacing w:val="0"/>
                <w:sz w:val="19"/>
                <w:szCs w:val="19"/>
                <w:bdr w:val="none" w:color="auto" w:sz="0" w:space="0"/>
              </w:rPr>
              <w:t>市场营销管理Marketing Management</w:t>
            </w:r>
          </w:p>
        </w:tc>
        <w:tc>
          <w:tcPr>
            <w:tcW w:w="1455" w:type="dxa"/>
            <w:tcBorders>
              <w:top w:val="nil"/>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0" w:right="0" w:firstLine="420"/>
              <w:jc w:val="right"/>
            </w:pPr>
            <w:r>
              <w:rPr>
                <w:rFonts w:hint="eastAsia" w:ascii="华文细黑" w:hAnsi="华文细黑" w:eastAsia="华文细黑" w:cs="华文细黑"/>
                <w:i w:val="0"/>
                <w:iCs w:val="0"/>
                <w:caps w:val="0"/>
                <w:color w:val="FFFFFF"/>
                <w:spacing w:val="-30"/>
                <w:sz w:val="19"/>
                <w:szCs w:val="19"/>
                <w:bdr w:val="none" w:color="auto" w:sz="0" w:space="0"/>
              </w:rPr>
              <w:t>学分：</w:t>
            </w:r>
          </w:p>
        </w:tc>
        <w:tc>
          <w:tcPr>
            <w:tcW w:w="795" w:type="dxa"/>
            <w:tcBorders>
              <w:top w:val="nil"/>
              <w:left w:val="nil"/>
              <w:bottom w:val="single" w:color="000000" w:sz="6" w:space="0"/>
              <w:right w:val="single" w:color="000000" w:sz="6" w:space="0"/>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75" w:right="0" w:firstLine="420"/>
            </w:pPr>
            <w:r>
              <w:rPr>
                <w:rFonts w:hint="eastAsia" w:ascii="华文细黑" w:hAnsi="华文细黑" w:eastAsia="华文细黑" w:cs="华文细黑"/>
                <w:i w:val="0"/>
                <w:iCs w:val="0"/>
                <w:caps w:val="0"/>
                <w:color w:val="FFFFFF"/>
                <w:spacing w:val="0"/>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825" w:type="dxa"/>
            <w:tcBorders>
              <w:top w:val="nil"/>
              <w:left w:val="single" w:color="000000" w:sz="6" w:space="0"/>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5" w:beforeAutospacing="0" w:after="0" w:afterAutospacing="0"/>
              <w:ind w:left="435" w:right="0" w:firstLine="420"/>
            </w:pPr>
            <w:r>
              <w:rPr>
                <w:rFonts w:hint="eastAsia" w:ascii="华文细黑" w:hAnsi="华文细黑" w:eastAsia="华文细黑" w:cs="华文细黑"/>
                <w:i w:val="0"/>
                <w:iCs w:val="0"/>
                <w:caps w:val="0"/>
                <w:color w:val="333333"/>
                <w:spacing w:val="0"/>
                <w:sz w:val="19"/>
                <w:szCs w:val="19"/>
                <w:bdr w:val="none" w:color="auto" w:sz="0" w:space="0"/>
              </w:rPr>
              <w:t>8</w:t>
            </w:r>
          </w:p>
        </w:tc>
        <w:tc>
          <w:tcPr>
            <w:tcW w:w="4740" w:type="dxa"/>
            <w:tcBorders>
              <w:top w:val="nil"/>
              <w:left w:val="nil"/>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0" w:afterAutospacing="0"/>
              <w:ind w:left="315" w:right="0" w:firstLine="420"/>
            </w:pPr>
            <w:r>
              <w:rPr>
                <w:rFonts w:hint="eastAsia" w:ascii="华文细黑" w:hAnsi="华文细黑" w:eastAsia="华文细黑" w:cs="华文细黑"/>
                <w:i w:val="0"/>
                <w:iCs w:val="0"/>
                <w:caps w:val="0"/>
                <w:color w:val="333333"/>
                <w:spacing w:val="0"/>
                <w:sz w:val="19"/>
                <w:szCs w:val="19"/>
                <w:bdr w:val="none" w:color="auto" w:sz="0" w:space="0"/>
              </w:rPr>
              <w:t>运营管理Operations Management</w:t>
            </w:r>
          </w:p>
        </w:tc>
        <w:tc>
          <w:tcPr>
            <w:tcW w:w="1455" w:type="dxa"/>
            <w:tcBorders>
              <w:top w:val="nil"/>
              <w:left w:val="nil"/>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420"/>
              <w:jc w:val="right"/>
            </w:pPr>
            <w:r>
              <w:rPr>
                <w:rFonts w:hint="eastAsia" w:ascii="华文细黑" w:hAnsi="华文细黑" w:eastAsia="华文细黑" w:cs="华文细黑"/>
                <w:i w:val="0"/>
                <w:iCs w:val="0"/>
                <w:caps w:val="0"/>
                <w:color w:val="333333"/>
                <w:spacing w:val="-30"/>
                <w:sz w:val="19"/>
                <w:szCs w:val="19"/>
                <w:bdr w:val="none" w:color="auto" w:sz="0" w:space="0"/>
              </w:rPr>
              <w:t>学分：</w:t>
            </w:r>
          </w:p>
        </w:tc>
        <w:tc>
          <w:tcPr>
            <w:tcW w:w="795" w:type="dxa"/>
            <w:tcBorders>
              <w:top w:val="nil"/>
              <w:left w:val="nil"/>
              <w:bottom w:val="single" w:color="000000" w:sz="6" w:space="0"/>
              <w:right w:val="single" w:color="000000" w:sz="6" w:space="0"/>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75" w:right="0" w:firstLine="420"/>
            </w:pPr>
            <w:r>
              <w:rPr>
                <w:rFonts w:hint="eastAsia" w:ascii="华文细黑" w:hAnsi="华文细黑" w:eastAsia="华文细黑" w:cs="华文细黑"/>
                <w:i w:val="0"/>
                <w:iCs w:val="0"/>
                <w:caps w:val="0"/>
                <w:color w:val="333333"/>
                <w:spacing w:val="0"/>
                <w:sz w:val="19"/>
                <w:szCs w:val="19"/>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trPr>
        <w:tc>
          <w:tcPr>
            <w:tcW w:w="825" w:type="dxa"/>
            <w:tcBorders>
              <w:top w:val="nil"/>
              <w:left w:val="single" w:color="000000" w:sz="6" w:space="0"/>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435" w:right="0" w:firstLine="420"/>
            </w:pPr>
            <w:r>
              <w:rPr>
                <w:rFonts w:hint="eastAsia" w:ascii="华文细黑" w:hAnsi="华文细黑" w:eastAsia="华文细黑" w:cs="华文细黑"/>
                <w:i w:val="0"/>
                <w:iCs w:val="0"/>
                <w:caps w:val="0"/>
                <w:color w:val="FFFFFF"/>
                <w:spacing w:val="0"/>
                <w:sz w:val="19"/>
                <w:szCs w:val="19"/>
                <w:bdr w:val="none" w:color="auto" w:sz="0" w:space="0"/>
              </w:rPr>
              <w:t>9</w:t>
            </w:r>
          </w:p>
        </w:tc>
        <w:tc>
          <w:tcPr>
            <w:tcW w:w="4740" w:type="dxa"/>
            <w:tcBorders>
              <w:top w:val="nil"/>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300" w:right="0" w:firstLine="420"/>
            </w:pPr>
            <w:r>
              <w:rPr>
                <w:rFonts w:hint="eastAsia" w:ascii="华文细黑" w:hAnsi="华文细黑" w:eastAsia="华文细黑" w:cs="华文细黑"/>
                <w:i w:val="0"/>
                <w:iCs w:val="0"/>
                <w:caps w:val="0"/>
                <w:color w:val="FFFFFF"/>
                <w:spacing w:val="0"/>
                <w:sz w:val="19"/>
                <w:szCs w:val="19"/>
                <w:bdr w:val="none" w:color="auto" w:sz="0" w:space="0"/>
              </w:rPr>
              <w:t>研究方法论Research Methodology</w:t>
            </w:r>
          </w:p>
        </w:tc>
        <w:tc>
          <w:tcPr>
            <w:tcW w:w="1455" w:type="dxa"/>
            <w:tcBorders>
              <w:top w:val="nil"/>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firstLine="420"/>
              <w:jc w:val="right"/>
            </w:pPr>
            <w:r>
              <w:rPr>
                <w:rFonts w:hint="eastAsia" w:ascii="华文细黑" w:hAnsi="华文细黑" w:eastAsia="华文细黑" w:cs="华文细黑"/>
                <w:i w:val="0"/>
                <w:iCs w:val="0"/>
                <w:caps w:val="0"/>
                <w:color w:val="FFFFFF"/>
                <w:spacing w:val="-30"/>
                <w:sz w:val="19"/>
                <w:szCs w:val="19"/>
                <w:bdr w:val="none" w:color="auto" w:sz="0" w:space="0"/>
              </w:rPr>
              <w:t>学分：</w:t>
            </w:r>
          </w:p>
        </w:tc>
        <w:tc>
          <w:tcPr>
            <w:tcW w:w="795" w:type="dxa"/>
            <w:tcBorders>
              <w:top w:val="nil"/>
              <w:left w:val="nil"/>
              <w:bottom w:val="single" w:color="000000" w:sz="6" w:space="0"/>
              <w:right w:val="single" w:color="000000" w:sz="6" w:space="0"/>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75" w:right="0" w:firstLine="420"/>
            </w:pPr>
            <w:r>
              <w:rPr>
                <w:rFonts w:hint="eastAsia" w:ascii="华文细黑" w:hAnsi="华文细黑" w:eastAsia="华文细黑" w:cs="华文细黑"/>
                <w:i w:val="0"/>
                <w:iCs w:val="0"/>
                <w:caps w:val="0"/>
                <w:color w:val="FFFFFF"/>
                <w:spacing w:val="0"/>
                <w:sz w:val="19"/>
                <w:szCs w:val="19"/>
                <w:bdr w:val="none" w:color="auto" w:sz="0" w:space="0"/>
              </w:rPr>
              <w:t>4</w:t>
            </w:r>
          </w:p>
        </w:tc>
      </w:tr>
    </w:tbl>
    <w:p>
      <w:pPr>
        <w:rPr>
          <w:vanish/>
          <w:sz w:val="24"/>
          <w:szCs w:val="24"/>
        </w:rPr>
      </w:pPr>
    </w:p>
    <w:tbl>
      <w:tblPr>
        <w:tblW w:w="78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08"/>
        <w:gridCol w:w="4327"/>
        <w:gridCol w:w="1694"/>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trPr>
        <w:tc>
          <w:tcPr>
            <w:tcW w:w="7815" w:type="dxa"/>
            <w:gridSpan w:val="4"/>
            <w:tcBorders>
              <w:top w:val="single" w:color="000000" w:sz="6" w:space="0"/>
              <w:left w:val="single" w:color="000000" w:sz="6" w:space="0"/>
              <w:bottom w:val="single" w:color="000000" w:sz="6" w:space="0"/>
              <w:right w:val="single" w:color="000000" w:sz="6" w:space="0"/>
            </w:tcBorders>
            <w:shd w:val="clear" w:color="auto" w:fill="812B46"/>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55" w:beforeAutospacing="0" w:after="0" w:afterAutospacing="0"/>
              <w:ind w:left="2700" w:right="0" w:firstLine="420"/>
            </w:pPr>
            <w:r>
              <w:rPr>
                <w:rStyle w:val="6"/>
                <w:rFonts w:ascii="黑体" w:hAnsi="宋体" w:eastAsia="黑体" w:cs="黑体"/>
                <w:i w:val="0"/>
                <w:iCs w:val="0"/>
                <w:caps w:val="0"/>
                <w:color w:val="FFFFFF"/>
                <w:spacing w:val="0"/>
                <w:sz w:val="19"/>
                <w:szCs w:val="19"/>
                <w:bdr w:val="none" w:color="auto" w:sz="0" w:space="0"/>
              </w:rPr>
              <w:t>选修课考核方式</w:t>
            </w:r>
            <w:r>
              <w:rPr>
                <w:rStyle w:val="6"/>
                <w:rFonts w:hint="eastAsia" w:ascii="黑体" w:hAnsi="宋体" w:eastAsia="黑体" w:cs="黑体"/>
                <w:i w:val="0"/>
                <w:iCs w:val="0"/>
                <w:caps w:val="0"/>
                <w:color w:val="FFFFFF"/>
                <w:spacing w:val="0"/>
                <w:sz w:val="19"/>
                <w:szCs w:val="19"/>
                <w:bdr w:val="none" w:color="auto" w:sz="0" w:space="0"/>
              </w:rPr>
              <w:t>(作业)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855" w:type="dxa"/>
            <w:tcBorders>
              <w:top w:val="nil"/>
              <w:left w:val="single" w:color="000000" w:sz="6" w:space="0"/>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ind w:left="390" w:right="0" w:firstLine="420"/>
            </w:pPr>
            <w:r>
              <w:rPr>
                <w:rFonts w:hint="eastAsia" w:ascii="黑体" w:hAnsi="宋体" w:eastAsia="黑体" w:cs="黑体"/>
                <w:i w:val="0"/>
                <w:iCs w:val="0"/>
                <w:caps w:val="0"/>
                <w:color w:val="FFFFFF"/>
                <w:spacing w:val="0"/>
                <w:sz w:val="19"/>
                <w:szCs w:val="19"/>
                <w:bdr w:val="none" w:color="auto" w:sz="0" w:space="0"/>
              </w:rPr>
              <w:t>10</w:t>
            </w:r>
          </w:p>
        </w:tc>
        <w:tc>
          <w:tcPr>
            <w:tcW w:w="4425" w:type="dxa"/>
            <w:tcBorders>
              <w:top w:val="single" w:color="000000" w:sz="6" w:space="0"/>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285" w:right="0" w:firstLine="420"/>
            </w:pPr>
            <w:r>
              <w:rPr>
                <w:rFonts w:hint="eastAsia" w:ascii="黑体" w:hAnsi="宋体" w:eastAsia="黑体" w:cs="黑体"/>
                <w:i w:val="0"/>
                <w:iCs w:val="0"/>
                <w:caps w:val="0"/>
                <w:color w:val="FFFFFF"/>
                <w:spacing w:val="0"/>
                <w:sz w:val="19"/>
                <w:szCs w:val="19"/>
                <w:bdr w:val="none" w:color="auto" w:sz="0" w:space="0"/>
              </w:rPr>
              <w:t>商务英语Business English</w:t>
            </w:r>
          </w:p>
        </w:tc>
        <w:tc>
          <w:tcPr>
            <w:tcW w:w="1755" w:type="dxa"/>
            <w:tcBorders>
              <w:top w:val="single" w:color="000000" w:sz="6" w:space="0"/>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ind w:left="0" w:right="0" w:firstLine="420"/>
              <w:jc w:val="right"/>
            </w:pPr>
            <w:r>
              <w:rPr>
                <w:rFonts w:hint="eastAsia" w:ascii="黑体" w:hAnsi="宋体" w:eastAsia="黑体" w:cs="黑体"/>
                <w:i w:val="0"/>
                <w:iCs w:val="0"/>
                <w:caps w:val="0"/>
                <w:color w:val="FFFFFF"/>
                <w:spacing w:val="-30"/>
                <w:sz w:val="19"/>
                <w:szCs w:val="19"/>
                <w:bdr w:val="none" w:color="auto" w:sz="0" w:space="0"/>
              </w:rPr>
              <w:t>学分：</w:t>
            </w:r>
          </w:p>
        </w:tc>
        <w:tc>
          <w:tcPr>
            <w:tcW w:w="795" w:type="dxa"/>
            <w:tcBorders>
              <w:top w:val="single" w:color="000000" w:sz="6" w:space="0"/>
              <w:left w:val="nil"/>
              <w:bottom w:val="single" w:color="000000" w:sz="6" w:space="0"/>
              <w:right w:val="single" w:color="000000" w:sz="6" w:space="0"/>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ind w:left="75" w:right="0" w:firstLine="420"/>
            </w:pPr>
            <w:r>
              <w:rPr>
                <w:rFonts w:hint="eastAsia" w:ascii="黑体" w:hAnsi="宋体" w:eastAsia="黑体" w:cs="黑体"/>
                <w:i w:val="0"/>
                <w:iCs w:val="0"/>
                <w:caps w:val="0"/>
                <w:color w:val="FFFFFF"/>
                <w:spacing w:val="0"/>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55" w:type="dxa"/>
            <w:tcBorders>
              <w:top w:val="nil"/>
              <w:left w:val="single" w:color="000000" w:sz="6" w:space="0"/>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5" w:beforeAutospacing="0" w:after="0" w:afterAutospacing="0"/>
              <w:ind w:left="390" w:right="0" w:firstLine="420"/>
            </w:pPr>
            <w:r>
              <w:rPr>
                <w:rFonts w:hint="eastAsia" w:ascii="黑体" w:hAnsi="宋体" w:eastAsia="黑体" w:cs="黑体"/>
                <w:i w:val="0"/>
                <w:iCs w:val="0"/>
                <w:caps w:val="0"/>
                <w:color w:val="333333"/>
                <w:spacing w:val="0"/>
                <w:sz w:val="19"/>
                <w:szCs w:val="19"/>
                <w:bdr w:val="none" w:color="auto" w:sz="0" w:space="0"/>
              </w:rPr>
              <w:t>11</w:t>
            </w:r>
          </w:p>
        </w:tc>
        <w:tc>
          <w:tcPr>
            <w:tcW w:w="4425" w:type="dxa"/>
            <w:tcBorders>
              <w:top w:val="nil"/>
              <w:left w:val="nil"/>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285" w:right="0" w:firstLine="420"/>
            </w:pPr>
            <w:r>
              <w:rPr>
                <w:rFonts w:hint="eastAsia" w:ascii="黑体" w:hAnsi="宋体" w:eastAsia="黑体" w:cs="黑体"/>
                <w:i w:val="0"/>
                <w:iCs w:val="0"/>
                <w:caps w:val="0"/>
                <w:color w:val="333333"/>
                <w:spacing w:val="0"/>
                <w:sz w:val="19"/>
                <w:szCs w:val="19"/>
                <w:bdr w:val="none" w:color="auto" w:sz="0" w:space="0"/>
              </w:rPr>
              <w:t>项目管理project management</w:t>
            </w:r>
          </w:p>
        </w:tc>
        <w:tc>
          <w:tcPr>
            <w:tcW w:w="1755" w:type="dxa"/>
            <w:tcBorders>
              <w:top w:val="nil"/>
              <w:left w:val="nil"/>
              <w:bottom w:val="single" w:color="000000" w:sz="6" w:space="0"/>
              <w:right w:val="nil"/>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0" w:afterAutospacing="0"/>
              <w:ind w:left="0" w:right="0" w:firstLine="420"/>
              <w:jc w:val="right"/>
            </w:pPr>
            <w:r>
              <w:rPr>
                <w:rFonts w:hint="eastAsia" w:ascii="黑体" w:hAnsi="宋体" w:eastAsia="黑体" w:cs="黑体"/>
                <w:i w:val="0"/>
                <w:iCs w:val="0"/>
                <w:caps w:val="0"/>
                <w:color w:val="333333"/>
                <w:spacing w:val="-30"/>
                <w:sz w:val="19"/>
                <w:szCs w:val="19"/>
                <w:bdr w:val="none" w:color="auto" w:sz="0" w:space="0"/>
              </w:rPr>
              <w:t>学分：</w:t>
            </w:r>
          </w:p>
        </w:tc>
        <w:tc>
          <w:tcPr>
            <w:tcW w:w="795" w:type="dxa"/>
            <w:tcBorders>
              <w:top w:val="nil"/>
              <w:left w:val="nil"/>
              <w:bottom w:val="single" w:color="000000" w:sz="6" w:space="0"/>
              <w:right w:val="single" w:color="000000" w:sz="6" w:space="0"/>
            </w:tcBorders>
            <w:shd w:val="clear" w:color="auto" w:fill="C5C5C5"/>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75" w:right="0" w:firstLine="420"/>
            </w:pPr>
            <w:r>
              <w:rPr>
                <w:rFonts w:hint="eastAsia" w:ascii="黑体" w:hAnsi="宋体" w:eastAsia="黑体" w:cs="黑体"/>
                <w:i w:val="0"/>
                <w:iCs w:val="0"/>
                <w:caps w:val="0"/>
                <w:color w:val="333333"/>
                <w:spacing w:val="0"/>
                <w:sz w:val="19"/>
                <w:szCs w:val="19"/>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90" w:hRule="atLeast"/>
        </w:trPr>
        <w:tc>
          <w:tcPr>
            <w:tcW w:w="855" w:type="dxa"/>
            <w:tcBorders>
              <w:top w:val="nil"/>
              <w:left w:val="single" w:color="000000" w:sz="6" w:space="0"/>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ind w:left="390" w:right="0" w:firstLine="420"/>
            </w:pPr>
            <w:r>
              <w:rPr>
                <w:rFonts w:hint="eastAsia" w:ascii="黑体" w:hAnsi="宋体" w:eastAsia="黑体" w:cs="黑体"/>
                <w:i w:val="0"/>
                <w:iCs w:val="0"/>
                <w:caps w:val="0"/>
                <w:color w:val="FFFFFF"/>
                <w:spacing w:val="0"/>
                <w:sz w:val="19"/>
                <w:szCs w:val="19"/>
                <w:bdr w:val="none" w:color="auto" w:sz="0" w:space="0"/>
              </w:rPr>
              <w:t>12</w:t>
            </w:r>
          </w:p>
        </w:tc>
        <w:tc>
          <w:tcPr>
            <w:tcW w:w="4425" w:type="dxa"/>
            <w:tcBorders>
              <w:top w:val="nil"/>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315" w:right="0" w:firstLine="420"/>
            </w:pPr>
            <w:r>
              <w:rPr>
                <w:rFonts w:hint="eastAsia" w:ascii="黑体" w:hAnsi="宋体" w:eastAsia="黑体" w:cs="黑体"/>
                <w:i w:val="0"/>
                <w:iCs w:val="0"/>
                <w:caps w:val="0"/>
                <w:color w:val="FFFFFF"/>
                <w:spacing w:val="0"/>
                <w:sz w:val="19"/>
                <w:szCs w:val="19"/>
                <w:bdr w:val="none" w:color="auto" w:sz="0" w:space="0"/>
              </w:rPr>
              <w:t>国际商务International Business</w:t>
            </w:r>
          </w:p>
        </w:tc>
        <w:tc>
          <w:tcPr>
            <w:tcW w:w="1755" w:type="dxa"/>
            <w:tcBorders>
              <w:top w:val="nil"/>
              <w:left w:val="nil"/>
              <w:bottom w:val="single" w:color="000000" w:sz="6" w:space="0"/>
              <w:right w:val="nil"/>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ind w:left="0" w:right="0" w:firstLine="420"/>
              <w:jc w:val="right"/>
            </w:pPr>
            <w:r>
              <w:rPr>
                <w:rFonts w:hint="eastAsia" w:ascii="黑体" w:hAnsi="宋体" w:eastAsia="黑体" w:cs="黑体"/>
                <w:i w:val="0"/>
                <w:iCs w:val="0"/>
                <w:caps w:val="0"/>
                <w:color w:val="FFFFFF"/>
                <w:spacing w:val="-30"/>
                <w:sz w:val="19"/>
                <w:szCs w:val="19"/>
                <w:bdr w:val="none" w:color="auto" w:sz="0" w:space="0"/>
              </w:rPr>
              <w:t>学分：</w:t>
            </w:r>
          </w:p>
        </w:tc>
        <w:tc>
          <w:tcPr>
            <w:tcW w:w="795" w:type="dxa"/>
            <w:tcBorders>
              <w:top w:val="nil"/>
              <w:left w:val="nil"/>
              <w:bottom w:val="single" w:color="000000" w:sz="6" w:space="0"/>
              <w:right w:val="single" w:color="000000" w:sz="6" w:space="0"/>
            </w:tcBorders>
            <w:shd w:val="clear" w:color="auto" w:fill="293584"/>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90" w:right="0" w:firstLine="420"/>
            </w:pPr>
            <w:r>
              <w:rPr>
                <w:rFonts w:hint="eastAsia" w:ascii="黑体" w:hAnsi="宋体" w:eastAsia="黑体" w:cs="黑体"/>
                <w:i w:val="0"/>
                <w:iCs w:val="0"/>
                <w:caps w:val="0"/>
                <w:color w:val="FFFFFF"/>
                <w:spacing w:val="0"/>
                <w:sz w:val="19"/>
                <w:szCs w:val="19"/>
                <w:bdr w:val="none" w:color="auto" w:sz="0" w:space="0"/>
              </w:rPr>
              <w:t>2</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ind w:left="405" w:right="0" w:firstLine="42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FFFFFF"/>
          <w:spacing w:val="0"/>
          <w:sz w:val="18"/>
          <w:szCs w:val="18"/>
          <w:bdr w:val="none" w:color="auto" w:sz="0" w:space="0"/>
          <w:shd w:val="clear" w:fill="FFFFFF"/>
        </w:rPr>
        <w:t>13             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13             论文撰写指导 Thesis Writing Guidance            学分：6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校方或中国中心保留对课程或师资调整的权利，以课前发出的《课程通知》为准；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学生修满学分，进入论文辅导阶段，学生论文撰写原则上自主完成，也可以根据研究方向及选题在平台选择导师；  论文要求不少于15000英文字；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论文写作：准备开题及大纲→论文初稿→修改稿→定稿→校方审核。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录取对象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马来西亚理工大学实行“申请”入学制：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1、本科或相当于同等学历，并具有二年以上管理经验之报读者；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2、大专或相当于同等学历，并具有八年以上管理经验之报读者。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学费学制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学费：报名费人民币2600元，学费人民币</w:t>
      </w:r>
      <w:r>
        <w:rPr>
          <w:rFonts w:hint="eastAsia" w:ascii="微软雅黑" w:hAnsi="微软雅黑" w:eastAsia="微软雅黑" w:cs="微软雅黑"/>
          <w:i w:val="0"/>
          <w:iCs w:val="0"/>
          <w:caps w:val="0"/>
          <w:color w:val="FF0000"/>
          <w:spacing w:val="0"/>
          <w:sz w:val="21"/>
          <w:szCs w:val="21"/>
          <w:bdr w:val="none" w:color="auto" w:sz="0" w:space="0"/>
          <w:shd w:val="clear" w:fill="FFFFFF"/>
        </w:rPr>
        <w:t>88000元</w:t>
      </w:r>
      <w:r>
        <w:rPr>
          <w:rFonts w:hint="eastAsia" w:ascii="微软雅黑" w:hAnsi="微软雅黑" w:eastAsia="微软雅黑" w:cs="微软雅黑"/>
          <w:i w:val="0"/>
          <w:iCs w:val="0"/>
          <w:caps w:val="0"/>
          <w:color w:val="333333"/>
          <w:spacing w:val="0"/>
          <w:sz w:val="21"/>
          <w:szCs w:val="21"/>
          <w:bdr w:val="none" w:color="auto" w:sz="0" w:space="0"/>
          <w:shd w:val="clear" w:fill="FFFFFF"/>
        </w:rPr>
        <w:t>，可申请助学金10000-20000元。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学制1.5年，论文半年，实行学分制，其中必修课每门3-4学分，毕业论文6学分。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说明：论文辅导/翻译/印刷费、签证手续费、考察/游学期间的食宿/交通费自理。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在职学习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以课程学习、实践活动、课后自学、论文撰写为主，采取在职学习的方式完成课程，不耽误工作。根据PMBA的特点，结合培养 目标和选题意向，有针对性的开展社会实践活动，如企业参访、校际交流、管理前沿讲座等，用活动的方式帮助学员巩固学习成 果，提升学习效果。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证书授予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对完成并符合专业工商管理硕士课程主修要求的学生(达到最低34学分以上，并完成毕业论文),授予马来西亚理工大学专业工 商管理硕士学位。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报名流程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提交报名资料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报名申请表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毕业证书扫描件及英文翻译件(图片格式、大专学历须有8年工作经验) 成绩单(无成绩单，填写成绩单情况说明，图片格式)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身份证扫描件(图片格式、正反面)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护照照片(白底)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个人简历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推荐信一封(仅专科学历需要)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缴纳报名费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院校审核录取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审核通过者，5个工作日内予以下发预录取通知书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缴纳学费、修读学分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缴纳学费后，发录取通知书，进入课程学习阶段，修完课程 及完成每门课程作业，修满学分，成绩合格者进入下一阶段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成绩合格者可申请毕业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修完学科学分，进入撰写论文阶段，提交论文，申请毕业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毕业典礼、学位授予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参加毕业典礼，学院授予学位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2276475" cy="3276600"/>
            <wp:effectExtent l="0" t="0" r="9525" b="0"/>
            <wp:docPr id="3"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276475" cy="32766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拟邀导师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Lee Chew Tin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马来西亚理工大学教授，英国剑桥大学博士，亚洲低碳国 际会议副主席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Roselina Ahmad Saufi</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英国谢菲尔德大学博士，先后担任马来西亚理工大学管理 学院执行发展项目主席、马来西亚吉兰丹大学常务副院长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刘 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中南财经政法大学教授,博士生导师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陈 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北京邮电大学经济管理学院教授博士生导师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洪 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谷仓创业学院创始人、CEO2017年编著《小米生态链战地笔记》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李自杰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对外经济贸易大学国际商学院教授博阽鑽腒煨昨轍憤褡俠塞総嬅汉劼纯导师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贺正生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北京市衡基律师事务所创始合伙人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梁 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云经邦合伙人长虹多媒体产业公司首席发展顾问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娄炷 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中国人民大学管理学博士多所高校EMBA课程主讲老师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钱栋玉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三生智本董事长、企业管理专家知名投资人,企业转型升级系统创始人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高雄勇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前小米电视副总裁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新一代爆品工程提出者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靳卫萍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清华大学社会科学学院经济所副教授清华大学政治经济学研究中心研究部主任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张 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经济学博士，项目管理知识体系指南(PMBOK)第四版简体中文版译者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丁守海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中国人民大学经济学院教授博士生导师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潘 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国家工信部中小企业局“经营管理领军人才”项目“领导力项目”指定讲师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吴梓境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原金亚资本总经理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原方正证券产业金融部副总裁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刘百功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德荣投资集团董事长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西南财经大学企业赋能增长研究中心执行主任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潘 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战略管理与组织变革实战专家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上海财经大学500强研究中心研究员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212020"/>
          <w:spacing w:val="0"/>
          <w:sz w:val="21"/>
          <w:szCs w:val="21"/>
          <w:u w:val="none"/>
          <w:bdr w:val="none" w:color="auto" w:sz="0" w:space="0"/>
          <w:shd w:val="clear" w:fill="FFFFFF"/>
        </w:rPr>
        <w:drawing>
          <wp:inline distT="0" distB="0" distL="114300" distR="114300">
            <wp:extent cx="5362575" cy="7086600"/>
            <wp:effectExtent l="0" t="0" r="9525" b="0"/>
            <wp:docPr id="2" name="图片 3" descr="IMG_25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7"/>
                    <a:stretch>
                      <a:fillRect/>
                    </a:stretch>
                  </pic:blipFill>
                  <pic:spPr>
                    <a:xfrm>
                      <a:off x="0" y="0"/>
                      <a:ext cx="5362575" cy="70866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YWU3OWJmMjVhYWExMDJhYTQwZDkyZTU5MDY5NGIifQ=="/>
  </w:docVars>
  <w:rsids>
    <w:rsidRoot w:val="334F5CAE"/>
    <w:rsid w:val="334F5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javascrip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2024-07-09T03:41:00Z</dcterms:created>
  <dc:creator>冰冰⊙▽⊙＊</dc:creator>
  <cp:lastModifiedBy>冰冰⊙▽⊙＊</cp:lastModifiedBy>
  <dcterms:modified xsi:type="dcterms:W3CDTF">2024-07-09T03:41:46Z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948A458CA3E1456C8F16A9A8663EF246_11</vt:lpwstr>
  </property>
</Properties>
</file>