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布雷斯特资产管理与金融专业硕士（MF)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dr w:val="none" w:color="auto" w:sz="0" w:space="0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欧美皇冠专业  Optiomal specialit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领军人才选拔基地  Leading Talent Selection Base for Inustnand infomation Technology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2000+企业管理服务沉淀  2000+Enterprise management serviprecipitation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适合企业家学习的金融课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占据金融专业前十名一半席位的法国金融培育体系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参照全国金融硕士研究生教指委标准制定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国际通行学位 高校官网查询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中法教育部认可高校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金融学位教育的黄埔军校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严谨设计的教学环节，线上+线下、课前+课中+课后、教学+活动多维度展开学员金融思维和能力的培班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强大的师资团队，分别来自国内外知名高校、经济学界、投资界，形成了系统性的课程结构和务实的治学态度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14年金融EMBA教育经历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目前国内规模领先的新一代商企培育服务机构。成立14年来，始终专注企业和企业家成长的培养，目前已布局全国23个重点城市培育服务中心。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项目特色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贵州黔商企业管理服务中心作为企业家管理服务领军品牌，携手国家经济领域高级领导，知名经济学家、成功企业家，将培养未来商业领袖作为核心责任，以"知识+科技”的力量，为创业公司成长壮大传统企业转型升级保驾护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持续突破商企培育与产业的界限，独创“以学员为中心，以成果为导向"的OBE成果导向培育模型，独创学员一地报名，全国皆可学习的培育通路，并且走在时代前列，构建了线上、线下结合、无围培、无壁垒的5G培育方式，已成为中国商企培育的首选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课程背景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如果您是企业家，这门课程就是帮您筑牢金融知识的“地基”。让您跟上最前沿的发展趋势;让您学会运用金融的逻辑和手段，做好企业筹钱、花钱、分配利润、管理资金、调节资本结构等重大决策。这堂课的终极目标，就是让企业活下来并且活得更好、越来越值钱，实现价值的最大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如果您不是企业家，这门课程可以帮您去看懂公司到底在说什么、做什么?募资、上市、退市、分红期权、发债、并购、反敌意收购、技术创新，它们究竟是什么?它们又会如何影响到您的资产配置、投资计划、甚至影响到您的职业选择、生活方式呢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院校简介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布雷斯特商学院(Brest Business school，简称BBS)，创办于1962年。学校共开设3个校区，分别位于布雷斯特(Brest)、瓦纳(Vannes)和巴黎(Paris)。BBS在法国高等培育商学院排名35位全球高校网(4ICU)国家高校排名第193位。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布雷斯特商学院同时也是多个国际组织的成员:欧盟伊拉斯谟计划(Erasmus scheme)、国际商学院促进协会(AACSB Intemational)、欧洲国家培育协会(EAFIE)、欧洲管理发展基金会(EFMD)、拉丁美洲管理学院理事会(CLADEA)、国际大学创新联(IUIA)和国际互联网培育研究院(IERA)等。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布雷斯特商学院秉承法国高商纯正系统，于2002年开设金融硕士班(MF)，领跑国际标准，目前已是全球企业家进修学位的首选学院。在《金融时报》(FinancialTimes)发布的“2018年全球金融硕士项目"排名中，法国高商独占整头，连美国麻首理工学院(MIT)也只能屈居其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课程学习流程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录取对象: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本科或相当于同等学力，大专或相当于同等学力三年以上管理经验的企业管理者，通过入学面试。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学费与学制: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学费:RMB</w:t>
      </w:r>
      <w:r>
        <w:rPr>
          <w:rFonts w:hint="eastAsia" w:ascii="微软雅黑" w:hAnsi="微软雅黑" w:eastAsia="微软雅黑" w:cs="微软雅黑"/>
          <w:color w:val="FF0000"/>
          <w:bdr w:val="none" w:color="auto" w:sz="0" w:space="0"/>
        </w:rPr>
        <w:t>79800元</w:t>
      </w:r>
      <w:r>
        <w:rPr>
          <w:rFonts w:hint="eastAsia" w:ascii="微软雅黑" w:hAnsi="微软雅黑" w:eastAsia="微软雅黑" w:cs="微软雅黑"/>
          <w:bdr w:val="none" w:color="auto" w:sz="0" w:space="0"/>
        </w:rPr>
        <w:t>，报名费RMB2000元。食宿、交通、游学费用自理，报名后不接受任何理由退费。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参加过各大高校或商学院企业家培训，商协会担任重要职务者可申请相应奖学金减免金额。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学制:1.5年，论文半年。实行学分制。其中必修课每门4学分，选修课每门2学分;实践活动1次，2学分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在职学习: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以课程学习、实践活动、课后自学、论文撰写为主，采取在职学习的方式完成课程，不耽误工作。根据在职研究生的特点，结合培养目标和选题意向，有针对性地开展社会实践活动，如企业参访、校际交流:管理前沿讲座等，用活动的方式帮学员巩固学习成果提升学习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授予学位: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对完成并符合资产管理与金融专业硕士课程主修要求的学生(达到最低学分36学分以上，并通过毕业论文答辩)，授予资产管理与金融专业硕士学位。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学习目标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成为具有坚实金融学理论基础、构建体系化金融知识结构的专业人才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成为具有国际视野、竞争意识、团队精神、综合管理能力及金融能力的未来领导者和企业家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成为对资本资源具有判断力、谈判力和整合力的具有现代金融资本思维和能力的产融两栖企业家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具有综合运用金融学、经济学、管理学、资产管理以及金融工具解决理论问题与实践问题的应用能力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具有既了解国际金融业的前沿发展，又能密切联系中国实践的金融创新能力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课程结构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212020"/>
          <w:u w:val="none"/>
          <w:bdr w:val="none" w:color="auto" w:sz="0" w:space="0"/>
        </w:rPr>
        <w:drawing>
          <wp:inline distT="0" distB="0" distL="114300" distR="114300">
            <wp:extent cx="3790950" cy="6067425"/>
            <wp:effectExtent l="0" t="0" r="0" b="9525"/>
            <wp:docPr id="3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课程设置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212020"/>
          <w:u w:val="none"/>
          <w:bdr w:val="none" w:color="auto" w:sz="0" w:space="0"/>
        </w:rPr>
        <w:drawing>
          <wp:inline distT="0" distB="0" distL="114300" distR="114300">
            <wp:extent cx="4057650" cy="7400925"/>
            <wp:effectExtent l="0" t="0" r="0" b="9525"/>
            <wp:docPr id="4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212020"/>
          <w:u w:val="none"/>
          <w:bdr w:val="none" w:color="auto" w:sz="0" w:space="0"/>
        </w:rPr>
        <w:drawing>
          <wp:inline distT="0" distB="0" distL="114300" distR="114300">
            <wp:extent cx="4057650" cy="7267575"/>
            <wp:effectExtent l="0" t="0" r="0" b="9525"/>
            <wp:docPr id="5" name="图片 3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212020"/>
          <w:u w:val="none"/>
          <w:bdr w:val="none" w:color="auto" w:sz="0" w:space="0"/>
        </w:rPr>
        <w:drawing>
          <wp:inline distT="0" distB="0" distL="114300" distR="114300">
            <wp:extent cx="4057650" cy="5676900"/>
            <wp:effectExtent l="0" t="0" r="0" b="0"/>
            <wp:docPr id="1" name="图片 4" descr="IMG_25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实践活动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实践活动结合企业或项目，选择与本专业学习有关的企业案例分析，企业诊断报告及企业的创新创业实践等内容。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毕业论文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论文语言:中文，需翻译成英文提交BB5审核存档。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答辩地点:中国。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领衔导师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何茂春  清华大学经济外交中心主任、博导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LUC PONTET  布雷斯特商学院校长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Jean MOUSSAVOU  布雷斯特商学院教授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Abdelkader SBlH  布雷斯特商学院教授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张其亮  思科大中华区金融部原首席架构师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张云峰  上海股权托管交易中心总经理、党委书记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陆满平  博士，平安证券投资银行总部执行总经理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戴亦一  厦门大学管理学院教授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朱少平  全国人大财经委法案室主任、北京大学财税法研究中心教授中国政法大学破产法研究中心研究员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李 翀  北京师范大学经济与工商管理学院院长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金岩石  经济学家，被誉为“索罗斯的中国门徒“纳斯达克市场的活字典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房西苑  曾任美国CAPITALHOUSE投资集团驻中国首席代表，曾服务于高盛投资银行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庞 红  中国人民大学财政金融学院货币金融系教授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周 立  博士，清华大学经济管理学院会计系教授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陈家强  香港银行学会专业导师及CFMP考试主考官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徐 旻  赛伯乐投资合伙人，股权研究院(民政部注册)副院长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齐 吴  曾就职普华永道会计师事务所、和记黄埔联营机构TOM集团，原阳光七星CFO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张 伟  北京大学投资银行学会会长，北京大学金融与产业发展研究中心研究员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丁志国  吉林大学商学院金融学教授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史 璐  中央民族大学教授，国家发改委重点课题编制组主持与规划专家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王红英  中国(香港)金融衍生品投资研究院院长，清华五道口教育专家委员会副主任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资质证书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212020"/>
          <w:u w:val="none"/>
          <w:bdr w:val="none" w:color="auto" w:sz="0" w:space="0"/>
        </w:rPr>
        <w:drawing>
          <wp:inline distT="0" distB="0" distL="114300" distR="114300">
            <wp:extent cx="6191250" cy="9286875"/>
            <wp:effectExtent l="0" t="0" r="0" b="9525"/>
            <wp:docPr id="2" name="图片 5" descr="IMG_26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申请材料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申请表(中英文)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个人履历(中英文分2个文件)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最高学历证书原件和复印件及美交翻译件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身份证原件、复印件及英文翻译件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白底两寸照片4张和电子版:电子版照片DPI像素300以上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名片4张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推荐信1封(中文即可)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就职公司简介(中文即可):100字以上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学籍注册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学生确认录取后，统一进行学籍注册。注册完成后，布雷斯特商学院(BBS)提供学生号码(student ID)、注册信、学生证等相关材料给黔商企业管理服务中心。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537F46E4"/>
    <w:rsid w:val="537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2024-07-08T22:59:00Z</dcterms:created>
  <dc:creator>冰冰⊙▽⊙＊</dc:creator>
  <cp:lastModifiedBy>冰冰⊙▽⊙＊</cp:lastModifiedBy>
  <dcterms:modified xsi:type="dcterms:W3CDTF">2024-07-08T22:59:57Z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CE331A4C0DBC417B9AF0D7CCD0F6A3F2_11</vt:lpwstr>
  </property>
</Properties>
</file>