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77"/>
      </w:pPr>
      <w:bookmarkStart w:id="0" w:name="_GoBack"/>
      <w:bookmarkEnd w:id="0"/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10374630</wp:posOffset>
            </wp:positionH>
            <wp:positionV relativeFrom="page">
              <wp:posOffset>266065</wp:posOffset>
            </wp:positionV>
            <wp:extent cx="823595" cy="45593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3783" cy="45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footerReference r:id="rId5" w:type="default"/>
          <w:pgSz w:w="31680" w:h="10751"/>
          <w:pgMar w:top="0" w:right="0" w:bottom="1" w:left="0" w:header="0" w:footer="0" w:gutter="0"/>
          <w:cols w:equalWidth="0" w:num="1">
            <w:col w:w="31680"/>
          </w:cols>
        </w:sectPr>
      </w:pPr>
    </w:p>
    <w:p>
      <w:pPr>
        <w:pStyle w:val="2"/>
        <w:spacing w:line="304" w:lineRule="auto"/>
      </w:pPr>
    </w:p>
    <w:p>
      <w:pPr>
        <w:pStyle w:val="2"/>
        <w:spacing w:line="304" w:lineRule="auto"/>
      </w:pPr>
    </w:p>
    <w:p>
      <w:pPr>
        <w:pStyle w:val="2"/>
        <w:spacing w:line="8708" w:lineRule="exact"/>
        <w:ind w:firstLine="745"/>
      </w:pPr>
      <w:r>
        <w:rPr>
          <w:position w:val="-174"/>
        </w:rPr>
        <w:pict>
          <v:group id="_x0000_s1026" o:spid="_x0000_s1026" o:spt="203" style="height:435.45pt;width:317.7pt;" coordsize="6354,8709">
            <o:lock v:ext="edit"/>
            <v:shape id="_x0000_s1027" o:spid="_x0000_s1027" o:spt="75" type="#_x0000_t75" style="position:absolute;left:0;top:0;height:8709;width:6354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28" o:spid="_x0000_s1028" o:spt="202" type="#_x0000_t202" style="position:absolute;left:214;top:83;height:8440;width:601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31" w:lineRule="auto"/>
                      <w:ind w:left="20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910E17"/>
                        <w:spacing w:val="25"/>
                        <w:sz w:val="14"/>
                        <w:szCs w:val="14"/>
                      </w:rPr>
                      <w:t>拟邀导师</w:t>
                    </w: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2" w:line="203" w:lineRule="auto"/>
                      <w:ind w:left="4122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11"/>
                        <w:szCs w:val="11"/>
                      </w:rPr>
                      <w:t>Didier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5"/>
                        <w:sz w:val="11"/>
                        <w:szCs w:val="11"/>
                      </w:rPr>
                      <w:t xml:space="preserve">       </w:t>
                    </w:r>
                    <w:r>
                      <w:rPr>
                        <w:rFonts w:ascii="Arial" w:hAnsi="Arial" w:eastAsia="Arial" w:cs="Arial"/>
                        <w:color w:val="FFFFFF"/>
                        <w:sz w:val="11"/>
                        <w:szCs w:val="11"/>
                      </w:rPr>
                      <w:t>CHABANET</w:t>
                    </w:r>
                  </w:p>
                  <w:p>
                    <w:pPr>
                      <w:spacing w:before="88" w:line="226" w:lineRule="auto"/>
                      <w:ind w:left="412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FFFFFF"/>
                        <w:spacing w:val="-3"/>
                        <w:sz w:val="11"/>
                        <w:szCs w:val="11"/>
                      </w:rPr>
                      <w:t>IDRAC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3"/>
                        <w:sz w:val="11"/>
                        <w:szCs w:val="11"/>
                      </w:rPr>
                      <w:t>商学院研究部主任</w:t>
                    </w:r>
                  </w:p>
                  <w:p>
                    <w:pPr>
                      <w:spacing w:before="18" w:line="226" w:lineRule="auto"/>
                      <w:ind w:left="412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7"/>
                        <w:sz w:val="11"/>
                        <w:szCs w:val="11"/>
                      </w:rPr>
                      <w:t>里昂高等师范学校三角实验室高级研究员</w:t>
                    </w:r>
                  </w:p>
                  <w:p>
                    <w:pPr>
                      <w:spacing w:line="28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6" w:line="231" w:lineRule="auto"/>
                      <w:ind w:left="4124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6"/>
                        <w:sz w:val="14"/>
                        <w:szCs w:val="14"/>
                      </w:rPr>
                      <w:t>曹际鹏</w:t>
                    </w:r>
                  </w:p>
                  <w:p>
                    <w:pPr>
                      <w:spacing w:before="77" w:line="226" w:lineRule="auto"/>
                      <w:ind w:left="412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5"/>
                        <w:sz w:val="11"/>
                        <w:szCs w:val="11"/>
                      </w:rPr>
                      <w:t>维新中国管理研究院首席顾问</w:t>
                    </w:r>
                  </w:p>
                  <w:p>
                    <w:pPr>
                      <w:spacing w:before="18" w:line="226" w:lineRule="auto"/>
                      <w:ind w:left="412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7"/>
                        <w:sz w:val="11"/>
                        <w:szCs w:val="11"/>
                      </w:rPr>
                      <w:t>北京大学信息学院管理咨询委员会副主任</w:t>
                    </w:r>
                  </w:p>
                  <w:p>
                    <w:pPr>
                      <w:spacing w:line="31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7" w:line="230" w:lineRule="auto"/>
                      <w:ind w:left="842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3"/>
                        <w:sz w:val="14"/>
                        <w:szCs w:val="14"/>
                      </w:rPr>
                      <w:t>高辉清</w:t>
                    </w:r>
                  </w:p>
                  <w:p>
                    <w:pPr>
                      <w:spacing w:before="84" w:line="146" w:lineRule="exact"/>
                      <w:ind w:left="84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5"/>
                        <w:position w:val="2"/>
                        <w:sz w:val="11"/>
                        <w:szCs w:val="11"/>
                      </w:rPr>
                      <w:t>国家信息中心战略规划研究院副院长</w:t>
                    </w:r>
                  </w:p>
                  <w:p>
                    <w:pPr>
                      <w:spacing w:line="226" w:lineRule="auto"/>
                      <w:ind w:left="84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4"/>
                        <w:sz w:val="11"/>
                        <w:szCs w:val="11"/>
                      </w:rPr>
                      <w:t>国家信息中心经济预测部处长</w:t>
                    </w:r>
                  </w:p>
                  <w:p>
                    <w:pPr>
                      <w:spacing w:line="30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7" w:line="232" w:lineRule="auto"/>
                      <w:ind w:left="844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5"/>
                        <w:sz w:val="14"/>
                        <w:szCs w:val="14"/>
                      </w:rPr>
                      <w:t>高雄勇</w:t>
                    </w:r>
                  </w:p>
                  <w:p>
                    <w:pPr>
                      <w:spacing w:before="77" w:line="152" w:lineRule="exact"/>
                      <w:ind w:left="84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1"/>
                        <w:position w:val="3"/>
                        <w:sz w:val="11"/>
                        <w:szCs w:val="11"/>
                      </w:rPr>
                      <w:t>飞马爆品工坊创始人</w:t>
                    </w:r>
                  </w:p>
                  <w:p>
                    <w:pPr>
                      <w:spacing w:line="226" w:lineRule="auto"/>
                      <w:ind w:left="84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4"/>
                        <w:sz w:val="11"/>
                        <w:szCs w:val="11"/>
                      </w:rPr>
                      <w:t>原小米电视副总裁</w:t>
                    </w:r>
                  </w:p>
                  <w:p>
                    <w:pPr>
                      <w:spacing w:line="31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6" w:line="230" w:lineRule="auto"/>
                      <w:ind w:left="844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6"/>
                        <w:sz w:val="14"/>
                        <w:szCs w:val="14"/>
                      </w:rPr>
                      <w:t>程志超</w:t>
                    </w:r>
                  </w:p>
                  <w:p>
                    <w:pPr>
                      <w:spacing w:before="106" w:line="235" w:lineRule="auto"/>
                      <w:ind w:left="84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6"/>
                        <w:sz w:val="11"/>
                        <w:szCs w:val="11"/>
                      </w:rPr>
                      <w:t>北京航空航天大学教授、博士生导师</w:t>
                    </w:r>
                  </w:p>
                  <w:p>
                    <w:pPr>
                      <w:spacing w:line="226" w:lineRule="auto"/>
                      <w:ind w:left="84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1"/>
                        <w:sz w:val="11"/>
                        <w:szCs w:val="11"/>
                      </w:rPr>
                      <w:t>中国</w:t>
                    </w:r>
                    <w:r>
                      <w:rPr>
                        <w:rFonts w:ascii="Times New Roman" w:hAnsi="Times New Roman" w:eastAsia="Times New Roman" w:cs="Times New Roman"/>
                        <w:color w:val="FFFFFF"/>
                        <w:spacing w:val="-1"/>
                        <w:sz w:val="11"/>
                        <w:szCs w:val="11"/>
                      </w:rPr>
                      <w:t>EDP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"/>
                        <w:sz w:val="11"/>
                        <w:szCs w:val="11"/>
                      </w:rPr>
                      <w:t>教育联盟秘书长</w:t>
                    </w:r>
                  </w:p>
                  <w:p>
                    <w:pPr>
                      <w:spacing w:line="32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6" w:line="229" w:lineRule="auto"/>
                      <w:ind w:left="842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3"/>
                        <w:sz w:val="14"/>
                        <w:szCs w:val="14"/>
                      </w:rPr>
                      <w:t>陶向南</w:t>
                    </w:r>
                  </w:p>
                  <w:p>
                    <w:pPr>
                      <w:spacing w:before="72" w:line="226" w:lineRule="auto"/>
                      <w:ind w:left="84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2"/>
                        <w:sz w:val="11"/>
                        <w:szCs w:val="11"/>
                      </w:rPr>
                      <w:t>管理学博士</w:t>
                    </w:r>
                  </w:p>
                  <w:p>
                    <w:pPr>
                      <w:spacing w:before="5" w:line="226" w:lineRule="auto"/>
                      <w:ind w:left="84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4"/>
                        <w:sz w:val="11"/>
                        <w:szCs w:val="11"/>
                      </w:rPr>
                      <w:t>澳门科技大学教授</w:t>
                    </w:r>
                    <w:r>
                      <w:rPr>
                        <w:rFonts w:ascii="黑体" w:hAnsi="黑体" w:eastAsia="黑体" w:cs="黑体"/>
                        <w:color w:val="FAA322"/>
                        <w:spacing w:val="-4"/>
                        <w:sz w:val="11"/>
                        <w:szCs w:val="11"/>
                      </w:rPr>
                      <w:t>、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4"/>
                        <w:sz w:val="11"/>
                        <w:szCs w:val="11"/>
                      </w:rPr>
                      <w:t>博士生导师</w:t>
                    </w:r>
                  </w:p>
                  <w:p>
                    <w:pPr>
                      <w:spacing w:line="30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6" w:line="233" w:lineRule="auto"/>
                      <w:ind w:left="842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2"/>
                        <w:sz w:val="14"/>
                        <w:szCs w:val="14"/>
                      </w:rPr>
                      <w:t>梁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3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2"/>
                        <w:sz w:val="14"/>
                        <w:szCs w:val="14"/>
                      </w:rPr>
                      <w:t>慧</w:t>
                    </w:r>
                  </w:p>
                  <w:p>
                    <w:pPr>
                      <w:spacing w:before="119" w:line="227" w:lineRule="auto"/>
                      <w:ind w:left="84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1"/>
                        <w:sz w:val="11"/>
                        <w:szCs w:val="11"/>
                      </w:rPr>
                      <w:t>云经邦合伙人</w:t>
                    </w:r>
                  </w:p>
                  <w:p>
                    <w:pPr>
                      <w:spacing w:before="4" w:line="226" w:lineRule="auto"/>
                      <w:ind w:left="84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2"/>
                        <w:sz w:val="11"/>
                        <w:szCs w:val="11"/>
                      </w:rPr>
                      <w:t>长虹多媒体产业公司首席发展顾问</w:t>
                    </w:r>
                  </w:p>
                  <w:p>
                    <w:pPr>
                      <w:spacing w:line="30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6" w:line="230" w:lineRule="auto"/>
                      <w:ind w:left="4122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3"/>
                        <w:sz w:val="14"/>
                        <w:szCs w:val="14"/>
                      </w:rPr>
                      <w:t>刘百功</w:t>
                    </w:r>
                  </w:p>
                  <w:p>
                    <w:pPr>
                      <w:spacing w:before="90" w:line="227" w:lineRule="auto"/>
                      <w:ind w:left="412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4"/>
                        <w:sz w:val="11"/>
                        <w:szCs w:val="11"/>
                      </w:rPr>
                      <w:t>德荣投资集团董事长</w:t>
                    </w:r>
                  </w:p>
                  <w:p>
                    <w:pPr>
                      <w:spacing w:before="16" w:line="225" w:lineRule="auto"/>
                      <w:ind w:right="3"/>
                      <w:jc w:val="right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9"/>
                        <w:w w:val="94"/>
                        <w:sz w:val="11"/>
                        <w:szCs w:val="11"/>
                      </w:rPr>
                      <w:t>西南财经大学企业赋能增长研究中心执行主任</w:t>
                    </w:r>
                  </w:p>
                  <w:p>
                    <w:pPr>
                      <w:spacing w:line="27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6" w:line="229" w:lineRule="auto"/>
                      <w:ind w:left="842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z w:val="14"/>
                        <w:szCs w:val="14"/>
                      </w:rPr>
                      <w:t>钱栋玉</w:t>
                    </w:r>
                  </w:p>
                  <w:p>
                    <w:pPr>
                      <w:spacing w:before="92" w:line="214" w:lineRule="auto"/>
                      <w:ind w:left="84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11"/>
                        <w:w w:val="97"/>
                        <w:sz w:val="11"/>
                        <w:szCs w:val="11"/>
                      </w:rPr>
                      <w:t>三生智本董事长、企业管理专家</w:t>
                    </w:r>
                  </w:p>
                  <w:p>
                    <w:pPr>
                      <w:spacing w:line="218" w:lineRule="auto"/>
                      <w:ind w:left="842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9"/>
                        <w:w w:val="95"/>
                        <w:sz w:val="11"/>
                        <w:szCs w:val="11"/>
                      </w:rPr>
                      <w:t>知名投资人，企业转型升级系统创始人</w:t>
                    </w:r>
                  </w:p>
                </w:txbxContent>
              </v:textbox>
            </v:shape>
            <v:shape id="_x0000_s1029" o:spid="_x0000_s1029" o:spt="202" type="#_x0000_t202" style="position:absolute;left:1037;top:1679;height:562;width:18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9" w:lineRule="auto"/>
                      <w:ind w:left="21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4"/>
                        <w:szCs w:val="14"/>
                      </w:rPr>
                      <w:t>雎国余</w:t>
                    </w:r>
                  </w:p>
                  <w:p>
                    <w:pPr>
                      <w:spacing w:before="80" w:line="241" w:lineRule="auto"/>
                      <w:ind w:left="20" w:right="2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9"/>
                        <w:sz w:val="11"/>
                        <w:szCs w:val="11"/>
                      </w:rPr>
                      <w:t>北京大学经济学院前任副院长、党委书记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7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4"/>
                        <w:sz w:val="11"/>
                        <w:szCs w:val="11"/>
                      </w:rPr>
                      <w:t>现任北京大学经济研究所所长</w:t>
                    </w:r>
                  </w:p>
                </w:txbxContent>
              </v:textbox>
            </v:shape>
            <v:shape id="_x0000_s1030" o:spid="_x0000_s1030" o:spt="202" type="#_x0000_t202" style="position:absolute;left:4317;top:3478;height:574;width:176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31" w:lineRule="auto"/>
                      <w:ind w:left="20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4"/>
                        <w:sz w:val="14"/>
                        <w:szCs w:val="14"/>
                      </w:rPr>
                      <w:t>郑加成</w:t>
                    </w:r>
                  </w:p>
                  <w:p>
                    <w:pPr>
                      <w:spacing w:before="96" w:line="233" w:lineRule="auto"/>
                      <w:ind w:left="20" w:right="2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3"/>
                        <w:sz w:val="11"/>
                        <w:szCs w:val="11"/>
                      </w:rPr>
                      <w:t>浙江大学区域经济开放与发展研究中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9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5"/>
                        <w:sz w:val="11"/>
                        <w:szCs w:val="11"/>
                      </w:rPr>
                      <w:t>心副秘书长，经济学院副教授</w:t>
                    </w:r>
                  </w:p>
                </w:txbxContent>
              </v:textbox>
            </v:shape>
            <v:shape id="_x0000_s1031" o:spid="_x0000_s1031" o:spt="202" type="#_x0000_t202" style="position:absolute;left:4317;top:2580;height:559;width:17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31" w:lineRule="auto"/>
                      <w:ind w:left="20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4"/>
                        <w:sz w:val="14"/>
                        <w:szCs w:val="14"/>
                      </w:rPr>
                      <w:t>靳卫萍</w:t>
                    </w:r>
                  </w:p>
                  <w:p>
                    <w:pPr>
                      <w:spacing w:before="82" w:line="236" w:lineRule="auto"/>
                      <w:ind w:left="20" w:right="2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5"/>
                        <w:sz w:val="11"/>
                        <w:szCs w:val="11"/>
                      </w:rPr>
                      <w:t>清华大学社会科学学院经济所副教授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1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4"/>
                        <w:sz w:val="11"/>
                        <w:szCs w:val="11"/>
                      </w:rPr>
                      <w:t>清华大学政治经济学研究中心秘书</w:t>
                    </w:r>
                  </w:p>
                </w:txbxContent>
              </v:textbox>
            </v:shape>
            <v:shape id="_x0000_s1032" o:spid="_x0000_s1032" o:spt="202" type="#_x0000_t202" style="position:absolute;left:1037;top:7103;height:572;width:156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30" w:lineRule="auto"/>
                      <w:ind w:left="20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1"/>
                        <w:sz w:val="14"/>
                        <w:szCs w:val="14"/>
                      </w:rPr>
                      <w:t>刘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1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"/>
                        <w:sz w:val="14"/>
                        <w:szCs w:val="14"/>
                      </w:rPr>
                      <w:t>圻</w:t>
                    </w:r>
                  </w:p>
                  <w:p>
                    <w:pPr>
                      <w:spacing w:before="84" w:line="246" w:lineRule="auto"/>
                      <w:ind w:left="20" w:right="2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10"/>
                        <w:w w:val="95"/>
                        <w:sz w:val="11"/>
                        <w:szCs w:val="11"/>
                      </w:rPr>
                      <w:t>中南财经政法大学教授，博士生导师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8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1"/>
                        <w:sz w:val="11"/>
                        <w:szCs w:val="11"/>
                      </w:rPr>
                      <w:t>澳大利亚科廷科技大学访问学者</w:t>
                    </w:r>
                  </w:p>
                </w:txbxContent>
              </v:textbox>
            </v:shape>
            <v:shape id="_x0000_s1033" o:spid="_x0000_s1033" o:spt="202" type="#_x0000_t202" style="position:absolute;left:4317;top:5294;height:552;width:15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31" w:lineRule="auto"/>
                      <w:ind w:left="20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z w:val="14"/>
                        <w:szCs w:val="14"/>
                      </w:rPr>
                      <w:t>宋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2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z w:val="14"/>
                        <w:szCs w:val="14"/>
                      </w:rPr>
                      <w:t>华</w:t>
                    </w:r>
                  </w:p>
                  <w:p>
                    <w:pPr>
                      <w:spacing w:before="95" w:line="221" w:lineRule="auto"/>
                      <w:ind w:left="20" w:right="2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2"/>
                        <w:sz w:val="11"/>
                        <w:szCs w:val="11"/>
                      </w:rPr>
                      <w:t>中国人民大学商学院党委副书记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1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9"/>
                        <w:sz w:val="11"/>
                        <w:szCs w:val="11"/>
                      </w:rPr>
                      <w:t>教授</w:t>
                    </w:r>
                  </w:p>
                </w:txbxContent>
              </v:textbox>
            </v:shape>
            <v:shape id="_x0000_s1034" o:spid="_x0000_s1034" o:spt="202" type="#_x0000_t202" style="position:absolute;left:4317;top:8013;height:540;width:14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7" w:lineRule="auto"/>
                      <w:ind w:left="2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2"/>
                        <w:sz w:val="11"/>
                        <w:szCs w:val="11"/>
                      </w:rPr>
                      <w:t>许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1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2"/>
                        <w:sz w:val="11"/>
                        <w:szCs w:val="11"/>
                      </w:rPr>
                      <w:t>志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2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2"/>
                        <w:sz w:val="11"/>
                        <w:szCs w:val="11"/>
                      </w:rPr>
                      <w:t>勇</w:t>
                    </w:r>
                  </w:p>
                  <w:p>
                    <w:pPr>
                      <w:spacing w:before="117" w:line="223" w:lineRule="auto"/>
                      <w:ind w:left="2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6"/>
                        <w:sz w:val="11"/>
                        <w:szCs w:val="11"/>
                      </w:rPr>
                      <w:t>高级会计师、注册会计师</w:t>
                    </w:r>
                  </w:p>
                  <w:p>
                    <w:pPr>
                      <w:spacing w:line="226" w:lineRule="auto"/>
                      <w:ind w:left="2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2"/>
                        <w:sz w:val="11"/>
                        <w:szCs w:val="11"/>
                      </w:rPr>
                      <w:t>财政部财政科学研究所研究员</w:t>
                    </w:r>
                  </w:p>
                </w:txbxContent>
              </v:textbox>
            </v:shape>
            <v:shape id="_x0000_s1035" o:spid="_x0000_s1035" o:spt="202" type="#_x0000_t202" style="position:absolute;left:4317;top:6196;height:575;width:13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30" w:lineRule="auto"/>
                      <w:ind w:left="21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6"/>
                        <w:sz w:val="14"/>
                        <w:szCs w:val="14"/>
                      </w:rPr>
                      <w:t>吴梓境</w:t>
                    </w:r>
                  </w:p>
                  <w:p>
                    <w:pPr>
                      <w:spacing w:before="85" w:line="227" w:lineRule="auto"/>
                      <w:ind w:left="2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2"/>
                        <w:sz w:val="11"/>
                        <w:szCs w:val="11"/>
                      </w:rPr>
                      <w:t>原金亚资本总经理</w:t>
                    </w:r>
                  </w:p>
                  <w:p>
                    <w:pPr>
                      <w:spacing w:before="24" w:line="226" w:lineRule="auto"/>
                      <w:ind w:left="2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2"/>
                        <w:sz w:val="11"/>
                        <w:szCs w:val="11"/>
                      </w:rPr>
                      <w:t>方正证券产业金融部副总裁</w:t>
                    </w:r>
                  </w:p>
                </w:txbxContent>
              </v:textbox>
            </v:shape>
            <v:shape id="_x0000_s1036" o:spid="_x0000_s1036" o:spt="202" type="#_x0000_t202" style="position:absolute;left:1037;top:866;height:482;width:158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3" w:lineRule="auto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11"/>
                        <w:szCs w:val="11"/>
                      </w:rPr>
                      <w:t>Herbert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5"/>
                        <w:sz w:val="11"/>
                        <w:szCs w:val="11"/>
                      </w:rPr>
                      <w:t xml:space="preserve">       </w:t>
                    </w:r>
                    <w:r>
                      <w:rPr>
                        <w:rFonts w:ascii="Arial" w:hAnsi="Arial" w:eastAsia="Arial" w:cs="Arial"/>
                        <w:color w:val="FFFFFF"/>
                        <w:sz w:val="11"/>
                        <w:szCs w:val="11"/>
                      </w:rPr>
                      <w:t>CASTERAN</w:t>
                    </w:r>
                  </w:p>
                  <w:p>
                    <w:pPr>
                      <w:spacing w:before="83" w:line="229" w:lineRule="auto"/>
                      <w:ind w:left="20" w:right="2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6"/>
                        <w:sz w:val="11"/>
                        <w:szCs w:val="11"/>
                      </w:rPr>
                      <w:t>管理科学博士，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6"/>
                        <w:sz w:val="11"/>
                        <w:szCs w:val="11"/>
                      </w:rPr>
                      <w:t>IDRAC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1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6"/>
                        <w:sz w:val="11"/>
                        <w:szCs w:val="11"/>
                      </w:rPr>
                      <w:t>商学院院长</w:t>
                    </w:r>
                    <w:r>
                      <w:rPr>
                        <w:rFonts w:ascii="黑体" w:hAnsi="黑体" w:eastAsia="黑体" w:cs="黑体"/>
                        <w:color w:val="FFFFFF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"/>
                        <w:sz w:val="11"/>
                        <w:szCs w:val="11"/>
                      </w:rPr>
                      <w:t>曾任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1"/>
                        <w:sz w:val="11"/>
                        <w:szCs w:val="11"/>
                      </w:rPr>
                      <w:t>EM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13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"/>
                        <w:sz w:val="11"/>
                        <w:szCs w:val="11"/>
                      </w:rPr>
                      <w:t>斯特拉斯堡商学院院长</w:t>
                    </w:r>
                  </w:p>
                </w:txbxContent>
              </v:textbox>
            </v:shape>
            <v:shape id="_x0000_s1037" o:spid="_x0000_s1037" o:spt="202" type="#_x0000_t202" style="position:absolute;left:4317;top:4382;height:574;width:13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30" w:lineRule="auto"/>
                      <w:ind w:left="20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3"/>
                        <w:sz w:val="14"/>
                        <w:szCs w:val="14"/>
                      </w:rPr>
                      <w:t>丁守海</w:t>
                    </w:r>
                  </w:p>
                  <w:p>
                    <w:pPr>
                      <w:spacing w:before="102" w:line="232" w:lineRule="auto"/>
                      <w:ind w:left="20" w:right="2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5"/>
                        <w:sz w:val="11"/>
                        <w:szCs w:val="11"/>
                      </w:rPr>
                      <w:t>中国人民大学经济学院教授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8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2"/>
                        <w:sz w:val="11"/>
                        <w:szCs w:val="11"/>
                      </w:rPr>
                      <w:t>博士生导师</w:t>
                    </w:r>
                  </w:p>
                </w:txbxContent>
              </v:textbox>
            </v:shape>
            <v:shape id="_x0000_s1038" o:spid="_x0000_s1038" o:spt="202" type="#_x0000_t202" style="position:absolute;left:5182;top:121;height:125;width:99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3" w:lineRule="auto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color w:val="C5686E"/>
                        <w:spacing w:val="-6"/>
                        <w:sz w:val="11"/>
                        <w:szCs w:val="11"/>
                      </w:rPr>
                      <w:t>PROPOSED TUTOR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85" w:line="191" w:lineRule="auto"/>
        <w:rPr>
          <w:rFonts w:ascii="黑体" w:hAnsi="黑体" w:eastAsia="黑体" w:cs="黑体"/>
          <w:sz w:val="57"/>
          <w:szCs w:val="5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-7069455</wp:posOffset>
            </wp:positionH>
            <wp:positionV relativeFrom="paragraph">
              <wp:posOffset>-2748280</wp:posOffset>
            </wp:positionV>
            <wp:extent cx="20116800" cy="682688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6826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FFFFFF"/>
          <w:spacing w:val="-38"/>
          <w:w w:val="72"/>
          <w:sz w:val="57"/>
          <w:szCs w:val="57"/>
        </w:rPr>
        <w:t>華商領</w:t>
      </w:r>
    </w:p>
    <w:p>
      <w:pPr>
        <w:spacing w:line="192" w:lineRule="auto"/>
        <w:ind w:left="9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color w:val="FFFFFF"/>
          <w:spacing w:val="1"/>
          <w:sz w:val="11"/>
          <w:szCs w:val="11"/>
        </w:rPr>
        <w:t>HUASHANG</w:t>
      </w:r>
      <w:r>
        <w:rPr>
          <w:rFonts w:ascii="Times New Roman" w:hAnsi="Times New Roman" w:eastAsia="Times New Roman" w:cs="Times New Roman"/>
          <w:color w:val="FFFFFF"/>
          <w:spacing w:val="5"/>
          <w:sz w:val="11"/>
          <w:szCs w:val="11"/>
        </w:rPr>
        <w:t xml:space="preserve">      </w:t>
      </w:r>
      <w:r>
        <w:rPr>
          <w:rFonts w:ascii="Times New Roman" w:hAnsi="Times New Roman" w:eastAsia="Times New Roman" w:cs="Times New Roman"/>
          <w:color w:val="FFFFFF"/>
          <w:spacing w:val="1"/>
          <w:sz w:val="11"/>
          <w:szCs w:val="11"/>
        </w:rPr>
        <w:t>LINGJUN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85" w:line="191" w:lineRule="auto"/>
        <w:ind w:left="55"/>
        <w:rPr>
          <w:rFonts w:ascii="黑体" w:hAnsi="黑体" w:eastAsia="黑体" w:cs="黑体"/>
          <w:sz w:val="57"/>
          <w:szCs w:val="57"/>
        </w:rPr>
      </w:pPr>
      <w:r>
        <w:rPr>
          <w:rFonts w:ascii="黑体" w:hAnsi="黑体" w:eastAsia="黑体" w:cs="黑体"/>
          <w:b/>
          <w:bCs/>
          <w:color w:val="FFFFFF"/>
          <w:spacing w:val="-6"/>
          <w:sz w:val="57"/>
          <w:szCs w:val="57"/>
        </w:rPr>
        <w:t>厚</w:t>
      </w:r>
    </w:p>
    <w:p>
      <w:pPr>
        <w:spacing w:line="192" w:lineRule="auto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color w:val="FFFFFF"/>
          <w:spacing w:val="1"/>
          <w:sz w:val="11"/>
          <w:szCs w:val="11"/>
        </w:rPr>
        <w:t>BUSINESS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62" w:line="226" w:lineRule="auto"/>
        <w:ind w:left="5953" w:right="1455" w:hanging="731"/>
        <w:rPr>
          <w:sz w:val="11"/>
          <w:szCs w:val="11"/>
        </w:rPr>
      </w:pPr>
      <w:r>
        <w:pict>
          <v:shape id="_x0000_s1039" o:spid="_x0000_s1039" o:spt="202" type="#_x0000_t202" style="position:absolute;left:0pt;margin-left:96.45pt;margin-top:12.85pt;height:16.4pt;width:56.3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3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FFFFFF"/>
                      <w:spacing w:val="2"/>
                      <w:sz w:val="14"/>
                      <w:szCs w:val="14"/>
                    </w:rPr>
                    <w:t>IDEVENEZ</w:t>
                  </w:r>
                </w:p>
                <w:p>
                  <w:pPr>
                    <w:pStyle w:val="2"/>
                    <w:spacing w:before="13" w:line="206" w:lineRule="auto"/>
                    <w:ind w:left="93"/>
                    <w:rPr>
                      <w:sz w:val="14"/>
                      <w:szCs w:val="14"/>
                    </w:rPr>
                  </w:pPr>
                  <w:r>
                    <w:rPr>
                      <w:color w:val="FFFFFF"/>
                      <w:spacing w:val="3"/>
                      <w:sz w:val="14"/>
                      <w:szCs w:val="14"/>
                    </w:rPr>
                    <w:t>REMARQUABL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color w:val="FFFFFF"/>
          <w:spacing w:val="5"/>
          <w:sz w:val="14"/>
          <w:szCs w:val="14"/>
        </w:rPr>
        <w:t>法国商业研究与商业行为学院</w:t>
      </w:r>
      <w:r>
        <w:rPr>
          <w:rFonts w:ascii="黑体" w:hAnsi="黑体" w:eastAsia="黑体" w:cs="黑体"/>
          <w:color w:val="FFFFFF"/>
          <w:spacing w:val="9"/>
          <w:sz w:val="14"/>
          <w:szCs w:val="14"/>
        </w:rPr>
        <w:t xml:space="preserve"> </w:t>
      </w:r>
      <w:r>
        <w:rPr>
          <w:color w:val="FFFFFF"/>
          <w:spacing w:val="-2"/>
          <w:sz w:val="11"/>
          <w:szCs w:val="11"/>
        </w:rPr>
        <w:t>IDRAC</w:t>
      </w:r>
      <w:r>
        <w:rPr>
          <w:color w:val="FFFFFF"/>
          <w:spacing w:val="24"/>
          <w:w w:val="102"/>
          <w:sz w:val="11"/>
          <w:szCs w:val="11"/>
        </w:rPr>
        <w:t xml:space="preserve"> </w:t>
      </w:r>
      <w:r>
        <w:rPr>
          <w:color w:val="FFFFFF"/>
          <w:spacing w:val="-2"/>
          <w:sz w:val="11"/>
          <w:szCs w:val="11"/>
        </w:rPr>
        <w:t>Business School</w: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164" w:line="394" w:lineRule="exact"/>
        <w:ind w:left="2807"/>
        <w:rPr>
          <w:rFonts w:ascii="Times New Roman" w:hAnsi="Times New Roman" w:eastAsia="Times New Roman" w:cs="Times New Roman"/>
          <w:sz w:val="57"/>
          <w:szCs w:val="57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4"/>
          <w:position w:val="-7"/>
          <w:sz w:val="57"/>
          <w:szCs w:val="57"/>
        </w:rPr>
        <w:t>WD</w:t>
      </w:r>
    </w:p>
    <w:p>
      <w:pPr>
        <w:pStyle w:val="2"/>
        <w:spacing w:before="2" w:line="195" w:lineRule="auto"/>
        <w:ind w:left="3978"/>
        <w:rPr>
          <w:sz w:val="83"/>
          <w:szCs w:val="83"/>
        </w:rPr>
      </w:pPr>
      <w:r>
        <w:rPr>
          <w:color w:val="FFFFFF"/>
          <w:sz w:val="83"/>
          <w:szCs w:val="83"/>
        </w:rPr>
        <w:t>D</w:t>
      </w:r>
    </w:p>
    <w:p>
      <w:pPr>
        <w:pStyle w:val="2"/>
        <w:spacing w:line="277" w:lineRule="auto"/>
      </w:pPr>
    </w:p>
    <w:p>
      <w:pPr>
        <w:pStyle w:val="2"/>
        <w:spacing w:line="278" w:lineRule="auto"/>
      </w:pPr>
    </w:p>
    <w:p>
      <w:pPr>
        <w:spacing w:before="159" w:line="656" w:lineRule="exact"/>
        <w:ind w:left="2036"/>
        <w:rPr>
          <w:rFonts w:ascii="黑体" w:hAnsi="黑体" w:eastAsia="黑体" w:cs="黑体"/>
          <w:sz w:val="49"/>
          <w:szCs w:val="49"/>
        </w:rPr>
      </w:pPr>
      <w:r>
        <w:rPr>
          <w:rFonts w:ascii="黑体" w:hAnsi="黑体" w:eastAsia="黑体" w:cs="黑体"/>
          <w:b/>
          <w:bCs/>
          <w:color w:val="FFFFFF"/>
          <w:spacing w:val="4"/>
          <w:position w:val="10"/>
          <w:sz w:val="49"/>
          <w:szCs w:val="49"/>
        </w:rPr>
        <w:t>高级工商管理硕士</w:t>
      </w:r>
    </w:p>
    <w:p>
      <w:pPr>
        <w:spacing w:before="2" w:line="223" w:lineRule="auto"/>
        <w:ind w:left="2513"/>
        <w:rPr>
          <w:rFonts w:ascii="黑体" w:hAnsi="黑体" w:eastAsia="黑体" w:cs="黑体"/>
          <w:sz w:val="36"/>
          <w:szCs w:val="36"/>
        </w:rPr>
      </w:pPr>
      <w:r>
        <w:rPr>
          <w:rFonts w:ascii="黑体" w:hAnsi="黑体" w:eastAsia="黑体" w:cs="黑体"/>
          <w:b/>
          <w:bCs/>
          <w:color w:val="FFFFFF"/>
          <w:spacing w:val="-6"/>
          <w:sz w:val="36"/>
          <w:szCs w:val="36"/>
        </w:rPr>
        <w:t>国际战略与商业创新</w:t>
      </w:r>
    </w:p>
    <w:p>
      <w:pPr>
        <w:pStyle w:val="2"/>
        <w:spacing w:line="302" w:lineRule="auto"/>
      </w:pPr>
    </w:p>
    <w:p>
      <w:pPr>
        <w:pStyle w:val="2"/>
        <w:spacing w:before="40" w:line="206" w:lineRule="auto"/>
        <w:ind w:left="1290"/>
        <w:rPr>
          <w:sz w:val="14"/>
          <w:szCs w:val="14"/>
        </w:rPr>
      </w:pPr>
      <w:r>
        <w:rPr>
          <w:color w:val="FFFFFF"/>
          <w:sz w:val="14"/>
          <w:szCs w:val="14"/>
        </w:rPr>
        <w:t>EMBAI</w:t>
      </w:r>
      <w:r>
        <w:rPr>
          <w:color w:val="FFFFFF"/>
          <w:spacing w:val="6"/>
          <w:sz w:val="14"/>
          <w:szCs w:val="14"/>
        </w:rPr>
        <w:t xml:space="preserve">     </w:t>
      </w:r>
      <w:r>
        <w:rPr>
          <w:color w:val="FFFFFF"/>
          <w:sz w:val="14"/>
          <w:szCs w:val="14"/>
        </w:rPr>
        <w:t>INTERNATIONAL</w:t>
      </w:r>
      <w:r>
        <w:rPr>
          <w:color w:val="FFFFFF"/>
          <w:spacing w:val="6"/>
          <w:sz w:val="14"/>
          <w:szCs w:val="14"/>
        </w:rPr>
        <w:t xml:space="preserve">      </w:t>
      </w:r>
      <w:r>
        <w:rPr>
          <w:color w:val="FFFFFF"/>
          <w:sz w:val="14"/>
          <w:szCs w:val="14"/>
        </w:rPr>
        <w:t>STRATEGY</w:t>
      </w:r>
      <w:r>
        <w:rPr>
          <w:color w:val="FFFFFF"/>
          <w:spacing w:val="6"/>
          <w:sz w:val="14"/>
          <w:szCs w:val="14"/>
        </w:rPr>
        <w:t xml:space="preserve">     </w:t>
      </w:r>
      <w:r>
        <w:rPr>
          <w:color w:val="FFFFFF"/>
          <w:sz w:val="14"/>
          <w:szCs w:val="14"/>
        </w:rPr>
        <w:t>AND</w:t>
      </w:r>
      <w:r>
        <w:rPr>
          <w:color w:val="FFFFFF"/>
          <w:spacing w:val="6"/>
          <w:sz w:val="14"/>
          <w:szCs w:val="14"/>
        </w:rPr>
        <w:t xml:space="preserve">      </w:t>
      </w:r>
      <w:r>
        <w:rPr>
          <w:color w:val="FFFFFF"/>
          <w:sz w:val="14"/>
          <w:szCs w:val="14"/>
        </w:rPr>
        <w:t>BUSINESS</w:t>
      </w:r>
      <w:r>
        <w:rPr>
          <w:color w:val="FFFFFF"/>
          <w:spacing w:val="6"/>
          <w:sz w:val="14"/>
          <w:szCs w:val="14"/>
        </w:rPr>
        <w:t xml:space="preserve">   </w:t>
      </w:r>
      <w:r>
        <w:rPr>
          <w:color w:val="FFFFFF"/>
          <w:spacing w:val="5"/>
          <w:sz w:val="14"/>
          <w:szCs w:val="14"/>
        </w:rPr>
        <w:t xml:space="preserve">   </w:t>
      </w:r>
      <w:r>
        <w:rPr>
          <w:color w:val="FFFFFF"/>
          <w:sz w:val="14"/>
          <w:szCs w:val="14"/>
        </w:rPr>
        <w:t>INNOVATION</w:t>
      </w: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spacing w:before="46" w:line="229" w:lineRule="auto"/>
        <w:ind w:left="2727"/>
        <w:rPr>
          <w:rFonts w:ascii="黑体" w:hAnsi="黑体" w:eastAsia="黑体" w:cs="黑体"/>
          <w:sz w:val="14"/>
          <w:szCs w:val="14"/>
        </w:rPr>
      </w:pPr>
      <w:r>
        <w:rPr>
          <w:rFonts w:ascii="黑体" w:hAnsi="黑体" w:eastAsia="黑体" w:cs="黑体"/>
          <w:spacing w:val="15"/>
          <w:sz w:val="14"/>
          <w:szCs w:val="14"/>
        </w:rPr>
        <w:t>国</w:t>
      </w:r>
      <w:r>
        <w:rPr>
          <w:rFonts w:ascii="黑体" w:hAnsi="黑体" w:eastAsia="黑体" w:cs="黑体"/>
          <w:spacing w:val="-16"/>
          <w:sz w:val="14"/>
          <w:szCs w:val="14"/>
        </w:rPr>
        <w:t xml:space="preserve"> </w:t>
      </w:r>
      <w:r>
        <w:rPr>
          <w:rFonts w:ascii="黑体" w:hAnsi="黑体" w:eastAsia="黑体" w:cs="黑体"/>
          <w:b/>
          <w:bCs/>
          <w:spacing w:val="15"/>
          <w:sz w:val="14"/>
          <w:szCs w:val="14"/>
        </w:rPr>
        <w:t>际商学院联合会</w:t>
      </w:r>
      <w:r>
        <w:rPr>
          <w:rFonts w:ascii="黑体" w:hAnsi="黑体" w:eastAsia="黑体" w:cs="黑体"/>
          <w:spacing w:val="15"/>
          <w:sz w:val="14"/>
          <w:szCs w:val="14"/>
        </w:rPr>
        <w:t xml:space="preserve"> </w:t>
      </w:r>
      <w:r>
        <w:rPr>
          <w:rFonts w:ascii="宋体" w:hAnsi="宋体" w:eastAsia="宋体" w:cs="宋体"/>
          <w:b/>
          <w:bCs/>
          <w:spacing w:val="15"/>
          <w:sz w:val="14"/>
          <w:szCs w:val="14"/>
        </w:rPr>
        <w:t>(</w:t>
      </w:r>
      <w:r>
        <w:rPr>
          <w:rFonts w:ascii="宋体" w:hAnsi="宋体" w:eastAsia="宋体" w:cs="宋体"/>
          <w:b/>
          <w:bCs/>
          <w:sz w:val="14"/>
          <w:szCs w:val="14"/>
        </w:rPr>
        <w:t>AACSB</w:t>
      </w:r>
      <w:r>
        <w:rPr>
          <w:rFonts w:ascii="宋体" w:hAnsi="宋体" w:eastAsia="宋体" w:cs="宋体"/>
          <w:b/>
          <w:bCs/>
          <w:spacing w:val="15"/>
          <w:sz w:val="14"/>
          <w:szCs w:val="14"/>
        </w:rPr>
        <w:t>)</w:t>
      </w:r>
      <w:r>
        <w:rPr>
          <w:rFonts w:ascii="宋体" w:hAnsi="宋体" w:eastAsia="宋体" w:cs="宋体"/>
          <w:spacing w:val="1"/>
          <w:sz w:val="14"/>
          <w:szCs w:val="14"/>
        </w:rPr>
        <w:t xml:space="preserve">    </w:t>
      </w:r>
      <w:r>
        <w:rPr>
          <w:rFonts w:ascii="黑体" w:hAnsi="黑体" w:eastAsia="黑体" w:cs="黑体"/>
          <w:b/>
          <w:bCs/>
          <w:spacing w:val="15"/>
          <w:sz w:val="14"/>
          <w:szCs w:val="14"/>
        </w:rPr>
        <w:t>成</w:t>
      </w:r>
      <w:r>
        <w:rPr>
          <w:rFonts w:ascii="黑体" w:hAnsi="黑体" w:eastAsia="黑体" w:cs="黑体"/>
          <w:spacing w:val="15"/>
          <w:sz w:val="14"/>
          <w:szCs w:val="14"/>
        </w:rPr>
        <w:t xml:space="preserve"> </w:t>
      </w:r>
      <w:r>
        <w:rPr>
          <w:rFonts w:ascii="黑体" w:hAnsi="黑体" w:eastAsia="黑体" w:cs="黑体"/>
          <w:b/>
          <w:bCs/>
          <w:spacing w:val="15"/>
          <w:sz w:val="14"/>
          <w:szCs w:val="14"/>
        </w:rPr>
        <w:t>员</w:t>
      </w:r>
    </w:p>
    <w:p>
      <w:pPr>
        <w:pStyle w:val="2"/>
        <w:spacing w:line="280" w:lineRule="auto"/>
      </w:pPr>
    </w:p>
    <w:p>
      <w:pPr>
        <w:spacing w:before="1" w:line="3359" w:lineRule="exact"/>
      </w:pPr>
      <w:r>
        <w:rPr>
          <w:position w:val="-67"/>
        </w:rPr>
        <w:drawing>
          <wp:inline distT="0" distB="0" distL="0" distR="0">
            <wp:extent cx="5077460" cy="213296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7683" cy="2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83" w:lineRule="auto"/>
      </w:pPr>
    </w:p>
    <w:p>
      <w:pPr>
        <w:pStyle w:val="2"/>
        <w:spacing w:line="284" w:lineRule="auto"/>
      </w:pPr>
    </w:p>
    <w:p>
      <w:pPr>
        <w:spacing w:line="8642" w:lineRule="exact"/>
      </w:pPr>
      <w:r>
        <w:rPr>
          <w:position w:val="-172"/>
        </w:rPr>
        <w:drawing>
          <wp:inline distT="0" distB="0" distL="0" distR="0">
            <wp:extent cx="4131310" cy="548703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1589" cy="548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642" w:lineRule="exact"/>
        <w:sectPr>
          <w:type w:val="continuous"/>
          <w:pgSz w:w="31680" w:h="10751"/>
          <w:pgMar w:top="0" w:right="0" w:bottom="1" w:left="0" w:header="0" w:footer="0" w:gutter="0"/>
          <w:cols w:equalWidth="0" w:num="5">
            <w:col w:w="11034" w:space="100"/>
            <w:col w:w="1393" w:space="100"/>
            <w:col w:w="3061" w:space="100"/>
            <w:col w:w="8582" w:space="100"/>
            <w:col w:w="7212"/>
          </w:cols>
        </w:sectPr>
      </w:pPr>
    </w:p>
    <w:p>
      <w:pPr>
        <w:pStyle w:val="2"/>
        <w:spacing w:line="269" w:lineRule="auto"/>
      </w:pP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3805" cy="262763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3885" cy="2627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0" o:spid="_x0000_s1040" o:spt="202" type="#_x0000_t202" style="position:absolute;left:0pt;margin-left:834.95pt;margin-top:117.85pt;height:20.05pt;width:122.65pt;mso-position-horizontal-relative:page;mso-position-vertical-relative:page;z-index:251676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3" w:lineRule="auto"/>
                    <w:ind w:left="20"/>
                    <w:rPr>
                      <w:rFonts w:ascii="黑体" w:hAnsi="黑体" w:eastAsia="黑体" w:cs="黑体"/>
                      <w:sz w:val="10"/>
                      <w:szCs w:val="10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《</w:t>
                  </w:r>
                  <w:r>
                    <w:rPr>
                      <w:rFonts w:ascii="黑体" w:hAnsi="黑体" w:eastAsia="黑体" w:cs="黑体"/>
                      <w:color w:val="FFFFFF"/>
                      <w:spacing w:val="-1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企</w:t>
                  </w:r>
                  <w:r>
                    <w:rPr>
                      <w:rFonts w:ascii="黑体" w:hAnsi="黑体" w:eastAsia="黑体" w:cs="黑体"/>
                      <w:color w:val="FFFFFF"/>
                      <w:spacing w:val="-1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业</w:t>
                  </w:r>
                  <w:r>
                    <w:rPr>
                      <w:rFonts w:ascii="黑体" w:hAnsi="黑体" w:eastAsia="黑体" w:cs="黑体"/>
                      <w:color w:val="FFFFFF"/>
                      <w:spacing w:val="-1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价</w:t>
                  </w:r>
                  <w:r>
                    <w:rPr>
                      <w:rFonts w:ascii="黑体" w:hAnsi="黑体" w:eastAsia="黑体" w:cs="黑体"/>
                      <w:color w:val="FFFFFF"/>
                      <w:spacing w:val="-1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值</w:t>
                  </w:r>
                  <w:r>
                    <w:rPr>
                      <w:rFonts w:ascii="黑体" w:hAnsi="黑体" w:eastAsia="黑体" w:cs="黑体"/>
                      <w:color w:val="FFFFFF"/>
                      <w:spacing w:val="-18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增</w:t>
                  </w:r>
                  <w:r>
                    <w:rPr>
                      <w:rFonts w:ascii="黑体" w:hAnsi="黑体" w:eastAsia="黑体" w:cs="黑体"/>
                      <w:color w:val="FFFFFF"/>
                      <w:spacing w:val="-1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长</w:t>
                  </w:r>
                  <w:r>
                    <w:rPr>
                      <w:rFonts w:ascii="黑体" w:hAnsi="黑体" w:eastAsia="黑体" w:cs="黑体"/>
                      <w:color w:val="FFFFFF"/>
                      <w:spacing w:val="-1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战</w:t>
                  </w:r>
                  <w:r>
                    <w:rPr>
                      <w:rFonts w:ascii="黑体" w:hAnsi="黑体" w:eastAsia="黑体" w:cs="黑体"/>
                      <w:color w:val="FFFFFF"/>
                      <w:spacing w:val="-1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略</w:t>
                  </w:r>
                  <w:r>
                    <w:rPr>
                      <w:rFonts w:ascii="黑体" w:hAnsi="黑体" w:eastAsia="黑体" w:cs="黑体"/>
                      <w:color w:val="FFFFFF"/>
                      <w:spacing w:val="-1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与</w:t>
                  </w:r>
                  <w:r>
                    <w:rPr>
                      <w:rFonts w:ascii="黑体" w:hAnsi="黑体" w:eastAsia="黑体" w:cs="黑体"/>
                      <w:color w:val="FFFFFF"/>
                      <w:spacing w:val="-1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数</w:t>
                  </w:r>
                  <w:r>
                    <w:rPr>
                      <w:rFonts w:ascii="黑体" w:hAnsi="黑体" w:eastAsia="黑体" w:cs="黑体"/>
                      <w:color w:val="FFFFFF"/>
                      <w:spacing w:val="-1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字</w:t>
                  </w:r>
                  <w:r>
                    <w:rPr>
                      <w:rFonts w:ascii="黑体" w:hAnsi="黑体" w:eastAsia="黑体" w:cs="黑体"/>
                      <w:color w:val="FFFFFF"/>
                      <w:spacing w:val="-1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化</w:t>
                  </w:r>
                  <w:r>
                    <w:rPr>
                      <w:rFonts w:ascii="黑体" w:hAnsi="黑体" w:eastAsia="黑体" w:cs="黑体"/>
                      <w:color w:val="FFFFFF"/>
                      <w:spacing w:val="-1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转</w:t>
                  </w:r>
                  <w:r>
                    <w:rPr>
                      <w:rFonts w:ascii="黑体" w:hAnsi="黑体" w:eastAsia="黑体" w:cs="黑体"/>
                      <w:color w:val="FFFFFF"/>
                      <w:spacing w:val="-1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型</w:t>
                  </w:r>
                  <w:r>
                    <w:rPr>
                      <w:rFonts w:ascii="黑体" w:hAnsi="黑体" w:eastAsia="黑体" w:cs="黑体"/>
                      <w:color w:val="FFFFFF"/>
                      <w:spacing w:val="-1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升</w:t>
                  </w:r>
                  <w:r>
                    <w:rPr>
                      <w:rFonts w:ascii="黑体" w:hAnsi="黑体" w:eastAsia="黑体" w:cs="黑体"/>
                      <w:color w:val="FFFFFF"/>
                      <w:spacing w:val="-1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级</w:t>
                  </w:r>
                  <w:r>
                    <w:rPr>
                      <w:rFonts w:ascii="黑体" w:hAnsi="黑体" w:eastAsia="黑体" w:cs="黑体"/>
                      <w:color w:val="FFFFFF"/>
                      <w:spacing w:val="-1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》</w:t>
                  </w:r>
                </w:p>
                <w:p>
                  <w:pPr>
                    <w:spacing w:before="107" w:line="234" w:lineRule="auto"/>
                    <w:ind w:left="71"/>
                    <w:rPr>
                      <w:rFonts w:ascii="黑体" w:hAnsi="黑体" w:eastAsia="黑体" w:cs="黑体"/>
                      <w:sz w:val="10"/>
                      <w:szCs w:val="10"/>
                    </w:rPr>
                  </w:pPr>
                  <w:r>
                    <w:rPr>
                      <w:rFonts w:ascii="黑体" w:hAnsi="黑体" w:eastAsia="黑体" w:cs="黑体"/>
                      <w:spacing w:val="22"/>
                      <w:sz w:val="10"/>
                      <w:szCs w:val="10"/>
                    </w:rPr>
                    <w:t>◎商业智能</w:t>
                  </w:r>
                  <w:r>
                    <w:rPr>
                      <w:rFonts w:ascii="黑体" w:hAnsi="黑体" w:eastAsia="黑体" w:cs="黑体"/>
                      <w:spacing w:val="2"/>
                      <w:sz w:val="10"/>
                      <w:szCs w:val="10"/>
                    </w:rPr>
                    <w:t xml:space="preserve">                 </w:t>
                  </w:r>
                  <w:r>
                    <w:rPr>
                      <w:rFonts w:ascii="黑体" w:hAnsi="黑体" w:eastAsia="黑体" w:cs="黑体"/>
                      <w:spacing w:val="22"/>
                      <w:sz w:val="10"/>
                      <w:szCs w:val="10"/>
                    </w:rPr>
                    <w:t>◎谈判风险管理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834.95pt;margin-top:178.7pt;height:18.4pt;width:119.25pt;mso-position-horizontal-relative:page;mso-position-vertical-relative:page;z-index:251677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3" w:lineRule="auto"/>
                    <w:ind w:left="20"/>
                    <w:rPr>
                      <w:rFonts w:ascii="黑体" w:hAnsi="黑体" w:eastAsia="黑体" w:cs="黑体"/>
                      <w:sz w:val="10"/>
                      <w:szCs w:val="10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《</w:t>
                  </w:r>
                  <w:r>
                    <w:rPr>
                      <w:rFonts w:ascii="黑体" w:hAnsi="黑体" w:eastAsia="黑体" w:cs="黑体"/>
                      <w:color w:val="FFFFFF"/>
                      <w:spacing w:val="-1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成</w:t>
                  </w:r>
                  <w:r>
                    <w:rPr>
                      <w:rFonts w:ascii="黑体" w:hAnsi="黑体" w:eastAsia="黑体" w:cs="黑体"/>
                      <w:color w:val="FFFFFF"/>
                      <w:spacing w:val="-1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熟</w:t>
                  </w:r>
                  <w:r>
                    <w:rPr>
                      <w:rFonts w:ascii="黑体" w:hAnsi="黑体" w:eastAsia="黑体" w:cs="黑体"/>
                      <w:color w:val="FFFFFF"/>
                      <w:spacing w:val="-1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市</w:t>
                  </w:r>
                  <w:r>
                    <w:rPr>
                      <w:rFonts w:ascii="黑体" w:hAnsi="黑体" w:eastAsia="黑体" w:cs="黑体"/>
                      <w:color w:val="FFFFFF"/>
                      <w:spacing w:val="-18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场</w:t>
                  </w:r>
                  <w:r>
                    <w:rPr>
                      <w:rFonts w:ascii="黑体" w:hAnsi="黑体" w:eastAsia="黑体" w:cs="黑体"/>
                      <w:color w:val="FFFFFF"/>
                      <w:spacing w:val="-1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下</w:t>
                  </w:r>
                  <w:r>
                    <w:rPr>
                      <w:rFonts w:ascii="黑体" w:hAnsi="黑体" w:eastAsia="黑体" w:cs="黑体"/>
                      <w:color w:val="FFFFFF"/>
                      <w:spacing w:val="-1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的</w:t>
                  </w:r>
                  <w:r>
                    <w:rPr>
                      <w:rFonts w:ascii="黑体" w:hAnsi="黑体" w:eastAsia="黑体" w:cs="黑体"/>
                      <w:color w:val="FFFFFF"/>
                      <w:spacing w:val="-18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企</w:t>
                  </w:r>
                  <w:r>
                    <w:rPr>
                      <w:rFonts w:ascii="黑体" w:hAnsi="黑体" w:eastAsia="黑体" w:cs="黑体"/>
                      <w:color w:val="FFFFFF"/>
                      <w:spacing w:val="-1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业</w:t>
                  </w:r>
                  <w:r>
                    <w:rPr>
                      <w:rFonts w:ascii="黑体" w:hAnsi="黑体" w:eastAsia="黑体" w:cs="黑体"/>
                      <w:color w:val="FFFFFF"/>
                      <w:spacing w:val="-1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增</w:t>
                  </w:r>
                  <w:r>
                    <w:rPr>
                      <w:rFonts w:ascii="黑体" w:hAnsi="黑体" w:eastAsia="黑体" w:cs="黑体"/>
                      <w:color w:val="FFFFFF"/>
                      <w:spacing w:val="-1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长</w:t>
                  </w:r>
                  <w:r>
                    <w:rPr>
                      <w:rFonts w:ascii="黑体" w:hAnsi="黑体" w:eastAsia="黑体" w:cs="黑体"/>
                      <w:color w:val="FFFFFF"/>
                      <w:spacing w:val="-1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策</w:t>
                  </w:r>
                  <w:r>
                    <w:rPr>
                      <w:rFonts w:ascii="黑体" w:hAnsi="黑体" w:eastAsia="黑体" w:cs="黑体"/>
                      <w:color w:val="FFFFFF"/>
                      <w:spacing w:val="-1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略</w:t>
                  </w:r>
                  <w:r>
                    <w:rPr>
                      <w:rFonts w:ascii="黑体" w:hAnsi="黑体" w:eastAsia="黑体" w:cs="黑体"/>
                      <w:color w:val="FFFFFF"/>
                      <w:spacing w:val="-1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z w:val="10"/>
                      <w:szCs w:val="10"/>
                    </w:rPr>
                    <w:t>》</w:t>
                  </w:r>
                </w:p>
                <w:p>
                  <w:pPr>
                    <w:spacing w:before="74" w:line="233" w:lineRule="auto"/>
                    <w:ind w:left="71"/>
                    <w:rPr>
                      <w:rFonts w:ascii="黑体" w:hAnsi="黑体" w:eastAsia="黑体" w:cs="黑体"/>
                      <w:sz w:val="10"/>
                      <w:szCs w:val="10"/>
                    </w:rPr>
                  </w:pPr>
                  <w:r>
                    <w:rPr>
                      <w:rFonts w:ascii="黑体" w:hAnsi="黑体" w:eastAsia="黑体" w:cs="黑体"/>
                      <w:spacing w:val="16"/>
                      <w:sz w:val="10"/>
                      <w:szCs w:val="10"/>
                    </w:rPr>
                    <w:t>◎销售活动的数字化工具</w:t>
                  </w:r>
                  <w:r>
                    <w:rPr>
                      <w:rFonts w:ascii="黑体" w:hAnsi="黑体" w:eastAsia="黑体" w:cs="黑体"/>
                      <w:spacing w:val="17"/>
                      <w:w w:val="101"/>
                      <w:sz w:val="10"/>
                      <w:szCs w:val="10"/>
                    </w:rPr>
                    <w:t xml:space="preserve">   </w:t>
                  </w:r>
                  <w:r>
                    <w:rPr>
                      <w:rFonts w:ascii="黑体" w:hAnsi="黑体" w:eastAsia="黑体" w:cs="黑体"/>
                      <w:spacing w:val="16"/>
                      <w:sz w:val="10"/>
                      <w:szCs w:val="10"/>
                    </w:rPr>
                    <w:t>◎销售信息系统</w:t>
                  </w:r>
                </w:p>
              </w:txbxContent>
            </v:textbox>
          </v:shape>
        </w:pict>
      </w:r>
      <w:r>
        <w:pict>
          <v:group id="_x0000_s1042" o:spid="_x0000_s1042" o:spt="203" style="position:absolute;left:0pt;margin-left:835.95pt;margin-top:234.5pt;height:21.9pt;width:155.95pt;mso-position-horizontal-relative:page;mso-position-vertical-relative:page;z-index:251674624;mso-width-relative:page;mso-height-relative:page;" coordsize="3118,437" o:allowincell="f">
            <o:lock v:ext="edit"/>
            <v:shape id="_x0000_s1043" o:spid="_x0000_s1043" o:spt="75" type="#_x0000_t75" style="position:absolute;left:71;top:0;height:372;width:3047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044" o:spid="_x0000_s1044" o:spt="202" type="#_x0000_t202" style="position:absolute;left:-20;top:102;height:370;width:30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33" w:lineRule="exact"/>
                      <w:ind w:left="20"/>
                      <w:rPr>
                        <w:rFonts w:ascii="黑体" w:hAnsi="黑体" w:eastAsia="黑体" w:cs="黑体"/>
                        <w:sz w:val="10"/>
                        <w:szCs w:val="10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234169"/>
                        <w:spacing w:val="4"/>
                        <w:sz w:val="10"/>
                        <w:szCs w:val="10"/>
                      </w:rPr>
                      <w:t>《</w:t>
                    </w:r>
                    <w:r>
                      <w:rPr>
                        <w:rFonts w:ascii="黑体" w:hAnsi="黑体" w:eastAsia="黑体" w:cs="黑体"/>
                        <w:color w:val="234169"/>
                        <w:spacing w:val="4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234169"/>
                        <w:spacing w:val="4"/>
                        <w:sz w:val="10"/>
                        <w:szCs w:val="10"/>
                      </w:rPr>
                      <w:t>商</w:t>
                    </w:r>
                    <w:r>
                      <w:rPr>
                        <w:rFonts w:ascii="黑体" w:hAnsi="黑体" w:eastAsia="黑体" w:cs="黑体"/>
                        <w:color w:val="234169"/>
                        <w:spacing w:val="-11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234169"/>
                        <w:spacing w:val="4"/>
                        <w:sz w:val="10"/>
                        <w:szCs w:val="10"/>
                      </w:rPr>
                      <w:t>业</w:t>
                    </w:r>
                    <w:r>
                      <w:rPr>
                        <w:rFonts w:ascii="黑体" w:hAnsi="黑体" w:eastAsia="黑体" w:cs="黑体"/>
                        <w:color w:val="234169"/>
                        <w:spacing w:val="-14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234169"/>
                        <w:spacing w:val="4"/>
                        <w:sz w:val="10"/>
                        <w:szCs w:val="10"/>
                      </w:rPr>
                      <w:t>决</w:t>
                    </w:r>
                    <w:r>
                      <w:rPr>
                        <w:rFonts w:ascii="黑体" w:hAnsi="黑体" w:eastAsia="黑体" w:cs="黑体"/>
                        <w:color w:val="234169"/>
                        <w:spacing w:val="-14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234169"/>
                        <w:spacing w:val="4"/>
                        <w:sz w:val="10"/>
                        <w:szCs w:val="10"/>
                      </w:rPr>
                      <w:t>策</w:t>
                    </w:r>
                    <w:r>
                      <w:rPr>
                        <w:rFonts w:ascii="黑体" w:hAnsi="黑体" w:eastAsia="黑体" w:cs="黑体"/>
                        <w:color w:val="234169"/>
                        <w:spacing w:val="-15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234169"/>
                        <w:spacing w:val="4"/>
                        <w:sz w:val="10"/>
                        <w:szCs w:val="10"/>
                      </w:rPr>
                      <w:t>逻</w:t>
                    </w:r>
                    <w:r>
                      <w:rPr>
                        <w:rFonts w:ascii="黑体" w:hAnsi="黑体" w:eastAsia="黑体" w:cs="黑体"/>
                        <w:color w:val="234169"/>
                        <w:spacing w:val="-13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234169"/>
                        <w:spacing w:val="4"/>
                        <w:sz w:val="10"/>
                        <w:szCs w:val="10"/>
                      </w:rPr>
                      <w:t>辑</w:t>
                    </w:r>
                    <w:r>
                      <w:rPr>
                        <w:rFonts w:ascii="黑体" w:hAnsi="黑体" w:eastAsia="黑体" w:cs="黑体"/>
                        <w:color w:val="234169"/>
                        <w:spacing w:val="-10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234169"/>
                        <w:spacing w:val="4"/>
                        <w:sz w:val="10"/>
                        <w:szCs w:val="10"/>
                      </w:rPr>
                      <w:t>与</w:t>
                    </w:r>
                    <w:r>
                      <w:rPr>
                        <w:rFonts w:ascii="黑体" w:hAnsi="黑体" w:eastAsia="黑体" w:cs="黑体"/>
                        <w:color w:val="234169"/>
                        <w:spacing w:val="-14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234169"/>
                        <w:spacing w:val="4"/>
                        <w:sz w:val="10"/>
                        <w:szCs w:val="10"/>
                      </w:rPr>
                      <w:t>博</w:t>
                    </w:r>
                    <w:r>
                      <w:rPr>
                        <w:rFonts w:ascii="黑体" w:hAnsi="黑体" w:eastAsia="黑体" w:cs="黑体"/>
                        <w:color w:val="234169"/>
                        <w:spacing w:val="-12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234169"/>
                        <w:spacing w:val="4"/>
                        <w:sz w:val="10"/>
                        <w:szCs w:val="10"/>
                      </w:rPr>
                      <w:t>弈</w:t>
                    </w:r>
                    <w:r>
                      <w:rPr>
                        <w:rFonts w:ascii="黑体" w:hAnsi="黑体" w:eastAsia="黑体" w:cs="黑体"/>
                        <w:color w:val="234169"/>
                        <w:spacing w:val="-14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234169"/>
                        <w:spacing w:val="4"/>
                        <w:sz w:val="10"/>
                        <w:szCs w:val="10"/>
                      </w:rPr>
                      <w:t>论</w:t>
                    </w:r>
                    <w:r>
                      <w:rPr>
                        <w:rFonts w:ascii="黑体" w:hAnsi="黑体" w:eastAsia="黑体" w:cs="黑体"/>
                        <w:color w:val="234169"/>
                        <w:spacing w:val="-11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234169"/>
                        <w:spacing w:val="4"/>
                        <w:sz w:val="10"/>
                        <w:szCs w:val="10"/>
                      </w:rPr>
                      <w:t>》</w:t>
                    </w:r>
                    <w:r>
                      <w:rPr>
                        <w:rFonts w:ascii="黑体" w:hAnsi="黑体" w:eastAsia="黑体" w:cs="黑体"/>
                        <w:color w:val="234169"/>
                        <w:spacing w:val="2"/>
                        <w:sz w:val="10"/>
                        <w:szCs w:val="10"/>
                      </w:rPr>
                      <w:t xml:space="preserve">                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4"/>
                        <w:sz w:val="10"/>
                        <w:szCs w:val="10"/>
                      </w:rPr>
                      <w:t>学分：10</w:t>
                    </w:r>
                  </w:p>
                  <w:p>
                    <w:pPr>
                      <w:spacing w:before="62" w:line="133" w:lineRule="exact"/>
                      <w:ind w:left="71"/>
                      <w:rPr>
                        <w:rFonts w:ascii="黑体" w:hAnsi="黑体" w:eastAsia="黑体" w:cs="黑体"/>
                        <w:sz w:val="10"/>
                        <w:szCs w:val="10"/>
                      </w:rPr>
                    </w:pPr>
                    <w:r>
                      <w:rPr>
                        <w:rFonts w:ascii="黑体" w:hAnsi="黑体" w:eastAsia="黑体" w:cs="黑体"/>
                        <w:spacing w:val="8"/>
                        <w:position w:val="1"/>
                        <w:sz w:val="10"/>
                        <w:szCs w:val="10"/>
                      </w:rPr>
                      <w:t>◎创新过程，思维与颠覆</w:t>
                    </w:r>
                    <w:r>
                      <w:rPr>
                        <w:rFonts w:ascii="黑体" w:hAnsi="黑体" w:eastAsia="黑体" w:cs="黑体"/>
                        <w:spacing w:val="9"/>
                        <w:position w:val="1"/>
                        <w:sz w:val="10"/>
                        <w:szCs w:val="10"/>
                      </w:rPr>
                      <w:t xml:space="preserve">     </w:t>
                    </w:r>
                    <w:r>
                      <w:rPr>
                        <w:rFonts w:ascii="黑体" w:hAnsi="黑体" w:eastAsia="黑体" w:cs="黑体"/>
                        <w:spacing w:val="8"/>
                        <w:position w:val="1"/>
                        <w:sz w:val="10"/>
                        <w:szCs w:val="10"/>
                      </w:rPr>
                      <w:t>◎</w:t>
                    </w:r>
                    <w:r>
                      <w:rPr>
                        <w:rFonts w:ascii="黑体" w:hAnsi="黑体" w:eastAsia="黑体" w:cs="黑体"/>
                        <w:spacing w:val="-18"/>
                        <w:position w:val="1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8"/>
                        <w:position w:val="1"/>
                        <w:sz w:val="10"/>
                        <w:szCs w:val="10"/>
                      </w:rPr>
                      <w:t>创</w:t>
                    </w:r>
                    <w:r>
                      <w:rPr>
                        <w:rFonts w:ascii="黑体" w:hAnsi="黑体" w:eastAsia="黑体" w:cs="黑体"/>
                        <w:spacing w:val="-20"/>
                        <w:position w:val="1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8"/>
                        <w:position w:val="1"/>
                        <w:sz w:val="10"/>
                        <w:szCs w:val="10"/>
                      </w:rPr>
                      <w:t>新</w:t>
                    </w:r>
                    <w:r>
                      <w:rPr>
                        <w:rFonts w:ascii="黑体" w:hAnsi="黑体" w:eastAsia="黑体" w:cs="黑体"/>
                        <w:spacing w:val="-20"/>
                        <w:position w:val="1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8"/>
                        <w:position w:val="1"/>
                        <w:sz w:val="10"/>
                        <w:szCs w:val="10"/>
                      </w:rPr>
                      <w:t>管</w:t>
                    </w:r>
                    <w:r>
                      <w:rPr>
                        <w:rFonts w:ascii="黑体" w:hAnsi="黑体" w:eastAsia="黑体" w:cs="黑体"/>
                        <w:spacing w:val="-20"/>
                        <w:position w:val="1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8"/>
                        <w:position w:val="1"/>
                        <w:sz w:val="10"/>
                        <w:szCs w:val="10"/>
                      </w:rPr>
                      <w:t>理</w:t>
                    </w:r>
                  </w:p>
                </w:txbxContent>
              </v:textbox>
            </v:shape>
          </v:group>
        </w:pict>
      </w:r>
      <w:r>
        <w:pict>
          <v:group id="_x0000_s1045" o:spid="_x0000_s1045" o:spt="203" style="position:absolute;left:0pt;margin-left:838.2pt;margin-top:265.1pt;height:15.65pt;width:152.05pt;mso-position-horizontal-relative:page;mso-position-vertical-relative:page;z-index:251675648;mso-width-relative:page;mso-height-relative:page;" coordsize="3041,312" o:allowincell="f">
            <o:lock v:ext="edit"/>
            <v:shape id="_x0000_s1046" o:spid="_x0000_s1046" o:spt="75" type="#_x0000_t75" style="position:absolute;left:0;top:0;height:312;width:3041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47" o:spid="_x0000_s1047" o:spt="202" type="#_x0000_t202" style="position:absolute;left:-20;top:-20;height:370;width:30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1" w:line="233" w:lineRule="auto"/>
                      <w:rPr>
                        <w:rFonts w:ascii="黑体" w:hAnsi="黑体" w:eastAsia="黑体" w:cs="黑体"/>
                        <w:sz w:val="10"/>
                        <w:szCs w:val="10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《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3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组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8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织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9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行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6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为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5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学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3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、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6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组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8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织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8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文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8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化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5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与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7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变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6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革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8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管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9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理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6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》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7"/>
                        <w:sz w:val="10"/>
                        <w:szCs w:val="10"/>
                      </w:rPr>
                      <w:t xml:space="preserve">   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学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0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分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6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：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3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1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5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0</w:t>
                    </w:r>
                  </w:p>
                </w:txbxContent>
              </v:textbox>
            </v:shape>
          </v:group>
        </w:pict>
      </w:r>
      <w:r>
        <w:pict>
          <v:shape id="_x0000_s1048" o:spid="_x0000_s1048" o:spt="202" type="#_x0000_t202" style="position:absolute;left:0pt;margin-left:837.55pt;margin-top:280.55pt;height:8.7pt;width:149.6pt;mso-position-horizontal-relative:page;mso-position-vertical-relative:page;z-index:251680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33" w:lineRule="exact"/>
                    <w:ind w:left="20"/>
                    <w:rPr>
                      <w:rFonts w:ascii="黑体" w:hAnsi="黑体" w:eastAsia="黑体" w:cs="黑体"/>
                      <w:sz w:val="10"/>
                      <w:szCs w:val="10"/>
                    </w:rPr>
                  </w:pPr>
                  <w:r>
                    <w:rPr>
                      <w:rFonts w:ascii="黑体" w:hAnsi="黑体" w:eastAsia="黑体" w:cs="黑体"/>
                      <w:spacing w:val="12"/>
                      <w:sz w:val="10"/>
                      <w:szCs w:val="10"/>
                    </w:rPr>
                    <w:t>◎组织设计与精益管理      ◎人力资源管理者：变革管理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1552" behindDoc="1" locked="0" layoutInCell="0" allowOverlap="1">
            <wp:simplePos x="0" y="0"/>
            <wp:positionH relativeFrom="page">
              <wp:posOffset>10657840</wp:posOffset>
            </wp:positionH>
            <wp:positionV relativeFrom="page">
              <wp:posOffset>3780790</wp:posOffset>
            </wp:positionV>
            <wp:extent cx="2982595" cy="18161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2515" cy="181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9" o:spid="_x0000_s1049" o:spt="202" type="#_x0000_t202" style="position:absolute;left:0pt;margin-left:834.95pt;margin-top:330.4pt;height:18.75pt;width:94.75pt;mso-position-horizontal-relative:page;mso-position-vertical-relative:page;z-index:251678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4" w:lineRule="auto"/>
                    <w:ind w:left="20"/>
                    <w:rPr>
                      <w:rFonts w:ascii="黑体" w:hAnsi="黑体" w:eastAsia="黑体" w:cs="黑体"/>
                      <w:sz w:val="10"/>
                      <w:szCs w:val="10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《</w:t>
                  </w:r>
                  <w:r>
                    <w:rPr>
                      <w:rFonts w:ascii="黑体" w:hAnsi="黑体" w:eastAsia="黑体" w:cs="黑体"/>
                      <w:color w:val="FFFFFF"/>
                      <w:spacing w:val="-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并</w:t>
                  </w:r>
                  <w:r>
                    <w:rPr>
                      <w:rFonts w:ascii="黑体" w:hAnsi="黑体" w:eastAsia="黑体" w:cs="黑体"/>
                      <w:color w:val="FFFFFF"/>
                      <w:spacing w:val="-19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购</w:t>
                  </w:r>
                  <w:r>
                    <w:rPr>
                      <w:rFonts w:ascii="黑体" w:hAnsi="黑体" w:eastAsia="黑体" w:cs="黑体"/>
                      <w:color w:val="FFFFFF"/>
                      <w:spacing w:val="-1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重</w:t>
                  </w:r>
                  <w:r>
                    <w:rPr>
                      <w:rFonts w:ascii="黑体" w:hAnsi="黑体" w:eastAsia="黑体" w:cs="黑体"/>
                      <w:color w:val="FFFFFF"/>
                      <w:spacing w:val="-1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组</w:t>
                  </w:r>
                  <w:r>
                    <w:rPr>
                      <w:rFonts w:ascii="黑体" w:hAnsi="黑体" w:eastAsia="黑体" w:cs="黑体"/>
                      <w:color w:val="FFFFFF"/>
                      <w:spacing w:val="-1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与</w:t>
                  </w:r>
                  <w:r>
                    <w:rPr>
                      <w:rFonts w:ascii="黑体" w:hAnsi="黑体" w:eastAsia="黑体" w:cs="黑体"/>
                      <w:color w:val="FFFFFF"/>
                      <w:spacing w:val="-1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资</w:t>
                  </w:r>
                  <w:r>
                    <w:rPr>
                      <w:rFonts w:ascii="黑体" w:hAnsi="黑体" w:eastAsia="黑体" w:cs="黑体"/>
                      <w:color w:val="FFFFFF"/>
                      <w:spacing w:val="-1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本</w:t>
                  </w:r>
                  <w:r>
                    <w:rPr>
                      <w:rFonts w:ascii="黑体" w:hAnsi="黑体" w:eastAsia="黑体" w:cs="黑体"/>
                      <w:color w:val="FFFFFF"/>
                      <w:spacing w:val="-1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运</w:t>
                  </w:r>
                  <w:r>
                    <w:rPr>
                      <w:rFonts w:ascii="黑体" w:hAnsi="黑体" w:eastAsia="黑体" w:cs="黑体"/>
                      <w:color w:val="FFFFFF"/>
                      <w:spacing w:val="-18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作</w:t>
                  </w:r>
                  <w:r>
                    <w:rPr>
                      <w:rFonts w:ascii="黑体" w:hAnsi="黑体" w:eastAsia="黑体" w:cs="黑体"/>
                      <w:color w:val="FFFFFF"/>
                      <w:spacing w:val="-1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》</w:t>
                  </w:r>
                </w:p>
                <w:p>
                  <w:pPr>
                    <w:spacing w:before="80" w:line="234" w:lineRule="auto"/>
                    <w:ind w:left="71"/>
                    <w:rPr>
                      <w:rFonts w:ascii="黑体" w:hAnsi="黑体" w:eastAsia="黑体" w:cs="黑体"/>
                      <w:sz w:val="10"/>
                      <w:szCs w:val="10"/>
                    </w:rPr>
                  </w:pPr>
                  <w:r>
                    <w:rPr>
                      <w:rFonts w:ascii="黑体" w:hAnsi="黑体" w:eastAsia="黑体" w:cs="黑体"/>
                      <w:spacing w:val="12"/>
                      <w:sz w:val="10"/>
                      <w:szCs w:val="10"/>
                    </w:rPr>
                    <w:t>◎企业战略集团政策与利益的相关者</w:t>
                  </w: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914.9pt;margin-top:417.45pt;height:12.15pt;width:227.55pt;mso-position-horizontal-relative:page;mso-position-vertical-relative:page;z-index:251692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505" w:type="dxa"/>
                    <w:tblInd w:w="22" w:type="dxa"/>
                    <w:tblBorders>
                      <w:top w:val="none" w:color="auto" w:sz="0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505"/>
                  </w:tblGrid>
                  <w:tr>
                    <w:tblPrEx>
                      <w:tblBorders>
                        <w:top w:val="none" w:color="auto" w:sz="0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" w:hRule="atLeast"/>
                    </w:trPr>
                    <w:tc>
                      <w:tcPr>
                        <w:tcW w:w="4505" w:type="dxa"/>
                        <w:vAlign w:val="top"/>
                      </w:tcPr>
                      <w:p>
                        <w:pPr>
                          <w:spacing w:before="12" w:line="234" w:lineRule="auto"/>
                          <w:ind w:left="11"/>
                          <w:rPr>
                            <w:rFonts w:ascii="宋体" w:hAnsi="宋体" w:eastAsia="宋体" w:cs="宋体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13"/>
                            <w:szCs w:val="13"/>
                          </w:rPr>
                          <w:t>◎国际营销拓展战略    ◎合作合同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3"/>
                            <w:szCs w:val="13"/>
                          </w:rPr>
                          <w:t xml:space="preserve">          </w:t>
                        </w:r>
                        <w:r>
                          <w:rPr>
                            <w:rFonts w:ascii="宋体" w:hAnsi="宋体" w:eastAsia="宋体" w:cs="宋体"/>
                            <w:spacing w:val="4"/>
                            <w:position w:val="1"/>
                            <w:sz w:val="13"/>
                            <w:szCs w:val="13"/>
                          </w:rPr>
                          <w:t>O国际B2</w:t>
                        </w:r>
                        <w:r>
                          <w:rPr>
                            <w:rFonts w:ascii="宋体" w:hAnsi="宋体" w:eastAsia="宋体" w:cs="宋体"/>
                            <w:spacing w:val="3"/>
                            <w:position w:val="1"/>
                            <w:sz w:val="13"/>
                            <w:szCs w:val="13"/>
                          </w:rPr>
                          <w:t>B营销计划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17695545</wp:posOffset>
            </wp:positionH>
            <wp:positionV relativeFrom="page">
              <wp:posOffset>4262120</wp:posOffset>
            </wp:positionV>
            <wp:extent cx="1630680" cy="1221105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0666" cy="122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before="29" w:line="209" w:lineRule="auto"/>
        <w:ind w:left="13524"/>
        <w:rPr>
          <w:sz w:val="10"/>
          <w:szCs w:val="10"/>
        </w:rPr>
      </w:pPr>
      <w:r>
        <w:pict>
          <v:shape id="_x0000_s1051" o:spid="_x0000_s1051" o:spt="202" type="#_x0000_t202" style="position:absolute;left:0pt;margin-left:436.5pt;margin-top:-0.7pt;height:11.15pt;width:35.05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5" w:lineRule="auto"/>
                    <w:ind w:left="20"/>
                    <w:rPr>
                      <w:rFonts w:ascii="黑体" w:hAnsi="黑体" w:eastAsia="黑体" w:cs="黑体"/>
                      <w:sz w:val="15"/>
                      <w:szCs w:val="15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910E17"/>
                      <w:spacing w:val="13"/>
                      <w:sz w:val="15"/>
                      <w:szCs w:val="15"/>
                    </w:rPr>
                    <w:t>学院介绍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-517525</wp:posOffset>
            </wp:positionV>
            <wp:extent cx="20116800" cy="682688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6826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34950"/>
          <w:spacing w:val="2"/>
          <w:sz w:val="10"/>
          <w:szCs w:val="10"/>
        </w:rPr>
        <w:t>COLLEGE</w:t>
      </w:r>
      <w:r>
        <w:rPr>
          <w:color w:val="B34950"/>
          <w:spacing w:val="13"/>
          <w:w w:val="101"/>
          <w:sz w:val="10"/>
          <w:szCs w:val="10"/>
        </w:rPr>
        <w:t xml:space="preserve"> </w:t>
      </w:r>
      <w:r>
        <w:rPr>
          <w:color w:val="B34950"/>
          <w:spacing w:val="2"/>
          <w:sz w:val="10"/>
          <w:szCs w:val="10"/>
        </w:rPr>
        <w:t>INTRODUCTION</w:t>
      </w:r>
    </w:p>
    <w:p>
      <w:pPr>
        <w:pStyle w:val="2"/>
        <w:spacing w:line="396" w:lineRule="auto"/>
      </w:pPr>
    </w:p>
    <w:p>
      <w:pPr>
        <w:spacing w:before="32" w:line="339" w:lineRule="auto"/>
        <w:ind w:left="8748" w:right="1771" w:firstLine="292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3"/>
          <w:sz w:val="10"/>
          <w:szCs w:val="10"/>
        </w:rPr>
        <w:t>法国是一个高度发达的资本主义国家，欧洲四大经济体之一(德、法、英、</w:t>
      </w:r>
      <w:r>
        <w:rPr>
          <w:rFonts w:ascii="黑体" w:hAnsi="黑体" w:eastAsia="黑体" w:cs="黑体"/>
          <w:spacing w:val="2"/>
          <w:sz w:val="10"/>
          <w:szCs w:val="10"/>
        </w:rPr>
        <w:t>意),国内生产总值</w:t>
      </w:r>
      <w:r>
        <w:rPr>
          <w:rFonts w:ascii="宋体" w:hAnsi="宋体" w:eastAsia="宋体" w:cs="宋体"/>
          <w:sz w:val="10"/>
          <w:szCs w:val="10"/>
        </w:rPr>
        <w:t>GDP</w:t>
      </w:r>
      <w:r>
        <w:rPr>
          <w:rFonts w:ascii="宋体" w:hAnsi="宋体" w:eastAsia="宋体" w:cs="宋体"/>
          <w:spacing w:val="2"/>
          <w:sz w:val="10"/>
          <w:szCs w:val="10"/>
        </w:rPr>
        <w:t xml:space="preserve"> </w:t>
      </w:r>
      <w:r>
        <w:rPr>
          <w:rFonts w:ascii="黑体" w:hAnsi="黑体" w:eastAsia="黑体" w:cs="黑体"/>
          <w:spacing w:val="2"/>
          <w:sz w:val="10"/>
          <w:szCs w:val="10"/>
        </w:rPr>
        <w:t>位居世界第七，经济发达、政治</w:t>
      </w:r>
      <w:r>
        <w:rPr>
          <w:rFonts w:ascii="黑体" w:hAnsi="黑体" w:eastAsia="黑体" w:cs="黑体"/>
          <w:sz w:val="10"/>
          <w:szCs w:val="10"/>
        </w:rPr>
        <w:t xml:space="preserve"> </w:t>
      </w:r>
      <w:r>
        <w:rPr>
          <w:rFonts w:ascii="黑体" w:hAnsi="黑体" w:eastAsia="黑体" w:cs="黑体"/>
          <w:spacing w:val="5"/>
          <w:sz w:val="10"/>
          <w:szCs w:val="10"/>
        </w:rPr>
        <w:t>稳定，且十分重视国民教育，具有历史悠久且</w:t>
      </w:r>
      <w:r>
        <w:rPr>
          <w:rFonts w:ascii="黑体" w:hAnsi="黑体" w:eastAsia="黑体" w:cs="黑体"/>
          <w:spacing w:val="4"/>
          <w:sz w:val="10"/>
          <w:szCs w:val="10"/>
        </w:rPr>
        <w:t>体系完整的高等教育体系。根据《泰晤士报高等教育特刊》的排名，法国的教育体系在</w:t>
      </w:r>
      <w:r>
        <w:rPr>
          <w:rFonts w:ascii="黑体" w:hAnsi="黑体" w:eastAsia="黑体" w:cs="黑体"/>
          <w:sz w:val="10"/>
          <w:szCs w:val="10"/>
        </w:rPr>
        <w:t xml:space="preserve">  </w:t>
      </w:r>
      <w:r>
        <w:rPr>
          <w:rFonts w:ascii="黑体" w:hAnsi="黑体" w:eastAsia="黑体" w:cs="黑体"/>
          <w:spacing w:val="9"/>
          <w:sz w:val="10"/>
          <w:szCs w:val="10"/>
        </w:rPr>
        <w:t>全球排名第7位。</w:t>
      </w:r>
    </w:p>
    <w:p>
      <w:pPr>
        <w:spacing w:before="80" w:line="356" w:lineRule="auto"/>
        <w:ind w:left="8748" w:right="1768" w:firstLine="292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5"/>
          <w:sz w:val="10"/>
          <w:szCs w:val="10"/>
        </w:rPr>
        <w:t>法国商业研究与商业行为学院，简称：法商学院</w:t>
      </w:r>
      <w:r>
        <w:rPr>
          <w:rFonts w:ascii="宋体" w:hAnsi="宋体" w:eastAsia="宋体" w:cs="宋体"/>
          <w:spacing w:val="5"/>
          <w:sz w:val="10"/>
          <w:szCs w:val="10"/>
        </w:rPr>
        <w:t>(</w:t>
      </w:r>
      <w:r>
        <w:rPr>
          <w:rFonts w:ascii="宋体" w:hAnsi="宋体" w:eastAsia="宋体" w:cs="宋体"/>
          <w:sz w:val="10"/>
          <w:szCs w:val="10"/>
        </w:rPr>
        <w:t>IDRAC</w:t>
      </w:r>
      <w:r>
        <w:rPr>
          <w:rFonts w:ascii="宋体" w:hAnsi="宋体" w:eastAsia="宋体" w:cs="宋体"/>
          <w:spacing w:val="5"/>
          <w:sz w:val="10"/>
          <w:szCs w:val="10"/>
        </w:rPr>
        <w:t xml:space="preserve">   </w:t>
      </w:r>
      <w:r>
        <w:rPr>
          <w:rFonts w:ascii="宋体" w:hAnsi="宋体" w:eastAsia="宋体" w:cs="宋体"/>
          <w:sz w:val="10"/>
          <w:szCs w:val="10"/>
        </w:rPr>
        <w:t>BUSINESS</w:t>
      </w:r>
      <w:r>
        <w:rPr>
          <w:rFonts w:ascii="宋体" w:hAnsi="宋体" w:eastAsia="宋体" w:cs="宋体"/>
          <w:spacing w:val="5"/>
          <w:sz w:val="10"/>
          <w:szCs w:val="10"/>
        </w:rPr>
        <w:t xml:space="preserve">   </w:t>
      </w:r>
      <w:r>
        <w:rPr>
          <w:rFonts w:ascii="宋体" w:hAnsi="宋体" w:eastAsia="宋体" w:cs="宋体"/>
          <w:sz w:val="10"/>
          <w:szCs w:val="10"/>
        </w:rPr>
        <w:t>SCHOOL</w:t>
      </w:r>
      <w:r>
        <w:rPr>
          <w:rFonts w:ascii="宋体" w:hAnsi="宋体" w:eastAsia="宋体" w:cs="宋体"/>
          <w:spacing w:val="5"/>
          <w:sz w:val="10"/>
          <w:szCs w:val="10"/>
        </w:rPr>
        <w:t>,</w:t>
      </w:r>
      <w:r>
        <w:rPr>
          <w:rFonts w:ascii="黑体" w:hAnsi="黑体" w:eastAsia="黑体" w:cs="黑体"/>
          <w:spacing w:val="5"/>
          <w:sz w:val="10"/>
          <w:szCs w:val="10"/>
        </w:rPr>
        <w:t>简称：</w:t>
      </w:r>
      <w:r>
        <w:rPr>
          <w:rFonts w:ascii="宋体" w:hAnsi="宋体" w:eastAsia="宋体" w:cs="宋体"/>
          <w:sz w:val="10"/>
          <w:szCs w:val="10"/>
        </w:rPr>
        <w:t>IDRAC</w:t>
      </w:r>
      <w:r>
        <w:rPr>
          <w:rFonts w:ascii="宋体" w:hAnsi="宋体" w:eastAsia="宋体" w:cs="宋体"/>
          <w:spacing w:val="5"/>
          <w:sz w:val="10"/>
          <w:szCs w:val="10"/>
        </w:rPr>
        <w:t xml:space="preserve">), </w:t>
      </w:r>
      <w:r>
        <w:rPr>
          <w:rFonts w:ascii="黑体" w:hAnsi="黑体" w:eastAsia="黑体" w:cs="黑体"/>
          <w:spacing w:val="5"/>
          <w:sz w:val="10"/>
          <w:szCs w:val="10"/>
        </w:rPr>
        <w:t>于1964年在里昂成立，</w:t>
      </w:r>
      <w:r>
        <w:rPr>
          <w:rFonts w:ascii="黑体" w:hAnsi="黑体" w:eastAsia="黑体" w:cs="黑体"/>
          <w:color w:val="AF4149"/>
          <w:spacing w:val="4"/>
          <w:sz w:val="10"/>
          <w:szCs w:val="10"/>
        </w:rPr>
        <w:t>是法兰西</w:t>
      </w:r>
      <w:r>
        <w:rPr>
          <w:rFonts w:ascii="黑体" w:hAnsi="黑体" w:eastAsia="黑体" w:cs="黑体"/>
          <w:color w:val="AF4149"/>
          <w:sz w:val="10"/>
          <w:szCs w:val="10"/>
        </w:rPr>
        <w:t xml:space="preserve"> </w:t>
      </w:r>
      <w:r>
        <w:rPr>
          <w:rFonts w:ascii="黑体" w:hAnsi="黑体" w:eastAsia="黑体" w:cs="黑体"/>
          <w:color w:val="AF4149"/>
          <w:spacing w:val="5"/>
          <w:sz w:val="10"/>
          <w:szCs w:val="10"/>
        </w:rPr>
        <w:t>唯——所拥有最多校区和最庞大校友资源网的</w:t>
      </w:r>
      <w:r>
        <w:rPr>
          <w:rFonts w:ascii="黑体" w:hAnsi="黑体" w:eastAsia="黑体" w:cs="黑体"/>
          <w:color w:val="AF4149"/>
          <w:spacing w:val="4"/>
          <w:sz w:val="10"/>
          <w:szCs w:val="10"/>
        </w:rPr>
        <w:t>高等商学院，十六个校区遍布法国、爱尔兰、西班牙、捷克、加拿大、美国等多个地区</w:t>
      </w:r>
      <w:r>
        <w:rPr>
          <w:rFonts w:ascii="黑体" w:hAnsi="黑体" w:eastAsia="黑体" w:cs="黑体"/>
          <w:color w:val="AF4149"/>
          <w:sz w:val="10"/>
          <w:szCs w:val="10"/>
        </w:rPr>
        <w:t xml:space="preserve">  </w:t>
      </w:r>
      <w:r>
        <w:rPr>
          <w:rFonts w:ascii="黑体" w:hAnsi="黑体" w:eastAsia="黑体" w:cs="黑体"/>
          <w:color w:val="AF4149"/>
          <w:spacing w:val="5"/>
          <w:sz w:val="10"/>
          <w:szCs w:val="10"/>
        </w:rPr>
        <w:t>的“国际商学院”</w:t>
      </w:r>
      <w:r>
        <w:rPr>
          <w:rFonts w:ascii="黑体" w:hAnsi="黑体" w:eastAsia="黑体" w:cs="黑体"/>
          <w:spacing w:val="5"/>
          <w:sz w:val="10"/>
          <w:szCs w:val="10"/>
        </w:rPr>
        <w:t>,在欧盟声名卓著。雄厚的国际教育师资、全球化商学院的发展体系、来自欧美亚非的国际学生，形成学校多元且</w:t>
      </w:r>
      <w:r>
        <w:rPr>
          <w:rFonts w:ascii="黑体" w:hAnsi="黑体" w:eastAsia="黑体" w:cs="黑体"/>
          <w:spacing w:val="8"/>
          <w:sz w:val="10"/>
          <w:szCs w:val="10"/>
        </w:rPr>
        <w:t xml:space="preserve">  </w:t>
      </w:r>
      <w:r>
        <w:rPr>
          <w:rFonts w:ascii="黑体" w:hAnsi="黑体" w:eastAsia="黑体" w:cs="黑体"/>
          <w:spacing w:val="9"/>
          <w:sz w:val="10"/>
          <w:szCs w:val="10"/>
        </w:rPr>
        <w:t>开放的文化风格。</w:t>
      </w:r>
    </w:p>
    <w:p>
      <w:pPr>
        <w:spacing w:before="81" w:line="348" w:lineRule="auto"/>
        <w:ind w:left="8748" w:right="1772" w:firstLine="292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8"/>
          <w:sz w:val="10"/>
          <w:szCs w:val="10"/>
        </w:rPr>
        <w:t>法国商业研究与商业行为学院总部位于法国</w:t>
      </w:r>
      <w:r>
        <w:rPr>
          <w:rFonts w:ascii="黑体" w:hAnsi="黑体" w:eastAsia="黑体" w:cs="黑体"/>
          <w:spacing w:val="7"/>
          <w:sz w:val="10"/>
          <w:szCs w:val="10"/>
        </w:rPr>
        <w:t>第二大城市里昂，是法国南北、欧洲大陆交通要冲，也是美丽的塞纳河和罗纳河</w:t>
      </w:r>
      <w:r>
        <w:rPr>
          <w:rFonts w:ascii="黑体" w:hAnsi="黑体" w:eastAsia="黑体" w:cs="黑体"/>
          <w:sz w:val="10"/>
          <w:szCs w:val="10"/>
        </w:rPr>
        <w:t xml:space="preserve"> </w:t>
      </w:r>
      <w:r>
        <w:rPr>
          <w:rFonts w:ascii="黑体" w:hAnsi="黑体" w:eastAsia="黑体" w:cs="黑体"/>
          <w:spacing w:val="2"/>
          <w:sz w:val="10"/>
          <w:szCs w:val="10"/>
        </w:rPr>
        <w:t>间的重要交通枢纽。里昂历史悠久、文化璀璨，与中国关系密切，是古代丝绸之路和中国“一带一路”发展战略</w:t>
      </w:r>
      <w:r>
        <w:rPr>
          <w:rFonts w:ascii="黑体" w:hAnsi="黑体" w:eastAsia="黑体" w:cs="黑体"/>
          <w:spacing w:val="1"/>
          <w:sz w:val="10"/>
          <w:szCs w:val="10"/>
        </w:rPr>
        <w:t xml:space="preserve">的终点城市。“里昂老  </w:t>
      </w:r>
      <w:r>
        <w:rPr>
          <w:rFonts w:ascii="黑体" w:hAnsi="黑体" w:eastAsia="黑体" w:cs="黑体"/>
          <w:spacing w:val="5"/>
          <w:sz w:val="10"/>
          <w:szCs w:val="10"/>
        </w:rPr>
        <w:t>城”还是联合国认定之“世界遗产保护城市</w:t>
      </w:r>
      <w:r>
        <w:rPr>
          <w:rFonts w:ascii="黑体" w:hAnsi="黑体" w:eastAsia="黑体" w:cs="黑体"/>
          <w:spacing w:val="4"/>
          <w:sz w:val="10"/>
          <w:szCs w:val="10"/>
        </w:rPr>
        <w:t>”。深厚悠远的文化底蕴、悠闲宁静的生活方式、美丽典雅的醉人景色、无处不在的现代</w:t>
      </w:r>
      <w:r>
        <w:rPr>
          <w:rFonts w:ascii="黑体" w:hAnsi="黑体" w:eastAsia="黑体" w:cs="黑体"/>
          <w:sz w:val="10"/>
          <w:szCs w:val="10"/>
        </w:rPr>
        <w:t xml:space="preserve">  </w:t>
      </w:r>
      <w:r>
        <w:rPr>
          <w:rFonts w:ascii="黑体" w:hAnsi="黑体" w:eastAsia="黑体" w:cs="黑体"/>
          <w:spacing w:val="6"/>
          <w:sz w:val="10"/>
          <w:szCs w:val="10"/>
        </w:rPr>
        <w:t>气息，更为法国商业研究与商业行为学院增添了厚重、丰富</w:t>
      </w:r>
      <w:r>
        <w:rPr>
          <w:rFonts w:ascii="黑体" w:hAnsi="黑体" w:eastAsia="黑体" w:cs="黑体"/>
          <w:spacing w:val="5"/>
          <w:sz w:val="10"/>
          <w:szCs w:val="10"/>
        </w:rPr>
        <w:t>和时代的浪漫神韵。</w:t>
      </w:r>
    </w:p>
    <w:p>
      <w:pPr>
        <w:pStyle w:val="2"/>
        <w:spacing w:line="328" w:lineRule="auto"/>
      </w:pPr>
    </w:p>
    <w:p>
      <w:pPr>
        <w:pStyle w:val="2"/>
        <w:spacing w:line="329" w:lineRule="auto"/>
      </w:pPr>
    </w:p>
    <w:p>
      <w:pPr>
        <w:pStyle w:val="2"/>
        <w:spacing w:before="29" w:line="209" w:lineRule="auto"/>
        <w:ind w:left="13192"/>
        <w:rPr>
          <w:sz w:val="10"/>
          <w:szCs w:val="10"/>
        </w:rPr>
      </w:pPr>
      <w:r>
        <w:pict>
          <v:shape id="_x0000_s1052" o:spid="_x0000_s1052" o:spt="202" type="#_x0000_t202" style="position:absolute;left:0pt;margin-left:436.5pt;margin-top:-1.95pt;height:11.25pt;width:35.65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7" w:lineRule="auto"/>
                    <w:ind w:left="20"/>
                    <w:rPr>
                      <w:rFonts w:ascii="黑体" w:hAnsi="黑体" w:eastAsia="黑体" w:cs="黑体"/>
                      <w:sz w:val="15"/>
                      <w:szCs w:val="15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910E17"/>
                      <w:spacing w:val="16"/>
                      <w:sz w:val="15"/>
                      <w:szCs w:val="15"/>
                    </w:rPr>
                    <w:t>权威认证</w:t>
                  </w:r>
                </w:p>
              </w:txbxContent>
            </v:textbox>
          </v:shape>
        </w:pict>
      </w:r>
      <w:r>
        <w:rPr>
          <w:color w:val="C2646A"/>
          <w:spacing w:val="2"/>
          <w:sz w:val="10"/>
          <w:szCs w:val="10"/>
        </w:rPr>
        <w:t>AUTHORITATIVE CERTIFICATION</w:t>
      </w:r>
    </w:p>
    <w:p>
      <w:pPr>
        <w:spacing w:before="137"/>
      </w:pPr>
    </w:p>
    <w:tbl>
      <w:tblPr>
        <w:tblStyle w:val="5"/>
        <w:tblW w:w="14835" w:type="dxa"/>
        <w:tblInd w:w="964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37"/>
        <w:gridCol w:w="2572"/>
        <w:gridCol w:w="3256"/>
        <w:gridCol w:w="2330"/>
        <w:gridCol w:w="274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393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312" w:lineRule="auto"/>
            </w:pPr>
          </w:p>
          <w:p>
            <w:pPr>
              <w:pStyle w:val="6"/>
              <w:spacing w:line="313" w:lineRule="auto"/>
            </w:pPr>
          </w:p>
          <w:p>
            <w:pPr>
              <w:pStyle w:val="6"/>
              <w:spacing w:line="313" w:lineRule="auto"/>
            </w:pPr>
          </w:p>
          <w:p>
            <w:pPr>
              <w:spacing w:before="78" w:line="226" w:lineRule="auto"/>
              <w:ind w:left="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910E17"/>
                <w:sz w:val="24"/>
                <w:szCs w:val="24"/>
              </w:rPr>
              <w:t>EMBA</w:t>
            </w:r>
            <w:r>
              <w:rPr>
                <w:rFonts w:ascii="宋体" w:hAnsi="宋体" w:eastAsia="宋体" w:cs="宋体"/>
                <w:color w:val="910E17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color w:val="910E17"/>
                <w:spacing w:val="12"/>
                <w:sz w:val="24"/>
                <w:szCs w:val="24"/>
              </w:rPr>
              <w:t>高级工商管理硕士</w:t>
            </w:r>
          </w:p>
          <w:p>
            <w:pPr>
              <w:spacing w:before="167" w:line="231" w:lineRule="auto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color w:val="910E17"/>
                <w:spacing w:val="28"/>
                <w:sz w:val="17"/>
                <w:szCs w:val="17"/>
              </w:rPr>
              <w:t xml:space="preserve">国际战略与商业创新 </w:t>
            </w:r>
            <w:r>
              <w:rPr>
                <w:rFonts w:ascii="黑体" w:hAnsi="黑体" w:eastAsia="黑体" w:cs="黑体"/>
                <w:color w:val="0E3569"/>
                <w:spacing w:val="28"/>
                <w:sz w:val="17"/>
                <w:szCs w:val="17"/>
              </w:rPr>
              <w:t>学位项目</w:t>
            </w:r>
          </w:p>
          <w:p>
            <w:pPr>
              <w:pStyle w:val="6"/>
              <w:spacing w:before="13" w:line="109" w:lineRule="exact"/>
              <w:rPr>
                <w:sz w:val="7"/>
                <w:szCs w:val="7"/>
              </w:rPr>
            </w:pPr>
            <w:r>
              <w:rPr>
                <w:color w:val="0E3569"/>
                <w:spacing w:val="5"/>
                <w:position w:val="1"/>
                <w:sz w:val="7"/>
                <w:szCs w:val="7"/>
              </w:rPr>
              <w:t>EMBA|INTERNATIONAL     STRATEGYAND     BUSINESS     INNOVATION</w:t>
            </w:r>
          </w:p>
        </w:tc>
        <w:tc>
          <w:tcPr>
            <w:tcW w:w="257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spacing w:line="872" w:lineRule="exact"/>
              <w:ind w:firstLine="1225"/>
            </w:pPr>
            <w:r>
              <w:rPr>
                <w:position w:val="-17"/>
              </w:rPr>
              <w:drawing>
                <wp:inline distT="0" distB="0" distL="0" distR="0">
                  <wp:extent cx="574040" cy="553085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35" cy="5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Merge w:val="restart"/>
            <w:tcBorders>
              <w:bottom w:val="nil"/>
            </w:tcBorders>
            <w:vAlign w:val="top"/>
          </w:tcPr>
          <w:p>
            <w:pPr>
              <w:spacing w:before="190" w:line="209" w:lineRule="auto"/>
              <w:ind w:left="2072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  <w:r>
              <w:rPr>
                <w:rFonts w:ascii="Times New Roman" w:hAnsi="Times New Roman" w:eastAsia="Times New Roman" w:cs="Times New Roman"/>
                <w:sz w:val="7"/>
                <w:szCs w:val="7"/>
              </w:rPr>
              <w:t>MINISTERE</w:t>
            </w:r>
          </w:p>
          <w:p>
            <w:pPr>
              <w:spacing w:before="56" w:line="106" w:lineRule="exact"/>
              <w:ind w:left="1567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  <w:r>
              <w:drawing>
                <wp:anchor distT="0" distB="0" distL="0" distR="0" simplePos="0" relativeHeight="251701248" behindDoc="0" locked="0" layoutInCell="1" allowOverlap="1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-143510</wp:posOffset>
                  </wp:positionV>
                  <wp:extent cx="346710" cy="283210"/>
                  <wp:effectExtent l="0" t="0" r="0" b="0"/>
                  <wp:wrapNone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11" cy="28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  <w:sz w:val="3"/>
                <w:szCs w:val="3"/>
              </w:rPr>
              <w:drawing>
                <wp:inline distT="0" distB="0" distL="0" distR="0">
                  <wp:extent cx="34290" cy="51435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" cy="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i/>
                <w:iCs/>
                <w:w w:val="55"/>
                <w:sz w:val="3"/>
                <w:szCs w:val="3"/>
              </w:rPr>
              <w:t>A</w:t>
            </w:r>
            <w:r>
              <w:rPr>
                <w:rFonts w:ascii="Times New Roman" w:hAnsi="Times New Roman" w:eastAsia="Times New Roman" w:cs="Times New Roman"/>
                <w:i/>
                <w:iCs/>
                <w:w w:val="55"/>
                <w:position w:val="2"/>
                <w:sz w:val="3"/>
                <w:szCs w:val="3"/>
              </w:rPr>
              <w:t>1</w:t>
            </w:r>
            <w:r>
              <w:rPr>
                <w:rFonts w:ascii="Times New Roman" w:hAnsi="Times New Roman" w:eastAsia="Times New Roman" w:cs="Times New Roman"/>
                <w:w w:val="55"/>
                <w:position w:val="2"/>
                <w:sz w:val="7"/>
                <w:szCs w:val="7"/>
              </w:rPr>
              <w:t>E</w:t>
            </w:r>
            <w:r>
              <w:rPr>
                <w:rFonts w:ascii="Times New Roman" w:hAnsi="Times New Roman" w:eastAsia="Times New Roman" w:cs="Times New Roman"/>
                <w:i/>
                <w:iCs/>
                <w:w w:val="55"/>
                <w:position w:val="2"/>
                <w:sz w:val="3"/>
                <w:szCs w:val="3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-2"/>
                <w:w w:val="83"/>
                <w:position w:val="2"/>
                <w:sz w:val="7"/>
                <w:szCs w:val="7"/>
              </w:rPr>
              <w:t>L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2"/>
                <w:w w:val="55"/>
                <w:position w:val="2"/>
                <w:sz w:val="3"/>
                <w:szCs w:val="3"/>
              </w:rPr>
              <w:t>NA</w:t>
            </w:r>
            <w:r>
              <w:rPr>
                <w:rFonts w:ascii="Times New Roman" w:hAnsi="Times New Roman" w:eastAsia="Times New Roman" w:cs="Times New Roman"/>
                <w:spacing w:val="-1"/>
                <w:w w:val="93"/>
                <w:position w:val="2"/>
                <w:sz w:val="7"/>
                <w:szCs w:val="7"/>
              </w:rPr>
              <w:t>E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1"/>
                <w:w w:val="93"/>
                <w:position w:val="2"/>
                <w:sz w:val="3"/>
                <w:szCs w:val="3"/>
              </w:rPr>
              <w:t>LE</w:t>
            </w:r>
            <w:r>
              <w:rPr>
                <w:rFonts w:ascii="Times New Roman" w:hAnsi="Times New Roman" w:eastAsia="Times New Roman" w:cs="Times New Roman"/>
                <w:spacing w:val="-1"/>
                <w:w w:val="93"/>
                <w:position w:val="2"/>
                <w:sz w:val="7"/>
                <w:szCs w:val="7"/>
              </w:rPr>
              <w:t>DUCAT</w:t>
            </w:r>
            <w:r>
              <w:rPr>
                <w:sz w:val="7"/>
                <w:szCs w:val="7"/>
              </w:rPr>
              <w:drawing>
                <wp:inline distT="0" distB="0" distL="0" distR="0">
                  <wp:extent cx="50165" cy="52070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4" cy="5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pacing w:val="4"/>
                <w:position w:val="2"/>
                <w:sz w:val="7"/>
                <w:szCs w:val="7"/>
              </w:rPr>
              <w:t>N</w:t>
            </w:r>
          </w:p>
          <w:p>
            <w:pPr>
              <w:spacing w:line="208" w:lineRule="auto"/>
              <w:ind w:left="1567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7"/>
                <w:szCs w:val="7"/>
              </w:rPr>
              <w:t>DELAJEUNESSE</w:t>
            </w:r>
          </w:p>
          <w:p>
            <w:pPr>
              <w:spacing w:before="181" w:line="94" w:lineRule="exact"/>
              <w:ind w:left="1274"/>
              <w:rPr>
                <w:rFonts w:ascii="黑体" w:hAnsi="黑体" w:eastAsia="黑体" w:cs="黑体"/>
                <w:sz w:val="7"/>
                <w:szCs w:val="7"/>
              </w:rPr>
            </w:pPr>
            <w:r>
              <w:rPr>
                <w:rFonts w:ascii="黑体" w:hAnsi="黑体" w:eastAsia="黑体" w:cs="黑体"/>
                <w:spacing w:val="11"/>
                <w:sz w:val="7"/>
                <w:szCs w:val="7"/>
              </w:rPr>
              <w:t>法国国家教育、高等教育暨研究部承认的大学</w:t>
            </w:r>
          </w:p>
        </w:tc>
        <w:tc>
          <w:tcPr>
            <w:tcW w:w="233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53" w:line="200" w:lineRule="auto"/>
              <w:ind w:left="373"/>
              <w:rPr>
                <w:sz w:val="42"/>
                <w:szCs w:val="42"/>
              </w:rPr>
            </w:pPr>
            <w:r>
              <w:rPr>
                <w:b/>
                <w:bCs/>
                <w:spacing w:val="-1"/>
                <w:sz w:val="42"/>
                <w:szCs w:val="42"/>
              </w:rPr>
              <w:t>CCFDG</w:t>
            </w:r>
          </w:p>
          <w:p>
            <w:pPr>
              <w:spacing w:before="125" w:line="93" w:lineRule="exact"/>
              <w:ind w:left="373"/>
              <w:rPr>
                <w:rFonts w:ascii="黑体" w:hAnsi="黑体" w:eastAsia="黑体" w:cs="黑体"/>
                <w:sz w:val="7"/>
                <w:szCs w:val="7"/>
              </w:rPr>
            </w:pPr>
            <w:r>
              <w:rPr>
                <w:rFonts w:ascii="黑体" w:hAnsi="黑体" w:eastAsia="黑体" w:cs="黑体"/>
                <w:spacing w:val="10"/>
                <w:sz w:val="7"/>
                <w:szCs w:val="7"/>
              </w:rPr>
              <w:t>法国商业管理文凭认证委员会</w:t>
            </w:r>
            <w:r>
              <w:rPr>
                <w:rFonts w:ascii="宋体" w:hAnsi="宋体" w:eastAsia="宋体" w:cs="宋体"/>
                <w:sz w:val="7"/>
                <w:szCs w:val="7"/>
              </w:rPr>
              <w:t>CEFDG</w:t>
            </w:r>
            <w:r>
              <w:rPr>
                <w:rFonts w:ascii="宋体" w:hAnsi="宋体" w:eastAsia="宋体" w:cs="宋体"/>
                <w:spacing w:val="41"/>
                <w:w w:val="101"/>
                <w:sz w:val="7"/>
                <w:szCs w:val="7"/>
              </w:rPr>
              <w:t xml:space="preserve"> </w:t>
            </w:r>
            <w:r>
              <w:rPr>
                <w:rFonts w:ascii="黑体" w:hAnsi="黑体" w:eastAsia="黑体" w:cs="黑体"/>
                <w:spacing w:val="10"/>
                <w:sz w:val="7"/>
                <w:szCs w:val="7"/>
              </w:rPr>
              <w:t>认证学校</w:t>
            </w:r>
          </w:p>
        </w:tc>
        <w:tc>
          <w:tcPr>
            <w:tcW w:w="2740" w:type="dxa"/>
            <w:vAlign w:val="top"/>
          </w:tcPr>
          <w:p>
            <w:pPr>
              <w:spacing w:line="558" w:lineRule="exact"/>
              <w:ind w:firstLine="644"/>
            </w:pPr>
            <w:r>
              <w:rPr>
                <w:position w:val="-11"/>
              </w:rPr>
              <w:drawing>
                <wp:inline distT="0" distB="0" distL="0" distR="0">
                  <wp:extent cx="535940" cy="354330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4" cy="35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39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57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256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33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740" w:type="dxa"/>
            <w:vMerge w:val="restart"/>
            <w:tcBorders>
              <w:bottom w:val="nil"/>
            </w:tcBorders>
            <w:vAlign w:val="top"/>
          </w:tcPr>
          <w:p>
            <w:pPr>
              <w:spacing w:before="61" w:line="93" w:lineRule="exact"/>
              <w:ind w:left="345"/>
              <w:rPr>
                <w:rFonts w:ascii="黑体" w:hAnsi="黑体" w:eastAsia="黑体" w:cs="黑体"/>
                <w:sz w:val="7"/>
                <w:szCs w:val="7"/>
              </w:rPr>
            </w:pPr>
            <w:r>
              <w:rPr>
                <w:rFonts w:ascii="黑体" w:hAnsi="黑体" w:eastAsia="黑体" w:cs="黑体"/>
                <w:spacing w:val="10"/>
                <w:sz w:val="7"/>
                <w:szCs w:val="7"/>
              </w:rPr>
              <w:t>罗纳阿尔卑斯大区精英大学校联合会成员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39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57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25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93" w:lineRule="auto"/>
            </w:pPr>
          </w:p>
          <w:p>
            <w:pPr>
              <w:pStyle w:val="6"/>
              <w:spacing w:before="20" w:line="176" w:lineRule="auto"/>
              <w:ind w:left="2159"/>
              <w:rPr>
                <w:sz w:val="7"/>
                <w:szCs w:val="7"/>
              </w:rPr>
            </w:pPr>
            <w:r>
              <w:pict>
                <v:shape id="_x0000_s1053" o:spid="_x0000_s1053" o:spt="202" type="#_x0000_t202" style="position:absolute;left:0pt;margin-left:106.95pt;margin-top:2.1pt;height:5.6pt;width:17.75pt;z-index:2516940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19" w:line="213" w:lineRule="auto"/>
                          <w:ind w:left="20"/>
                          <w:rPr>
                            <w:rFonts w:ascii="Times New Roman" w:hAnsi="Times New Roman" w:eastAsia="Times New Roman" w:cs="Times New Roman"/>
                            <w:sz w:val="7"/>
                            <w:szCs w:val="7"/>
                          </w:rPr>
                        </w:pPr>
                        <w:r>
                          <w:rPr>
                            <w:spacing w:val="4"/>
                            <w:sz w:val="3"/>
                            <w:szCs w:val="3"/>
                          </w:rPr>
                          <w:t xml:space="preserve">Edu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7"/>
                            <w:szCs w:val="7"/>
                          </w:rPr>
                          <w:t>ucation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-109855</wp:posOffset>
                  </wp:positionV>
                  <wp:extent cx="908050" cy="316865"/>
                  <wp:effectExtent l="0" t="0" r="0" b="0"/>
                  <wp:wrapNone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273" cy="31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59884B"/>
                <w:sz w:val="7"/>
                <w:szCs w:val="7"/>
              </w:rPr>
              <w:t>Business</w:t>
            </w:r>
          </w:p>
          <w:p>
            <w:pPr>
              <w:pStyle w:val="6"/>
              <w:spacing w:before="80" w:line="217" w:lineRule="auto"/>
              <w:ind w:left="2159"/>
              <w:rPr>
                <w:sz w:val="7"/>
                <w:szCs w:val="7"/>
              </w:rPr>
            </w:pPr>
            <w:r>
              <w:pict>
                <v:shape id="_x0000_s1054" o:spid="_x0000_s1054" o:spt="202" type="#_x0000_t202" style="position:absolute;left:0pt;margin-left:73.35pt;margin-top:2pt;height:7pt;width:20.05pt;z-index:2516930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20" w:line="208" w:lineRule="auto"/>
                          <w:ind w:left="2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FFFFFF"/>
                            <w:spacing w:val="4"/>
                            <w:sz w:val="10"/>
                            <w:szCs w:val="10"/>
                          </w:rPr>
                          <w:t>AACSB</w:t>
                        </w:r>
                      </w:p>
                    </w:txbxContent>
                  </v:textbox>
                </v:shape>
              </w:pict>
            </w:r>
            <w:r>
              <w:rPr>
                <w:color w:val="226E42"/>
                <w:spacing w:val="4"/>
                <w:sz w:val="7"/>
                <w:szCs w:val="7"/>
              </w:rPr>
              <w:t>AIliance</w:t>
            </w:r>
          </w:p>
          <w:p>
            <w:pPr>
              <w:spacing w:before="8" w:line="213" w:lineRule="auto"/>
              <w:ind w:left="2159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5"/>
                <w:sz w:val="7"/>
                <w:szCs w:val="7"/>
              </w:rPr>
              <w:t>Member</w:t>
            </w:r>
          </w:p>
        </w:tc>
        <w:tc>
          <w:tcPr>
            <w:tcW w:w="233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7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</w:trPr>
        <w:tc>
          <w:tcPr>
            <w:tcW w:w="39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57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2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33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94" w:lineRule="auto"/>
            </w:pPr>
            <w:r>
              <w:drawing>
                <wp:anchor distT="0" distB="0" distL="0" distR="0" simplePos="0" relativeHeight="251679744" behindDoc="0" locked="0" layoutInCell="1" allowOverlap="1">
                  <wp:simplePos x="0" y="0"/>
                  <wp:positionH relativeFrom="rightMargin">
                    <wp:posOffset>-764540</wp:posOffset>
                  </wp:positionH>
                  <wp:positionV relativeFrom="topMargin">
                    <wp:posOffset>76835</wp:posOffset>
                  </wp:positionV>
                  <wp:extent cx="426720" cy="337820"/>
                  <wp:effectExtent l="0" t="0" r="0" b="0"/>
                  <wp:wrapNone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77" cy="33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spacing w:before="43" w:line="167" w:lineRule="auto"/>
              <w:ind w:left="373"/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CAMPUS</w:t>
            </w:r>
          </w:p>
          <w:p>
            <w:pPr>
              <w:pStyle w:val="6"/>
              <w:spacing w:line="201" w:lineRule="auto"/>
              <w:ind w:left="373"/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FRANCE</w:t>
            </w:r>
          </w:p>
        </w:tc>
        <w:tc>
          <w:tcPr>
            <w:tcW w:w="274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39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57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2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33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740" w:type="dxa"/>
            <w:vAlign w:val="top"/>
          </w:tcPr>
          <w:p>
            <w:pPr>
              <w:pStyle w:val="6"/>
              <w:spacing w:before="171" w:line="339" w:lineRule="exact"/>
              <w:ind w:firstLine="451"/>
            </w:pPr>
            <w:r>
              <w:rPr>
                <w:position w:val="-6"/>
              </w:rPr>
              <w:pict>
                <v:group id="_x0000_s1055" o:spid="_x0000_s1055" o:spt="203" style="height:17pt;width:65.9pt;" coordsize="1318,340">
                  <o:lock v:ext="edit"/>
                  <v:shape id="_x0000_s1056" o:spid="_x0000_s1056" o:spt="75" type="#_x0000_t75" style="position:absolute;left:0;top:0;height:340;width:1318;" filled="f" stroked="f" coordsize="21600,21600">
                    <v:path/>
                    <v:fill on="f" focussize="0,0"/>
                    <v:stroke on="f"/>
                    <v:imagedata r:id="rId26" o:title=""/>
                    <o:lock v:ext="edit" aspectratio="t"/>
                  </v:shape>
                  <v:shape id="_x0000_s1057" o:spid="_x0000_s1057" o:spt="202" type="#_x0000_t202" style="position:absolute;left:-20;top:-20;height:380;width:1358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69" w:line="173" w:lineRule="exact"/>
                            <w:ind w:left="405"/>
                            <w:rPr>
                              <w:rFonts w:ascii="黑体" w:hAnsi="黑体" w:eastAsia="黑体" w:cs="黑体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黑体" w:hAnsi="黑体" w:eastAsia="黑体" w:cs="黑体"/>
                              <w:color w:val="FFFFFF"/>
                              <w:spacing w:val="-7"/>
                              <w:w w:val="94"/>
                              <w:position w:val="4"/>
                              <w:sz w:val="10"/>
                              <w:szCs w:val="10"/>
                            </w:rPr>
                            <w:t>教育涉</w:t>
                          </w:r>
                          <w:r>
                            <w:rPr>
                              <w:rFonts w:ascii="黑体" w:hAnsi="黑体" w:eastAsia="黑体" w:cs="黑体"/>
                              <w:color w:val="FFFFFF"/>
                              <w:spacing w:val="-7"/>
                              <w:w w:val="94"/>
                              <w:position w:val="3"/>
                              <w:sz w:val="10"/>
                              <w:szCs w:val="10"/>
                            </w:rPr>
                            <w:t>外</w:t>
                          </w:r>
                          <w:r>
                            <w:rPr>
                              <w:rFonts w:ascii="Arial" w:hAnsi="Arial" w:eastAsia="Arial" w:cs="Arial"/>
                              <w:color w:val="738FB5"/>
                              <w:spacing w:val="-7"/>
                              <w:w w:val="94"/>
                              <w:position w:val="3"/>
                              <w:sz w:val="7"/>
                              <w:szCs w:val="7"/>
                            </w:rPr>
                            <w:t>1s</w:t>
                          </w:r>
                          <w:r>
                            <w:rPr>
                              <w:rFonts w:ascii="Arial" w:hAnsi="Arial" w:eastAsia="Arial" w:cs="Arial"/>
                              <w:color w:val="738FB5"/>
                              <w:spacing w:val="-7"/>
                              <w:w w:val="94"/>
                              <w:position w:val="-1"/>
                              <w:sz w:val="7"/>
                              <w:szCs w:val="7"/>
                            </w:rPr>
                            <w:t>]</w:t>
                          </w:r>
                          <w:r>
                            <w:rPr>
                              <w:rFonts w:ascii="黑体" w:hAnsi="黑体" w:eastAsia="黑体" w:cs="黑体"/>
                              <w:color w:val="FFFFFF"/>
                              <w:spacing w:val="-7"/>
                              <w:w w:val="94"/>
                              <w:position w:val="4"/>
                              <w:sz w:val="10"/>
                              <w:szCs w:val="10"/>
                            </w:rPr>
                            <w:t>监管</w:t>
                          </w:r>
                          <w:r>
                            <w:rPr>
                              <w:rFonts w:ascii="Arial" w:hAnsi="Arial" w:eastAsia="Arial" w:cs="Arial"/>
                              <w:color w:val="738FB5"/>
                              <w:spacing w:val="-7"/>
                              <w:w w:val="94"/>
                              <w:position w:val="-1"/>
                              <w:sz w:val="7"/>
                              <w:szCs w:val="7"/>
                            </w:rPr>
                            <w:t>d</w:t>
                          </w:r>
                          <w:r>
                            <w:rPr>
                              <w:rFonts w:ascii="黑体" w:hAnsi="黑体" w:eastAsia="黑体" w:cs="黑体"/>
                              <w:color w:val="FFFFFF"/>
                              <w:spacing w:val="-7"/>
                              <w:w w:val="94"/>
                              <w:position w:val="4"/>
                              <w:sz w:val="10"/>
                              <w:szCs w:val="10"/>
                            </w:rPr>
                            <w:t>信息网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39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57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256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33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740" w:type="dxa"/>
            <w:vMerge w:val="restart"/>
            <w:tcBorders>
              <w:bottom w:val="nil"/>
            </w:tcBorders>
            <w:vAlign w:val="top"/>
          </w:tcPr>
          <w:p>
            <w:pPr>
              <w:spacing w:before="123" w:line="94" w:lineRule="exact"/>
              <w:ind w:left="831"/>
              <w:rPr>
                <w:rFonts w:ascii="黑体" w:hAnsi="黑体" w:eastAsia="黑体" w:cs="黑体"/>
                <w:sz w:val="7"/>
                <w:szCs w:val="7"/>
              </w:rPr>
            </w:pPr>
            <w:r>
              <w:rPr>
                <w:rFonts w:ascii="黑体" w:hAnsi="黑体" w:eastAsia="黑体" w:cs="黑体"/>
                <w:spacing w:val="13"/>
                <w:sz w:val="7"/>
                <w:szCs w:val="7"/>
              </w:rPr>
              <w:t>中国教育部认可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 w:hRule="atLeast"/>
        </w:trPr>
        <w:tc>
          <w:tcPr>
            <w:tcW w:w="39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57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256" w:type="dxa"/>
            <w:vMerge w:val="restart"/>
            <w:tcBorders>
              <w:bottom w:val="nil"/>
            </w:tcBorders>
            <w:vAlign w:val="top"/>
          </w:tcPr>
          <w:p>
            <w:pPr>
              <w:spacing w:before="81"/>
              <w:ind w:left="1387"/>
              <w:rPr>
                <w:rFonts w:ascii="黑体" w:hAnsi="黑体" w:eastAsia="黑体" w:cs="黑体"/>
                <w:sz w:val="7"/>
                <w:szCs w:val="7"/>
              </w:rPr>
            </w:pPr>
            <w:r>
              <w:rPr>
                <w:rFonts w:ascii="黑体" w:hAnsi="黑体" w:eastAsia="黑体" w:cs="黑体"/>
                <w:spacing w:val="12"/>
                <w:sz w:val="7"/>
                <w:szCs w:val="7"/>
              </w:rPr>
              <w:t>国际商学院联合会</w:t>
            </w:r>
            <w:r>
              <w:rPr>
                <w:rFonts w:ascii="Times New Roman" w:hAnsi="Times New Roman" w:eastAsia="Times New Roman" w:cs="Times New Roman"/>
                <w:spacing w:val="12"/>
                <w:sz w:val="7"/>
                <w:szCs w:val="7"/>
              </w:rPr>
              <w:t>(</w:t>
            </w:r>
            <w:r>
              <w:rPr>
                <w:rFonts w:ascii="Times New Roman" w:hAnsi="Times New Roman" w:eastAsia="Times New Roman" w:cs="Times New Roman"/>
                <w:sz w:val="7"/>
                <w:szCs w:val="7"/>
              </w:rPr>
              <w:t>AACSB</w:t>
            </w:r>
            <w:r>
              <w:rPr>
                <w:rFonts w:ascii="Times New Roman" w:hAnsi="Times New Roman" w:eastAsia="Times New Roman" w:cs="Times New Roman"/>
                <w:spacing w:val="12"/>
                <w:sz w:val="7"/>
                <w:szCs w:val="7"/>
              </w:rPr>
              <w:t>)</w:t>
            </w:r>
            <w:r>
              <w:rPr>
                <w:rFonts w:ascii="Times New Roman" w:hAnsi="Times New Roman" w:eastAsia="Times New Roman" w:cs="Times New Roman"/>
                <w:spacing w:val="21"/>
                <w:sz w:val="7"/>
                <w:szCs w:val="7"/>
              </w:rPr>
              <w:t xml:space="preserve"> </w:t>
            </w:r>
            <w:r>
              <w:rPr>
                <w:rFonts w:ascii="黑体" w:hAnsi="黑体" w:eastAsia="黑体" w:cs="黑体"/>
                <w:spacing w:val="12"/>
                <w:sz w:val="7"/>
                <w:szCs w:val="7"/>
              </w:rPr>
              <w:t>成</w:t>
            </w:r>
            <w:r>
              <w:rPr>
                <w:rFonts w:ascii="黑体" w:hAnsi="黑体" w:eastAsia="黑体" w:cs="黑体"/>
                <w:spacing w:val="-4"/>
                <w:sz w:val="7"/>
                <w:szCs w:val="7"/>
              </w:rPr>
              <w:t xml:space="preserve"> </w:t>
            </w:r>
            <w:r>
              <w:rPr>
                <w:rFonts w:ascii="黑体" w:hAnsi="黑体" w:eastAsia="黑体" w:cs="黑体"/>
                <w:spacing w:val="12"/>
                <w:sz w:val="7"/>
                <w:szCs w:val="7"/>
              </w:rPr>
              <w:t>员</w:t>
            </w:r>
          </w:p>
        </w:tc>
        <w:tc>
          <w:tcPr>
            <w:tcW w:w="233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7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39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57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256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330" w:type="dxa"/>
            <w:vAlign w:val="top"/>
          </w:tcPr>
          <w:p>
            <w:pPr>
              <w:spacing w:before="67" w:line="93" w:lineRule="exact"/>
              <w:ind w:left="360"/>
              <w:rPr>
                <w:rFonts w:ascii="黑体" w:hAnsi="黑体" w:eastAsia="黑体" w:cs="黑体"/>
                <w:sz w:val="7"/>
                <w:szCs w:val="7"/>
              </w:rPr>
            </w:pPr>
            <w:r>
              <w:rPr>
                <w:rFonts w:ascii="黑体" w:hAnsi="黑体" w:eastAsia="黑体" w:cs="黑体"/>
                <w:spacing w:val="13"/>
                <w:sz w:val="7"/>
                <w:szCs w:val="7"/>
              </w:rPr>
              <w:t>法国高等教育署</w:t>
            </w:r>
            <w:r>
              <w:rPr>
                <w:rFonts w:ascii="宋体" w:hAnsi="宋体" w:eastAsia="宋体" w:cs="宋体"/>
                <w:spacing w:val="13"/>
                <w:sz w:val="7"/>
                <w:szCs w:val="7"/>
              </w:rPr>
              <w:t>(</w:t>
            </w:r>
            <w:r>
              <w:rPr>
                <w:rFonts w:ascii="宋体" w:hAnsi="宋体" w:eastAsia="宋体" w:cs="宋体"/>
                <w:sz w:val="7"/>
                <w:szCs w:val="7"/>
              </w:rPr>
              <w:t>Campus</w:t>
            </w:r>
            <w:r>
              <w:rPr>
                <w:rFonts w:ascii="宋体" w:hAnsi="宋体" w:eastAsia="宋体" w:cs="宋体"/>
                <w:spacing w:val="2"/>
                <w:sz w:val="7"/>
                <w:szCs w:val="7"/>
              </w:rPr>
              <w:t xml:space="preserve">    </w:t>
            </w:r>
            <w:r>
              <w:rPr>
                <w:rFonts w:ascii="宋体" w:hAnsi="宋体" w:eastAsia="宋体" w:cs="宋体"/>
                <w:sz w:val="7"/>
                <w:szCs w:val="7"/>
              </w:rPr>
              <w:t>France</w:t>
            </w:r>
            <w:r>
              <w:rPr>
                <w:rFonts w:ascii="宋体" w:hAnsi="宋体" w:eastAsia="宋体" w:cs="宋体"/>
                <w:spacing w:val="13"/>
                <w:sz w:val="7"/>
                <w:szCs w:val="7"/>
              </w:rPr>
              <w:t>)</w:t>
            </w:r>
            <w:r>
              <w:rPr>
                <w:rFonts w:ascii="黑体" w:hAnsi="黑体" w:eastAsia="黑体" w:cs="黑体"/>
                <w:spacing w:val="13"/>
                <w:sz w:val="7"/>
                <w:szCs w:val="7"/>
              </w:rPr>
              <w:t>成 员</w:t>
            </w:r>
          </w:p>
        </w:tc>
        <w:tc>
          <w:tcPr>
            <w:tcW w:w="274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221" w:hRule="atLeast"/>
        </w:trPr>
        <w:tc>
          <w:tcPr>
            <w:tcW w:w="393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57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326" w:type="dxa"/>
            <w:gridSpan w:val="3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314" w:lineRule="auto"/>
            </w:pPr>
            <w:r>
              <w:pict>
                <v:shape id="_x0000_s1058" o:spid="_x0000_s1058" o:spt="202" type="#_x0000_t202" style="position:absolute;left:0pt;margin-left:308.55pt;margin-top:43.5pt;height:6.7pt;width:7.5pt;mso-position-horizontal-relative:page;mso-position-vertical-relative:page;z-index:2516951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93" w:lineRule="exact"/>
                          <w:ind w:left="20"/>
                          <w:rPr>
                            <w:rFonts w:ascii="黑体" w:hAnsi="黑体" w:eastAsia="黑体" w:cs="黑体"/>
                            <w:sz w:val="7"/>
                            <w:szCs w:val="7"/>
                          </w:rPr>
                        </w:pPr>
                        <w:r>
                          <w:rPr>
                            <w:rFonts w:ascii="黑体" w:hAnsi="黑体" w:eastAsia="黑体" w:cs="黑体"/>
                            <w:color w:val="FFFFFF"/>
                            <w:spacing w:val="-4"/>
                            <w:w w:val="94"/>
                            <w:sz w:val="7"/>
                            <w:szCs w:val="7"/>
                          </w:rPr>
                          <w:t>有涉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59" o:spid="_x0000_s1059" o:spt="202" type="#_x0000_t202" style="position:absolute;left:0pt;margin-left:305.25pt;margin-top:84.65pt;height:5.7pt;width:7.2pt;mso-position-horizontal-relative:page;mso-position-vertical-relative:page;z-index:2516992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219" w:lineRule="auto"/>
                          <w:ind w:left="20"/>
                          <w:rPr>
                            <w:rFonts w:ascii="Times New Roman" w:hAnsi="Times New Roman" w:eastAsia="Times New Roman" w:cs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3"/>
                            <w:sz w:val="7"/>
                            <w:szCs w:val="7"/>
                          </w:rPr>
                          <w:t>(pu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60" o:spid="_x0000_s1060" o:spt="202" type="#_x0000_t202" style="position:absolute;left:0pt;margin-left:276.3pt;margin-top:94.35pt;height:9.3pt;width:14.35pt;mso-position-horizontal-relative:page;mso-position-vertical-relative:page;z-index:2516981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40" w:lineRule="exact"/>
                          <w:ind w:left="20"/>
                          <w:rPr>
                            <w:rFonts w:ascii="Times New Roman" w:hAnsi="Times New Roman" w:eastAsia="Times New Roman" w:cs="Times New Roman"/>
                            <w:sz w:val="3"/>
                            <w:szCs w:val="3"/>
                          </w:rPr>
                        </w:pPr>
                        <w:r>
                          <w:rPr>
                            <w:rFonts w:ascii="黑体" w:hAnsi="黑体" w:eastAsia="黑体" w:cs="黑体"/>
                            <w:spacing w:val="2"/>
                            <w:sz w:val="3"/>
                            <w:szCs w:val="3"/>
                          </w:rPr>
                          <w:t>方网址：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3"/>
                            <w:szCs w:val="3"/>
                          </w:rPr>
                          <w:t>m.</w:t>
                        </w:r>
                      </w:p>
                      <w:p>
                        <w:pPr>
                          <w:spacing w:before="1" w:line="239" w:lineRule="auto"/>
                          <w:ind w:left="26"/>
                          <w:rPr>
                            <w:rFonts w:ascii="Times New Roman" w:hAnsi="Times New Roman" w:eastAsia="Times New Roman" w:cs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黑体" w:hAnsi="黑体" w:eastAsia="黑体" w:cs="黑体"/>
                            <w:spacing w:val="-3"/>
                            <w:w w:val="76"/>
                            <w:sz w:val="7"/>
                            <w:szCs w:val="7"/>
                          </w:rPr>
                          <w:t>性：</w:t>
                        </w:r>
                        <w:r>
                          <w:rPr>
                            <w:rFonts w:ascii="宋体" w:hAnsi="宋体" w:eastAsia="宋体" w:cs="宋体"/>
                            <w:spacing w:val="-3"/>
                            <w:w w:val="76"/>
                            <w:sz w:val="7"/>
                            <w:szCs w:val="7"/>
                          </w:rPr>
                          <w:t>Da</w:t>
                        </w:r>
                        <w:r>
                          <w:rPr>
                            <w:position w:val="-1"/>
                            <w:sz w:val="7"/>
                            <w:szCs w:val="7"/>
                          </w:rPr>
                          <w:drawing>
                            <wp:inline distT="0" distB="0" distL="0" distR="0">
                              <wp:extent cx="20955" cy="56515"/>
                              <wp:effectExtent l="0" t="0" r="0" b="0"/>
                              <wp:docPr id="32" name="IM 3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 32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032" cy="566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eastAsia="Times New Roman" w:cs="Times New Roman"/>
                            <w:color w:val="FFFFFF"/>
                            <w:spacing w:val="-3"/>
                            <w:w w:val="76"/>
                            <w:position w:val="-1"/>
                            <w:sz w:val="7"/>
                            <w:szCs w:val="7"/>
                          </w:rPr>
                          <w:t>tlut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61" o:spid="_x0000_s1061" o:spt="202" type="#_x0000_t202" style="position:absolute;left:0pt;margin-left:307.25pt;margin-top:97.75pt;height:5.6pt;width:40.6pt;mso-position-horizontal-relative:page;mso-position-vertical-relative:page;z-index:25170022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213" w:lineRule="auto"/>
                          <w:ind w:left="20"/>
                          <w:rPr>
                            <w:rFonts w:ascii="Times New Roman" w:hAnsi="Times New Roman" w:eastAsia="Times New Roman" w:cs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7"/>
                            <w:szCs w:val="7"/>
                          </w:rPr>
                          <w:t>nt antia lchardatictla caarclala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62" o:spid="_x0000_s1062" o:spt="202" type="#_x0000_t202" style="position:absolute;left:0pt;margin-left:270.65pt;margin-top:107.55pt;height:14.2pt;width:95.85pt;mso-position-horizontal-relative:page;mso-position-vertical-relative:page;z-index:2516971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25" w:lineRule="auto"/>
                          <w:ind w:left="537" w:right="20" w:hanging="518"/>
                          <w:rPr>
                            <w:rFonts w:ascii="黑体" w:hAnsi="黑体" w:eastAsia="黑体" w:cs="黑体"/>
                            <w:sz w:val="10"/>
                            <w:szCs w:val="10"/>
                          </w:rPr>
                        </w:pPr>
                        <w:r>
                          <w:rPr>
                            <w:rFonts w:ascii="黑体" w:hAnsi="黑体" w:eastAsia="黑体" w:cs="黑体"/>
                            <w:color w:val="FFFFFF"/>
                            <w:spacing w:val="-7"/>
                            <w:sz w:val="10"/>
                            <w:szCs w:val="10"/>
                          </w:rPr>
                          <w:t>学院受中国教育部教育涉外监管信息网认证，</w:t>
                        </w:r>
                        <w:r>
                          <w:rPr>
                            <w:rFonts w:ascii="黑体" w:hAnsi="黑体" w:eastAsia="黑体" w:cs="黑体"/>
                            <w:color w:val="FFFFFF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黑体" w:hAnsi="黑体" w:eastAsia="黑体" w:cs="黑体"/>
                            <w:color w:val="FFFFFF"/>
                            <w:spacing w:val="1"/>
                            <w:sz w:val="10"/>
                            <w:szCs w:val="10"/>
                          </w:rPr>
                          <w:t>学位全球认可通用</w:t>
                        </w:r>
                      </w:p>
                    </w:txbxContent>
                  </v:textbox>
                </v:shape>
              </w:pict>
            </w:r>
          </w:p>
          <w:p>
            <w:pPr>
              <w:pStyle w:val="6"/>
              <w:spacing w:line="315" w:lineRule="auto"/>
            </w:pPr>
          </w:p>
          <w:p>
            <w:pPr>
              <w:spacing w:before="32" w:line="233" w:lineRule="auto"/>
              <w:ind w:left="1274"/>
              <w:rPr>
                <w:rFonts w:ascii="黑体" w:hAnsi="黑体" w:eastAsia="黑体" w:cs="黑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6"/>
                <w:sz w:val="10"/>
                <w:szCs w:val="10"/>
              </w:rPr>
              <w:t xml:space="preserve">o    </w:t>
            </w:r>
            <w:r>
              <w:rPr>
                <w:rFonts w:ascii="黑体" w:hAnsi="黑体" w:eastAsia="黑体" w:cs="黑体"/>
                <w:color w:val="FFFFFF"/>
                <w:spacing w:val="6"/>
                <w:sz w:val="10"/>
                <w:szCs w:val="10"/>
              </w:rPr>
              <w:t>法国高等教育、研究部与创新部(法国教育部)</w:t>
            </w:r>
            <w:r>
              <w:rPr>
                <w:rFonts w:ascii="黑体" w:hAnsi="黑体" w:eastAsia="黑体" w:cs="黑体"/>
                <w:color w:val="FFFFFF"/>
                <w:spacing w:val="5"/>
                <w:sz w:val="10"/>
                <w:szCs w:val="10"/>
              </w:rPr>
              <w:t>承认的大学。</w:t>
            </w:r>
          </w:p>
          <w:p>
            <w:pPr>
              <w:spacing w:before="99" w:line="233" w:lineRule="auto"/>
              <w:ind w:left="1274"/>
              <w:rPr>
                <w:rFonts w:ascii="黑体" w:hAnsi="黑体" w:eastAsia="黑体" w:cs="黑体"/>
                <w:sz w:val="10"/>
                <w:szCs w:val="10"/>
              </w:rPr>
            </w:pPr>
            <w:r>
              <w:rPr>
                <w:rFonts w:ascii="黑体" w:hAnsi="黑体" w:eastAsia="黑体" w:cs="黑体"/>
                <w:color w:val="FFFFFF"/>
                <w:spacing w:val="11"/>
                <w:sz w:val="10"/>
                <w:szCs w:val="10"/>
              </w:rPr>
              <w:t>◎法国国家商业管理文凭认证委员会</w:t>
            </w:r>
            <w:r>
              <w:rPr>
                <w:rFonts w:ascii="宋体" w:hAnsi="宋体" w:eastAsia="宋体" w:cs="宋体"/>
                <w:color w:val="FFFFFF"/>
                <w:spacing w:val="11"/>
                <w:sz w:val="10"/>
                <w:szCs w:val="10"/>
              </w:rPr>
              <w:t>(</w:t>
            </w:r>
            <w:r>
              <w:rPr>
                <w:rFonts w:ascii="宋体" w:hAnsi="宋体" w:eastAsia="宋体" w:cs="宋体"/>
                <w:color w:val="FFFFFF"/>
                <w:sz w:val="10"/>
                <w:szCs w:val="10"/>
              </w:rPr>
              <w:t>CEFDG</w:t>
            </w:r>
            <w:r>
              <w:rPr>
                <w:rFonts w:ascii="宋体" w:hAnsi="宋体" w:eastAsia="宋体" w:cs="宋体"/>
                <w:color w:val="FFFFFF"/>
                <w:spacing w:val="11"/>
                <w:sz w:val="10"/>
                <w:szCs w:val="10"/>
              </w:rPr>
              <w:t>)</w:t>
            </w:r>
            <w:r>
              <w:rPr>
                <w:rFonts w:ascii="宋体" w:hAnsi="宋体" w:eastAsia="宋体" w:cs="宋体"/>
                <w:color w:val="FFFFFF"/>
                <w:spacing w:val="39"/>
                <w:sz w:val="10"/>
                <w:szCs w:val="10"/>
              </w:rPr>
              <w:t xml:space="preserve"> </w:t>
            </w:r>
            <w:r>
              <w:rPr>
                <w:rFonts w:ascii="黑体" w:hAnsi="黑体" w:eastAsia="黑体" w:cs="黑体"/>
                <w:color w:val="FFFFFF"/>
                <w:spacing w:val="11"/>
                <w:sz w:val="10"/>
                <w:szCs w:val="10"/>
              </w:rPr>
              <w:t>承认的大学。</w:t>
            </w:r>
          </w:p>
          <w:p>
            <w:pPr>
              <w:spacing w:before="128" w:line="225" w:lineRule="auto"/>
              <w:ind w:left="1274"/>
              <w:rPr>
                <w:rFonts w:ascii="黑体" w:hAnsi="黑体" w:eastAsia="黑体" w:cs="黑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9"/>
                <w:sz w:val="10"/>
                <w:szCs w:val="10"/>
              </w:rPr>
              <w:t xml:space="preserve">o    </w:t>
            </w:r>
            <w:r>
              <w:rPr>
                <w:rFonts w:ascii="黑体" w:hAnsi="黑体" w:eastAsia="黑体" w:cs="黑体"/>
                <w:color w:val="FFFFFF"/>
                <w:spacing w:val="9"/>
                <w:sz w:val="10"/>
                <w:szCs w:val="10"/>
              </w:rPr>
              <w:t>法国高等精英学院联合会罗纳阿尔卑斯大区分会</w:t>
            </w:r>
            <w:r>
              <w:rPr>
                <w:rFonts w:ascii="Times New Roman" w:hAnsi="Times New Roman" w:eastAsia="Times New Roman" w:cs="Times New Roman"/>
                <w:color w:val="FFFFFF"/>
                <w:spacing w:val="9"/>
                <w:sz w:val="10"/>
                <w:szCs w:val="10"/>
              </w:rPr>
              <w:t>(</w:t>
            </w:r>
            <w:r>
              <w:rPr>
                <w:rFonts w:ascii="Times New Roman" w:hAnsi="Times New Roman" w:eastAsia="Times New Roman" w:cs="Times New Roman"/>
                <w:color w:val="FFFFFF"/>
                <w:sz w:val="10"/>
                <w:szCs w:val="10"/>
              </w:rPr>
              <w:t>AGERA</w:t>
            </w:r>
            <w:r>
              <w:rPr>
                <w:rFonts w:ascii="Times New Roman" w:hAnsi="Times New Roman" w:eastAsia="Times New Roman" w:cs="Times New Roman"/>
                <w:color w:val="FFFFFF"/>
                <w:spacing w:val="9"/>
                <w:sz w:val="10"/>
                <w:szCs w:val="10"/>
              </w:rPr>
              <w:t>)</w:t>
            </w:r>
            <w:r>
              <w:rPr>
                <w:rFonts w:ascii="黑体" w:hAnsi="黑体" w:eastAsia="黑体" w:cs="黑体"/>
                <w:color w:val="FFFFFF"/>
                <w:spacing w:val="9"/>
                <w:sz w:val="10"/>
                <w:szCs w:val="10"/>
              </w:rPr>
              <w:t>成员。</w:t>
            </w:r>
          </w:p>
          <w:p>
            <w:pPr>
              <w:spacing w:before="95" w:line="233" w:lineRule="auto"/>
              <w:ind w:left="1274"/>
              <w:rPr>
                <w:rFonts w:ascii="黑体" w:hAnsi="黑体" w:eastAsia="黑体" w:cs="黑体"/>
                <w:sz w:val="10"/>
                <w:szCs w:val="10"/>
              </w:rPr>
            </w:pPr>
            <w:r>
              <w:rPr>
                <w:rFonts w:ascii="宋体" w:hAnsi="宋体" w:eastAsia="宋体" w:cs="宋体"/>
                <w:color w:val="FFFFFF"/>
                <w:spacing w:val="6"/>
                <w:sz w:val="10"/>
                <w:szCs w:val="10"/>
              </w:rPr>
              <w:t xml:space="preserve">o  </w:t>
            </w:r>
            <w:r>
              <w:rPr>
                <w:rFonts w:ascii="黑体" w:hAnsi="黑体" w:eastAsia="黑体" w:cs="黑体"/>
                <w:color w:val="FFFFFF"/>
                <w:spacing w:val="6"/>
                <w:sz w:val="10"/>
                <w:szCs w:val="10"/>
              </w:rPr>
              <w:t>国际商学院联合会</w:t>
            </w:r>
            <w:r>
              <w:rPr>
                <w:rFonts w:ascii="宋体" w:hAnsi="宋体" w:eastAsia="宋体" w:cs="宋体"/>
                <w:color w:val="FFFFFF"/>
                <w:spacing w:val="6"/>
                <w:sz w:val="10"/>
                <w:szCs w:val="10"/>
              </w:rPr>
              <w:t>(</w:t>
            </w:r>
            <w:r>
              <w:rPr>
                <w:rFonts w:ascii="宋体" w:hAnsi="宋体" w:eastAsia="宋体" w:cs="宋体"/>
                <w:color w:val="FFFFFF"/>
                <w:sz w:val="10"/>
                <w:szCs w:val="10"/>
              </w:rPr>
              <w:t>AACSB</w:t>
            </w:r>
            <w:r>
              <w:rPr>
                <w:rFonts w:ascii="宋体" w:hAnsi="宋体" w:eastAsia="宋体" w:cs="宋体"/>
                <w:color w:val="FFFFFF"/>
                <w:spacing w:val="6"/>
                <w:sz w:val="10"/>
                <w:szCs w:val="10"/>
              </w:rPr>
              <w:t>)</w:t>
            </w:r>
            <w:r>
              <w:rPr>
                <w:rFonts w:ascii="宋体" w:hAnsi="宋体" w:eastAsia="宋体" w:cs="宋体"/>
                <w:color w:val="FFFFFF"/>
                <w:spacing w:val="46"/>
                <w:sz w:val="10"/>
                <w:szCs w:val="10"/>
              </w:rPr>
              <w:t xml:space="preserve"> </w:t>
            </w:r>
            <w:r>
              <w:rPr>
                <w:rFonts w:ascii="黑体" w:hAnsi="黑体" w:eastAsia="黑体" w:cs="黑体"/>
                <w:color w:val="FFFFFF"/>
                <w:spacing w:val="6"/>
                <w:sz w:val="10"/>
                <w:szCs w:val="10"/>
              </w:rPr>
              <w:t>成员。</w:t>
            </w:r>
          </w:p>
          <w:p>
            <w:pPr>
              <w:pStyle w:val="6"/>
              <w:spacing w:before="129" w:line="225" w:lineRule="auto"/>
              <w:ind w:left="1274"/>
              <w:rPr>
                <w:rFonts w:ascii="黑体" w:hAnsi="黑体" w:eastAsia="黑体" w:cs="黑体"/>
                <w:sz w:val="10"/>
                <w:szCs w:val="10"/>
              </w:rPr>
            </w:pPr>
            <w:r>
              <w:rPr>
                <w:color w:val="FFFFFF"/>
                <w:spacing w:val="10"/>
                <w:sz w:val="10"/>
                <w:szCs w:val="10"/>
              </w:rPr>
              <w:t>o</w:t>
            </w:r>
            <w:r>
              <w:rPr>
                <w:color w:val="FFFFFF"/>
                <w:spacing w:val="6"/>
                <w:sz w:val="10"/>
                <w:szCs w:val="10"/>
              </w:rPr>
              <w:t xml:space="preserve">    </w:t>
            </w:r>
            <w:r>
              <w:rPr>
                <w:rFonts w:ascii="黑体" w:hAnsi="黑体" w:eastAsia="黑体" w:cs="黑体"/>
                <w:color w:val="FFFFFF"/>
                <w:spacing w:val="10"/>
                <w:sz w:val="10"/>
                <w:szCs w:val="10"/>
              </w:rPr>
              <w:t>法国高等教育署</w:t>
            </w:r>
            <w:r>
              <w:rPr>
                <w:color w:val="FFFFFF"/>
                <w:spacing w:val="10"/>
                <w:sz w:val="10"/>
                <w:szCs w:val="10"/>
              </w:rPr>
              <w:t>(</w:t>
            </w:r>
            <w:r>
              <w:rPr>
                <w:color w:val="FFFFFF"/>
                <w:sz w:val="10"/>
                <w:szCs w:val="10"/>
              </w:rPr>
              <w:t>CAMPUS</w:t>
            </w:r>
            <w:r>
              <w:rPr>
                <w:color w:val="FFFFFF"/>
                <w:spacing w:val="10"/>
                <w:sz w:val="10"/>
                <w:szCs w:val="10"/>
              </w:rPr>
              <w:t xml:space="preserve"> </w:t>
            </w:r>
            <w:r>
              <w:rPr>
                <w:color w:val="FFFFFF"/>
                <w:sz w:val="10"/>
                <w:szCs w:val="10"/>
              </w:rPr>
              <w:t>FRANCE</w:t>
            </w:r>
            <w:r>
              <w:rPr>
                <w:color w:val="FFFFFF"/>
                <w:spacing w:val="10"/>
                <w:sz w:val="10"/>
                <w:szCs w:val="10"/>
              </w:rPr>
              <w:t>)</w:t>
            </w:r>
            <w:r>
              <w:rPr>
                <w:rFonts w:ascii="黑体" w:hAnsi="黑体" w:eastAsia="黑体" w:cs="黑体"/>
                <w:color w:val="FFFFFF"/>
                <w:spacing w:val="10"/>
                <w:sz w:val="10"/>
                <w:szCs w:val="10"/>
              </w:rPr>
              <w:t>成员和欧洲发展基金会</w:t>
            </w:r>
            <w:r>
              <w:rPr>
                <w:color w:val="FFFFFF"/>
                <w:spacing w:val="10"/>
                <w:sz w:val="10"/>
                <w:szCs w:val="10"/>
              </w:rPr>
              <w:t>(</w:t>
            </w:r>
            <w:r>
              <w:rPr>
                <w:color w:val="FFFFFF"/>
                <w:sz w:val="10"/>
                <w:szCs w:val="10"/>
              </w:rPr>
              <w:t>EFMD</w:t>
            </w:r>
            <w:r>
              <w:rPr>
                <w:color w:val="FFFFFF"/>
                <w:spacing w:val="10"/>
                <w:sz w:val="10"/>
                <w:szCs w:val="10"/>
              </w:rPr>
              <w:t>)</w:t>
            </w:r>
            <w:r>
              <w:rPr>
                <w:rFonts w:ascii="黑体" w:hAnsi="黑体" w:eastAsia="黑体" w:cs="黑体"/>
                <w:color w:val="FFFFFF"/>
                <w:spacing w:val="10"/>
                <w:sz w:val="10"/>
                <w:szCs w:val="10"/>
              </w:rPr>
              <w:t>成员。</w:t>
            </w:r>
          </w:p>
          <w:p>
            <w:pPr>
              <w:spacing w:before="116" w:line="233" w:lineRule="auto"/>
              <w:ind w:left="1274"/>
              <w:rPr>
                <w:rFonts w:ascii="黑体" w:hAnsi="黑体" w:eastAsia="黑体" w:cs="黑体"/>
                <w:sz w:val="10"/>
                <w:szCs w:val="10"/>
              </w:rPr>
            </w:pPr>
            <w:r>
              <w:rPr>
                <w:rFonts w:ascii="黑体" w:hAnsi="黑体" w:eastAsia="黑体" w:cs="黑体"/>
                <w:color w:val="FFFFFF"/>
                <w:spacing w:val="7"/>
                <w:sz w:val="10"/>
                <w:szCs w:val="10"/>
              </w:rPr>
              <w:t>◎列入《中华人民共和国教育部教育涉外监管信息网》名单。</w:t>
            </w:r>
          </w:p>
          <w:p>
            <w:pPr>
              <w:pStyle w:val="6"/>
              <w:spacing w:before="119" w:line="233" w:lineRule="auto"/>
              <w:ind w:left="1274"/>
              <w:rPr>
                <w:rFonts w:ascii="黑体" w:hAnsi="黑体" w:eastAsia="黑体" w:cs="黑体"/>
                <w:sz w:val="10"/>
                <w:szCs w:val="10"/>
              </w:rPr>
            </w:pPr>
            <w:r>
              <w:rPr>
                <w:color w:val="FFFFFF"/>
                <w:spacing w:val="3"/>
                <w:sz w:val="10"/>
                <w:szCs w:val="10"/>
              </w:rPr>
              <w:t xml:space="preserve">o    </w:t>
            </w:r>
            <w:r>
              <w:rPr>
                <w:rFonts w:ascii="黑体" w:hAnsi="黑体" w:eastAsia="黑体" w:cs="黑体"/>
                <w:color w:val="FFFFFF"/>
                <w:spacing w:val="3"/>
                <w:sz w:val="10"/>
                <w:szCs w:val="10"/>
              </w:rPr>
              <w:t>法国著名《</w:t>
            </w:r>
            <w:r>
              <w:rPr>
                <w:color w:val="FFFFFF"/>
                <w:sz w:val="10"/>
                <w:szCs w:val="10"/>
              </w:rPr>
              <w:t>CHALLENGES</w:t>
            </w:r>
            <w:r>
              <w:rPr>
                <w:rFonts w:ascii="黑体" w:hAnsi="黑体" w:eastAsia="黑体" w:cs="黑体"/>
                <w:color w:val="FFFFFF"/>
                <w:spacing w:val="3"/>
                <w:sz w:val="10"/>
                <w:szCs w:val="10"/>
              </w:rPr>
              <w:t>挑战》商业期刊法国高等商学院排名2023年第15位。</w:t>
            </w:r>
          </w:p>
          <w:p>
            <w:pPr>
              <w:spacing w:before="96" w:line="225" w:lineRule="auto"/>
              <w:ind w:left="1274"/>
              <w:rPr>
                <w:rFonts w:ascii="黑体" w:hAnsi="黑体" w:eastAsia="黑体" w:cs="黑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z w:val="10"/>
                <w:szCs w:val="10"/>
              </w:rPr>
              <w:t>o      16</w:t>
            </w:r>
            <w:r>
              <w:rPr>
                <w:rFonts w:ascii="黑体" w:hAnsi="黑体" w:eastAsia="黑体" w:cs="黑体"/>
                <w:color w:val="FFFFFF"/>
                <w:sz w:val="10"/>
                <w:szCs w:val="10"/>
              </w:rPr>
              <w:t>个校区遍布全球，被称为“法兰西商学航母”。</w:t>
            </w:r>
          </w:p>
          <w:p>
            <w:pPr>
              <w:spacing w:before="138" w:line="225" w:lineRule="auto"/>
              <w:ind w:left="1274"/>
              <w:rPr>
                <w:rFonts w:ascii="黑体" w:hAnsi="黑体" w:eastAsia="黑体" w:cs="黑体"/>
                <w:sz w:val="10"/>
                <w:szCs w:val="10"/>
              </w:rPr>
            </w:pPr>
            <w:r>
              <w:drawing>
                <wp:anchor distT="0" distB="0" distL="0" distR="0" simplePos="0" relativeHeight="251664384" behindDoc="1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-1394460</wp:posOffset>
                  </wp:positionV>
                  <wp:extent cx="5005705" cy="1685290"/>
                  <wp:effectExtent l="0" t="0" r="0" b="0"/>
                  <wp:wrapNone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864" cy="168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FFFFFF"/>
                <w:spacing w:val="7"/>
                <w:sz w:val="10"/>
                <w:szCs w:val="10"/>
              </w:rPr>
              <w:t xml:space="preserve">o  </w:t>
            </w:r>
            <w:r>
              <w:rPr>
                <w:rFonts w:ascii="黑体" w:hAnsi="黑体" w:eastAsia="黑体" w:cs="黑体"/>
                <w:color w:val="FFFFFF"/>
                <w:spacing w:val="7"/>
                <w:sz w:val="10"/>
                <w:szCs w:val="10"/>
              </w:rPr>
              <w:t>欧盟所有成员国全面承认的学位，直接缔造学位拥有者参与国际管理者流动的便</w:t>
            </w:r>
            <w:r>
              <w:rPr>
                <w:rFonts w:ascii="黑体" w:hAnsi="黑体" w:eastAsia="黑体" w:cs="黑体"/>
                <w:color w:val="FFFFFF"/>
                <w:spacing w:val="6"/>
                <w:sz w:val="10"/>
                <w:szCs w:val="10"/>
              </w:rPr>
              <w:t>利和优势。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93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352" w:lineRule="auto"/>
            </w:pPr>
          </w:p>
          <w:p>
            <w:pPr>
              <w:spacing w:before="49" w:line="225" w:lineRule="auto"/>
              <w:ind w:left="2"/>
              <w:rPr>
                <w:rFonts w:ascii="黑体" w:hAnsi="黑体" w:eastAsia="黑体" w:cs="黑体"/>
                <w:sz w:val="15"/>
                <w:szCs w:val="15"/>
              </w:rPr>
            </w:pPr>
            <w:r>
              <w:pict>
                <v:shape id="_x0000_s1063" o:spid="_x0000_s1063" o:spt="202" type="#_x0000_t202" style="position:absolute;left:0pt;margin-left:73.8pt;margin-top:3.65pt;height:7pt;width:63.5pt;z-index:2516961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20" w:line="208" w:lineRule="auto"/>
                          <w:ind w:left="2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b/>
                            <w:bCs/>
                            <w:color w:val="AD3F46"/>
                            <w:spacing w:val="-1"/>
                            <w:sz w:val="10"/>
                            <w:szCs w:val="10"/>
                          </w:rPr>
                          <w:t>PROJECT</w:t>
                        </w:r>
                        <w:r>
                          <w:rPr>
                            <w:b/>
                            <w:bCs/>
                            <w:color w:val="AD3F46"/>
                            <w:spacing w:val="1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AD3F46"/>
                            <w:spacing w:val="-1"/>
                            <w:sz w:val="10"/>
                            <w:szCs w:val="10"/>
                          </w:rPr>
                          <w:t>BACKGROUND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黑体" w:hAnsi="黑体" w:eastAsia="黑体" w:cs="黑体"/>
                <w:b/>
                <w:bCs/>
                <w:color w:val="B34A51"/>
                <w:spacing w:val="12"/>
                <w:sz w:val="15"/>
                <w:szCs w:val="15"/>
              </w:rPr>
              <w:t>项目背景</w:t>
            </w:r>
          </w:p>
        </w:tc>
        <w:tc>
          <w:tcPr>
            <w:tcW w:w="2572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326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497" w:hRule="atLeast"/>
        </w:trPr>
        <w:tc>
          <w:tcPr>
            <w:tcW w:w="393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572" w:type="dxa"/>
            <w:vMerge w:val="restart"/>
            <w:tcBorders>
              <w:bottom w:val="nil"/>
            </w:tcBorders>
            <w:vAlign w:val="top"/>
          </w:tcPr>
          <w:p>
            <w:pPr>
              <w:spacing w:before="44" w:line="865" w:lineRule="exact"/>
              <w:ind w:firstLine="1212"/>
            </w:pPr>
            <w:r>
              <w:rPr>
                <w:position w:val="-17"/>
              </w:rPr>
              <w:drawing>
                <wp:inline distT="0" distB="0" distL="0" distR="0">
                  <wp:extent cx="574040" cy="548640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35" cy="54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6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3937" w:type="dxa"/>
            <w:vMerge w:val="restart"/>
            <w:tcBorders>
              <w:bottom w:val="nil"/>
            </w:tcBorders>
            <w:vAlign w:val="top"/>
          </w:tcPr>
          <w:p>
            <w:pPr>
              <w:spacing w:before="209" w:line="222" w:lineRule="exact"/>
              <w:ind w:left="266"/>
              <w:rPr>
                <w:rFonts w:ascii="黑体" w:hAnsi="黑体" w:eastAsia="黑体" w:cs="黑体"/>
                <w:sz w:val="10"/>
                <w:szCs w:val="10"/>
              </w:rPr>
            </w:pPr>
            <w:r>
              <w:rPr>
                <w:rFonts w:ascii="宋体" w:hAnsi="宋体" w:eastAsia="宋体" w:cs="宋体"/>
                <w:position w:val="9"/>
                <w:sz w:val="10"/>
                <w:szCs w:val="10"/>
              </w:rPr>
              <w:t>EMBA</w:t>
            </w:r>
            <w:r>
              <w:rPr>
                <w:rFonts w:ascii="宋体" w:hAnsi="宋体" w:eastAsia="宋体" w:cs="宋体"/>
                <w:spacing w:val="51"/>
                <w:w w:val="101"/>
                <w:position w:val="9"/>
                <w:sz w:val="10"/>
                <w:szCs w:val="10"/>
              </w:rPr>
              <w:t xml:space="preserve"> </w:t>
            </w:r>
            <w:r>
              <w:rPr>
                <w:rFonts w:ascii="黑体" w:hAnsi="黑体" w:eastAsia="黑体" w:cs="黑体"/>
                <w:spacing w:val="8"/>
                <w:position w:val="9"/>
                <w:sz w:val="10"/>
                <w:szCs w:val="10"/>
              </w:rPr>
              <w:t>学位是一种注重复合型、综合型人才培养的学</w:t>
            </w:r>
          </w:p>
          <w:p>
            <w:pPr>
              <w:spacing w:line="224" w:lineRule="auto"/>
              <w:rPr>
                <w:rFonts w:ascii="黑体" w:hAnsi="黑体" w:eastAsia="黑体" w:cs="黑体"/>
                <w:sz w:val="10"/>
                <w:szCs w:val="10"/>
              </w:rPr>
            </w:pPr>
            <w:r>
              <w:rPr>
                <w:rFonts w:ascii="黑体" w:hAnsi="黑体" w:eastAsia="黑体" w:cs="黑体"/>
                <w:spacing w:val="8"/>
                <w:sz w:val="10"/>
                <w:szCs w:val="10"/>
              </w:rPr>
              <w:t>位，是能力培养重于知识传授的学位。它教授的是面对实</w:t>
            </w:r>
          </w:p>
          <w:p>
            <w:pPr>
              <w:spacing w:before="88" w:line="233" w:lineRule="auto"/>
              <w:rPr>
                <w:rFonts w:ascii="黑体" w:hAnsi="黑体" w:eastAsia="黑体" w:cs="黑体"/>
                <w:sz w:val="10"/>
                <w:szCs w:val="10"/>
              </w:rPr>
            </w:pPr>
            <w:r>
              <w:rPr>
                <w:rFonts w:ascii="黑体" w:hAnsi="黑体" w:eastAsia="黑体" w:cs="黑体"/>
                <w:spacing w:val="4"/>
                <w:sz w:val="10"/>
                <w:szCs w:val="10"/>
              </w:rPr>
              <w:t>战的“管理”,而不是注重研究的“管理学”,旨在让学生掌</w:t>
            </w:r>
          </w:p>
          <w:p>
            <w:pPr>
              <w:spacing w:before="79" w:line="233" w:lineRule="auto"/>
              <w:rPr>
                <w:rFonts w:ascii="黑体" w:hAnsi="黑体" w:eastAsia="黑体" w:cs="黑体"/>
                <w:sz w:val="10"/>
                <w:szCs w:val="10"/>
              </w:rPr>
            </w:pPr>
            <w:r>
              <w:rPr>
                <w:rFonts w:ascii="黑体" w:hAnsi="黑体" w:eastAsia="黑体" w:cs="黑体"/>
                <w:spacing w:val="4"/>
                <w:sz w:val="10"/>
                <w:szCs w:val="10"/>
              </w:rPr>
              <w:t>握战略、财务、金融、营销、经济法规等多</w:t>
            </w:r>
            <w:r>
              <w:rPr>
                <w:rFonts w:ascii="黑体" w:hAnsi="黑体" w:eastAsia="黑体" w:cs="黑体"/>
                <w:spacing w:val="3"/>
                <w:sz w:val="10"/>
                <w:szCs w:val="10"/>
              </w:rPr>
              <w:t>学科知识和管理</w:t>
            </w:r>
          </w:p>
          <w:p>
            <w:pPr>
              <w:spacing w:before="82" w:line="225" w:lineRule="auto"/>
              <w:rPr>
                <w:rFonts w:ascii="黑体" w:hAnsi="黑体" w:eastAsia="黑体" w:cs="黑体"/>
                <w:sz w:val="10"/>
                <w:szCs w:val="10"/>
              </w:rPr>
            </w:pPr>
            <w:r>
              <w:rPr>
                <w:rFonts w:ascii="黑体" w:hAnsi="黑体" w:eastAsia="黑体" w:cs="黑体"/>
                <w:spacing w:val="8"/>
                <w:sz w:val="10"/>
                <w:szCs w:val="10"/>
              </w:rPr>
              <w:t>技能，有战略规划的眼光和敏锐洞察力，并能在风云变幻</w:t>
            </w:r>
          </w:p>
          <w:p>
            <w:pPr>
              <w:spacing w:before="105" w:line="225" w:lineRule="auto"/>
              <w:rPr>
                <w:rFonts w:ascii="黑体" w:hAnsi="黑体" w:eastAsia="黑体" w:cs="黑体"/>
                <w:sz w:val="10"/>
                <w:szCs w:val="10"/>
              </w:rPr>
            </w:pPr>
            <w:r>
              <w:rPr>
                <w:rFonts w:ascii="黑体" w:hAnsi="黑体" w:eastAsia="黑体" w:cs="黑体"/>
                <w:spacing w:val="5"/>
                <w:sz w:val="10"/>
                <w:szCs w:val="10"/>
              </w:rPr>
              <w:t>的世界市场和国际化竞争中不断发展，不断取胜。</w:t>
            </w:r>
          </w:p>
        </w:tc>
        <w:tc>
          <w:tcPr>
            <w:tcW w:w="2572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326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1477" w:hRule="atLeast"/>
        </w:trPr>
        <w:tc>
          <w:tcPr>
            <w:tcW w:w="393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572" w:type="dxa"/>
            <w:vAlign w:val="top"/>
          </w:tcPr>
          <w:p>
            <w:pPr>
              <w:spacing w:before="27" w:line="905" w:lineRule="exact"/>
              <w:ind w:firstLine="1205"/>
            </w:pPr>
            <w:r>
              <w:rPr>
                <w:position w:val="-18"/>
              </w:rPr>
              <w:drawing>
                <wp:inline distT="0" distB="0" distL="0" distR="0">
                  <wp:extent cx="565785" cy="574040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86" cy="57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6" w:type="dxa"/>
            <w:gridSpan w:val="3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</w:tr>
    </w:tbl>
    <w:p>
      <w:pPr>
        <w:pStyle w:val="2"/>
        <w:spacing w:line="67" w:lineRule="exact"/>
        <w:rPr>
          <w:sz w:val="5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49" w:line="225" w:lineRule="auto"/>
        <w:ind w:left="62"/>
        <w:rPr>
          <w:rFonts w:ascii="黑体" w:hAnsi="黑体" w:eastAsia="黑体" w:cs="黑体"/>
          <w:sz w:val="15"/>
          <w:szCs w:val="15"/>
        </w:rPr>
      </w:pPr>
      <w:r>
        <w:pict>
          <v:shape id="_x0000_s1064" o:spid="_x0000_s1064" o:spt="202" type="#_x0000_t202" style="position:absolute;left:0pt;margin-left:282.7pt;margin-top:3.65pt;height:7pt;width:23.6pt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9" w:lineRule="auto"/>
                    <w:ind w:left="20"/>
                    <w:rPr>
                      <w:sz w:val="10"/>
                      <w:szCs w:val="10"/>
                    </w:rPr>
                  </w:pPr>
                  <w:r>
                    <w:rPr>
                      <w:color w:val="AB3D44"/>
                      <w:sz w:val="10"/>
                      <w:szCs w:val="10"/>
                    </w:rPr>
                    <w:t>COURSE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color w:val="910E17"/>
          <w:spacing w:val="14"/>
          <w:sz w:val="15"/>
          <w:szCs w:val="15"/>
        </w:rPr>
        <w:t>课程设置</w:t>
      </w:r>
    </w:p>
    <w:p>
      <w:pPr>
        <w:spacing w:before="128"/>
      </w:pPr>
    </w:p>
    <w:tbl>
      <w:tblPr>
        <w:tblStyle w:val="5"/>
        <w:tblW w:w="6029" w:type="dxa"/>
        <w:tblInd w:w="7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9"/>
        <w:gridCol w:w="334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6029" w:type="dxa"/>
            <w:gridSpan w:val="2"/>
            <w:vAlign w:val="top"/>
          </w:tcPr>
          <w:p>
            <w:pPr>
              <w:spacing w:before="102" w:line="231" w:lineRule="auto"/>
              <w:ind w:left="220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9"/>
                <w:sz w:val="15"/>
                <w:szCs w:val="15"/>
              </w:rPr>
              <w:t>必修课考核方式(作业)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</w:trPr>
        <w:tc>
          <w:tcPr>
            <w:tcW w:w="2689" w:type="dxa"/>
            <w:tcBorders>
              <w:right w:val="nil"/>
            </w:tcBorders>
            <w:vAlign w:val="top"/>
          </w:tcPr>
          <w:p>
            <w:pPr>
              <w:spacing w:before="26" w:line="225" w:lineRule="auto"/>
              <w:ind w:left="23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22"/>
                <w:sz w:val="11"/>
                <w:szCs w:val="11"/>
              </w:rPr>
              <w:t>《企业战略管理》</w:t>
            </w:r>
          </w:p>
        </w:tc>
        <w:tc>
          <w:tcPr>
            <w:tcW w:w="3340" w:type="dxa"/>
            <w:tcBorders>
              <w:left w:val="nil"/>
            </w:tcBorders>
            <w:vAlign w:val="top"/>
          </w:tcPr>
          <w:p>
            <w:pPr>
              <w:spacing w:before="27" w:line="225" w:lineRule="auto"/>
              <w:ind w:left="2795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1"/>
                <w:sz w:val="11"/>
                <w:szCs w:val="11"/>
              </w:rPr>
              <w:t>学分：10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2689" w:type="dxa"/>
            <w:tcBorders>
              <w:right w:val="nil"/>
            </w:tcBorders>
            <w:vAlign w:val="top"/>
          </w:tcPr>
          <w:p>
            <w:pPr>
              <w:spacing w:before="41" w:line="225" w:lineRule="auto"/>
              <w:ind w:left="3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11"/>
                <w:szCs w:val="11"/>
              </w:rPr>
              <w:t>◎营销与战略审计</w:t>
            </w:r>
            <w:r>
              <w:rPr>
                <w:rFonts w:ascii="宋体" w:hAnsi="宋体" w:eastAsia="宋体" w:cs="宋体"/>
                <w:sz w:val="11"/>
                <w:szCs w:val="11"/>
              </w:rPr>
              <w:t xml:space="preserve">          </w:t>
            </w:r>
            <w:r>
              <w:rPr>
                <w:rFonts w:ascii="宋体" w:hAnsi="宋体" w:eastAsia="宋体" w:cs="宋体"/>
                <w:b/>
                <w:bCs/>
                <w:spacing w:val="2"/>
                <w:sz w:val="11"/>
                <w:szCs w:val="11"/>
              </w:rPr>
              <w:t>◎前瞻与战略分析</w:t>
            </w:r>
          </w:p>
        </w:tc>
        <w:tc>
          <w:tcPr>
            <w:tcW w:w="3340" w:type="dxa"/>
            <w:tcBorders>
              <w:left w:val="nil"/>
            </w:tcBorders>
            <w:vAlign w:val="top"/>
          </w:tcPr>
          <w:p>
            <w:pPr>
              <w:spacing w:before="41" w:line="225" w:lineRule="auto"/>
              <w:ind w:left="287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11"/>
                <w:szCs w:val="11"/>
              </w:rPr>
              <w:t>◎企业绩效与预算管理</w:t>
            </w:r>
            <w:r>
              <w:rPr>
                <w:rFonts w:ascii="宋体" w:hAnsi="宋体" w:eastAsia="宋体" w:cs="宋体"/>
                <w:spacing w:val="2"/>
                <w:sz w:val="11"/>
                <w:szCs w:val="11"/>
              </w:rPr>
              <w:t xml:space="preserve">     </w:t>
            </w:r>
            <w:r>
              <w:rPr>
                <w:rFonts w:ascii="宋体" w:hAnsi="宋体" w:eastAsia="宋体" w:cs="宋体"/>
                <w:b/>
                <w:bCs/>
                <w:spacing w:val="2"/>
                <w:sz w:val="11"/>
                <w:szCs w:val="11"/>
              </w:rPr>
              <w:t>◎扩展与整合战略</w:t>
            </w:r>
          </w:p>
        </w:tc>
      </w:tr>
    </w:tbl>
    <w:p>
      <w:pPr>
        <w:spacing w:line="206" w:lineRule="exact"/>
      </w:pPr>
    </w:p>
    <w:tbl>
      <w:tblPr>
        <w:tblStyle w:val="5"/>
        <w:tblW w:w="3494" w:type="dxa"/>
        <w:tblInd w:w="262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9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3494" w:type="dxa"/>
            <w:vAlign w:val="top"/>
          </w:tcPr>
          <w:p>
            <w:pPr>
              <w:spacing w:before="35" w:line="236" w:lineRule="auto"/>
              <w:ind w:left="2953"/>
              <w:rPr>
                <w:rFonts w:ascii="宋体" w:hAnsi="宋体" w:eastAsia="宋体" w:cs="宋体"/>
                <w:sz w:val="11"/>
                <w:szCs w:val="11"/>
              </w:rPr>
            </w:pPr>
            <w:r>
              <w:drawing>
                <wp:anchor distT="0" distB="0" distL="0" distR="0" simplePos="0" relativeHeight="251665408" behindDoc="1" locked="0" layoutInCell="1" allowOverlap="1">
                  <wp:simplePos x="0" y="0"/>
                  <wp:positionH relativeFrom="column">
                    <wp:posOffset>-1614805</wp:posOffset>
                  </wp:positionH>
                  <wp:positionV relativeFrom="paragraph">
                    <wp:posOffset>-38735</wp:posOffset>
                  </wp:positionV>
                  <wp:extent cx="3806190" cy="202565"/>
                  <wp:effectExtent l="0" t="0" r="0" b="0"/>
                  <wp:wrapNone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299" cy="20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b/>
                <w:bCs/>
                <w:color w:val="FFFFFF"/>
                <w:spacing w:val="5"/>
                <w:sz w:val="11"/>
                <w:szCs w:val="11"/>
              </w:rPr>
              <w:t>学分：10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3494" w:type="dxa"/>
            <w:vAlign w:val="top"/>
          </w:tcPr>
          <w:p>
            <w:pPr>
              <w:spacing w:before="46" w:line="236" w:lineRule="auto"/>
              <w:ind w:left="412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b/>
                <w:bCs/>
                <w:spacing w:val="8"/>
                <w:sz w:val="11"/>
                <w:szCs w:val="11"/>
              </w:rPr>
              <w:t>◎数字化商业战略</w:t>
            </w:r>
          </w:p>
        </w:tc>
      </w:tr>
    </w:tbl>
    <w:p>
      <w:pPr>
        <w:spacing w:line="152" w:lineRule="exact"/>
      </w:pPr>
    </w:p>
    <w:tbl>
      <w:tblPr>
        <w:tblStyle w:val="5"/>
        <w:tblW w:w="6069" w:type="dxa"/>
        <w:tblInd w:w="5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22"/>
        <w:gridCol w:w="344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 w:hRule="atLeast"/>
        </w:trPr>
        <w:tc>
          <w:tcPr>
            <w:tcW w:w="2622" w:type="dxa"/>
            <w:tcBorders>
              <w:right w:val="nil"/>
            </w:tcBorders>
            <w:vAlign w:val="top"/>
          </w:tcPr>
          <w:p>
            <w:pPr>
              <w:spacing w:before="41" w:line="236" w:lineRule="auto"/>
              <w:ind w:left="3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7"/>
                <w:sz w:val="11"/>
                <w:szCs w:val="11"/>
              </w:rPr>
              <w:t>《大数据时代下营销战略与管控》</w:t>
            </w:r>
          </w:p>
        </w:tc>
        <w:tc>
          <w:tcPr>
            <w:tcW w:w="3447" w:type="dxa"/>
            <w:tcBorders>
              <w:left w:val="nil"/>
            </w:tcBorders>
            <w:vAlign w:val="top"/>
          </w:tcPr>
          <w:p>
            <w:pPr>
              <w:spacing w:before="23" w:line="208" w:lineRule="auto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11"/>
                <w:sz w:val="15"/>
                <w:szCs w:val="15"/>
              </w:rPr>
              <w:t>学分</w:t>
            </w:r>
            <w:r>
              <w:rPr>
                <w:rFonts w:ascii="宋体" w:hAnsi="宋体" w:eastAsia="宋体" w:cs="宋体"/>
                <w:b/>
                <w:bCs/>
                <w:color w:val="FFFFFF"/>
                <w:spacing w:val="-10"/>
                <w:sz w:val="15"/>
                <w:szCs w:val="15"/>
              </w:rPr>
              <w:t>：1</w:t>
            </w:r>
            <w:r>
              <w:rPr>
                <w:rFonts w:ascii="宋体" w:hAnsi="宋体" w:eastAsia="宋体" w:cs="宋体"/>
                <w:b/>
                <w:bCs/>
                <w:color w:val="FFFFFF"/>
                <w:spacing w:val="-8"/>
                <w:sz w:val="15"/>
                <w:szCs w:val="15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2622" w:type="dxa"/>
            <w:tcBorders>
              <w:right w:val="nil"/>
            </w:tcBorders>
            <w:vAlign w:val="top"/>
          </w:tcPr>
          <w:p>
            <w:pPr>
              <w:spacing w:before="49" w:line="236" w:lineRule="auto"/>
              <w:ind w:left="64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9"/>
                <w:sz w:val="11"/>
                <w:szCs w:val="11"/>
              </w:rPr>
              <w:t>◎商业计划细化          ◎集</w:t>
            </w:r>
            <w:r>
              <w:rPr>
                <w:rFonts w:ascii="宋体" w:hAnsi="宋体" w:eastAsia="宋体" w:cs="宋体"/>
                <w:spacing w:val="8"/>
                <w:sz w:val="11"/>
                <w:szCs w:val="11"/>
              </w:rPr>
              <w:t>客式行销</w:t>
            </w:r>
          </w:p>
        </w:tc>
        <w:tc>
          <w:tcPr>
            <w:tcW w:w="3447" w:type="dxa"/>
            <w:tcBorders>
              <w:left w:val="nil"/>
            </w:tcBorders>
            <w:vAlign w:val="top"/>
          </w:tcPr>
          <w:p>
            <w:pPr>
              <w:spacing w:before="49" w:line="236" w:lineRule="auto"/>
              <w:ind w:left="379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10"/>
                <w:sz w:val="11"/>
                <w:szCs w:val="11"/>
              </w:rPr>
              <w:t>◎复合式销售</w:t>
            </w:r>
            <w:r>
              <w:rPr>
                <w:rFonts w:ascii="宋体" w:hAnsi="宋体" w:eastAsia="宋体" w:cs="宋体"/>
                <w:spacing w:val="3"/>
                <w:sz w:val="11"/>
                <w:szCs w:val="11"/>
              </w:rPr>
              <w:t xml:space="preserve">            </w:t>
            </w:r>
            <w:r>
              <w:rPr>
                <w:rFonts w:ascii="宋体" w:hAnsi="宋体" w:eastAsia="宋体" w:cs="宋体"/>
                <w:spacing w:val="10"/>
                <w:sz w:val="11"/>
                <w:szCs w:val="11"/>
              </w:rPr>
              <w:t>◎顾客满意度和忠诚政策</w:t>
            </w:r>
          </w:p>
        </w:tc>
      </w:tr>
    </w:tbl>
    <w:p>
      <w:pPr>
        <w:spacing w:line="206" w:lineRule="exact"/>
      </w:pPr>
    </w:p>
    <w:tbl>
      <w:tblPr>
        <w:tblStyle w:val="5"/>
        <w:tblW w:w="3507" w:type="dxa"/>
        <w:tblInd w:w="260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0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3507" w:type="dxa"/>
            <w:vAlign w:val="top"/>
          </w:tcPr>
          <w:p>
            <w:pPr>
              <w:spacing w:before="42" w:line="236" w:lineRule="auto"/>
              <w:ind w:left="2967"/>
              <w:rPr>
                <w:rFonts w:ascii="宋体" w:hAnsi="宋体" w:eastAsia="宋体" w:cs="宋体"/>
                <w:sz w:val="11"/>
                <w:szCs w:val="11"/>
              </w:rPr>
            </w:pPr>
            <w:r>
              <w:drawing>
                <wp:anchor distT="0" distB="0" distL="0" distR="0" simplePos="0" relativeHeight="251666432" behindDoc="1" locked="0" layoutInCell="1" allowOverlap="1">
                  <wp:simplePos x="0" y="0"/>
                  <wp:positionH relativeFrom="column">
                    <wp:posOffset>-1627505</wp:posOffset>
                  </wp:positionH>
                  <wp:positionV relativeFrom="paragraph">
                    <wp:posOffset>-46990</wp:posOffset>
                  </wp:positionV>
                  <wp:extent cx="3877945" cy="232410"/>
                  <wp:effectExtent l="0" t="0" r="0" b="0"/>
                  <wp:wrapNone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117" cy="23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b/>
                <w:bCs/>
                <w:color w:val="FFFFFF"/>
                <w:spacing w:val="5"/>
                <w:sz w:val="11"/>
                <w:szCs w:val="11"/>
              </w:rPr>
              <w:t>学分：10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3507" w:type="dxa"/>
            <w:vAlign w:val="top"/>
          </w:tcPr>
          <w:p>
            <w:pPr>
              <w:spacing w:before="40" w:line="236" w:lineRule="auto"/>
              <w:ind w:left="472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b/>
                <w:bCs/>
                <w:spacing w:val="9"/>
                <w:sz w:val="11"/>
                <w:szCs w:val="11"/>
              </w:rPr>
              <w:t>◎管理控制</w:t>
            </w:r>
          </w:p>
        </w:tc>
      </w:tr>
    </w:tbl>
    <w:p>
      <w:pPr>
        <w:spacing w:line="206" w:lineRule="exact"/>
      </w:pPr>
    </w:p>
    <w:tbl>
      <w:tblPr>
        <w:tblStyle w:val="5"/>
        <w:tblW w:w="3487" w:type="dxa"/>
        <w:tblInd w:w="262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8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3487" w:type="dxa"/>
            <w:vAlign w:val="top"/>
          </w:tcPr>
          <w:p>
            <w:pPr>
              <w:spacing w:before="23" w:line="192" w:lineRule="auto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17"/>
                <w:sz w:val="15"/>
                <w:szCs w:val="15"/>
              </w:rPr>
              <w:t>学分：</w:t>
            </w:r>
            <w:r>
              <w:rPr>
                <w:rFonts w:ascii="宋体" w:hAnsi="宋体" w:eastAsia="宋体" w:cs="宋体"/>
                <w:b/>
                <w:bCs/>
                <w:color w:val="FFFFFF"/>
                <w:spacing w:val="-1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b/>
                <w:bCs/>
                <w:color w:val="FFFFFF"/>
                <w:spacing w:val="-8"/>
                <w:sz w:val="15"/>
                <w:szCs w:val="15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3487" w:type="dxa"/>
            <w:vAlign w:val="top"/>
          </w:tcPr>
          <w:p>
            <w:pPr>
              <w:spacing w:before="53" w:line="231" w:lineRule="auto"/>
              <w:ind w:left="452"/>
              <w:rPr>
                <w:rFonts w:ascii="宋体" w:hAnsi="宋体" w:eastAsia="宋体" w:cs="宋体"/>
                <w:sz w:val="10"/>
                <w:szCs w:val="10"/>
              </w:rPr>
            </w:pPr>
            <w:r>
              <w:pict>
                <v:group id="_x0000_s1065" o:spid="_x0000_s1065" o:spt="203" style="position:absolute;left:0pt;margin-left:-128.8pt;margin-top:-6.95pt;height:16.55pt;width:236.85pt;z-index:-251649024;mso-width-relative:page;mso-height-relative:page;" coordsize="4737,330">
                  <o:lock v:ext="edit"/>
                  <v:shape id="_x0000_s1066" o:spid="_x0000_s1066" o:spt="75" type="#_x0000_t75" style="position:absolute;left:0;top:24;height:306;width:4737;" filled="f" stroked="f" coordsize="21600,21600">
                    <v:path/>
                    <v:fill on="f" focussize="0,0"/>
                    <v:stroke on="f"/>
                    <v:imagedata r:id="rId33" o:title=""/>
                    <o:lock v:ext="edit" aspectratio="t"/>
                  </v:shape>
                  <v:shape id="_x0000_s1067" o:spid="_x0000_s1067" o:spt="202" type="#_x0000_t202" style="position:absolute;left:-20;top:-20;height:389;width:4777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9" w:line="234" w:lineRule="auto"/>
                            <w:rPr>
                              <w:rFonts w:ascii="黑体" w:hAnsi="黑体" w:eastAsia="黑体" w:cs="黑体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>《</w:t>
                          </w:r>
                          <w:r>
                            <w:rPr>
                              <w:rFonts w:ascii="黑体" w:hAnsi="黑体" w:eastAsia="黑体" w:cs="黑体"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>商</w:t>
                          </w:r>
                          <w:r>
                            <w:rPr>
                              <w:rFonts w:ascii="黑体" w:hAnsi="黑体" w:eastAsia="黑体" w:cs="黑体"/>
                              <w:color w:val="234169"/>
                              <w:spacing w:val="-4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>业</w:t>
                          </w:r>
                          <w:r>
                            <w:rPr>
                              <w:rFonts w:ascii="黑体" w:hAnsi="黑体" w:eastAsia="黑体" w:cs="黑体"/>
                              <w:color w:val="234169"/>
                              <w:spacing w:val="-11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>模</w:t>
                          </w:r>
                          <w:r>
                            <w:rPr>
                              <w:rFonts w:ascii="黑体" w:hAnsi="黑体" w:eastAsia="黑体" w:cs="黑体"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>式</w:t>
                          </w:r>
                          <w:r>
                            <w:rPr>
                              <w:rFonts w:ascii="黑体" w:hAnsi="黑体" w:eastAsia="黑体" w:cs="黑体"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>重</w:t>
                          </w:r>
                          <w:r>
                            <w:rPr>
                              <w:rFonts w:ascii="黑体" w:hAnsi="黑体" w:eastAsia="黑体" w:cs="黑体"/>
                              <w:color w:val="234169"/>
                              <w:spacing w:val="-9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>塑</w:t>
                          </w:r>
                          <w:r>
                            <w:rPr>
                              <w:rFonts w:ascii="黑体" w:hAnsi="黑体" w:eastAsia="黑体" w:cs="黑体"/>
                              <w:color w:val="234169"/>
                              <w:spacing w:val="-6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>与</w:t>
                          </w:r>
                          <w:r>
                            <w:rPr>
                              <w:rFonts w:ascii="黑体" w:hAnsi="黑体" w:eastAsia="黑体" w:cs="黑体"/>
                              <w:color w:val="234169"/>
                              <w:spacing w:val="-11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>企</w:t>
                          </w:r>
                          <w:r>
                            <w:rPr>
                              <w:rFonts w:ascii="黑体" w:hAnsi="黑体" w:eastAsia="黑体" w:cs="黑体"/>
                              <w:color w:val="234169"/>
                              <w:spacing w:val="-8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>业</w:t>
                          </w:r>
                          <w:r>
                            <w:rPr>
                              <w:rFonts w:ascii="黑体" w:hAnsi="黑体" w:eastAsia="黑体" w:cs="黑体"/>
                              <w:color w:val="234169"/>
                              <w:spacing w:val="-11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>价</w:t>
                          </w:r>
                          <w:r>
                            <w:rPr>
                              <w:rFonts w:ascii="黑体" w:hAnsi="黑体" w:eastAsia="黑体" w:cs="黑体"/>
                              <w:color w:val="234169"/>
                              <w:spacing w:val="-10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>值</w:t>
                          </w:r>
                          <w:r>
                            <w:rPr>
                              <w:rFonts w:ascii="黑体" w:hAnsi="黑体" w:eastAsia="黑体" w:cs="黑体"/>
                              <w:color w:val="234169"/>
                              <w:spacing w:val="-11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>创</w:t>
                          </w:r>
                          <w:r>
                            <w:rPr>
                              <w:rFonts w:ascii="黑体" w:hAnsi="黑体" w:eastAsia="黑体" w:cs="黑体"/>
                              <w:color w:val="234169"/>
                              <w:spacing w:val="-10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234169"/>
                              <w:spacing w:val="-2"/>
                              <w:sz w:val="10"/>
                              <w:szCs w:val="10"/>
                            </w:rPr>
                            <w:t>造</w:t>
                          </w:r>
                          <w:r>
                            <w:rPr>
                              <w:rFonts w:ascii="黑体" w:hAnsi="黑体" w:eastAsia="黑体" w:cs="黑体"/>
                              <w:color w:val="FFFFFF"/>
                              <w:spacing w:val="-2"/>
                              <w:sz w:val="10"/>
                              <w:szCs w:val="10"/>
                            </w:rPr>
                            <w:t>》</w:t>
                          </w:r>
                        </w:p>
                        <w:p>
                          <w:pPr>
                            <w:spacing w:before="74" w:line="140" w:lineRule="exact"/>
                            <w:ind w:left="26"/>
                            <w:rPr>
                              <w:rFonts w:ascii="黑体" w:hAnsi="黑体" w:eastAsia="黑体" w:cs="黑体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黑体" w:hAnsi="黑体" w:eastAsia="黑体" w:cs="黑体"/>
                              <w:spacing w:val="17"/>
                              <w:position w:val="1"/>
                              <w:sz w:val="10"/>
                              <w:szCs w:val="10"/>
                            </w:rPr>
                            <w:t>◎重构商业模式</w:t>
                          </w:r>
                          <w:r>
                            <w:rPr>
                              <w:rFonts w:ascii="黑体" w:hAnsi="黑体" w:eastAsia="黑体" w:cs="黑体"/>
                              <w:position w:val="1"/>
                              <w:sz w:val="10"/>
                              <w:szCs w:val="10"/>
                            </w:rPr>
                            <w:t xml:space="preserve">              </w:t>
                          </w:r>
                          <w:r>
                            <w:rPr>
                              <w:rFonts w:ascii="黑体" w:hAnsi="黑体" w:eastAsia="黑体" w:cs="黑体"/>
                              <w:spacing w:val="17"/>
                              <w:position w:val="1"/>
                              <w:sz w:val="10"/>
                              <w:szCs w:val="10"/>
                            </w:rPr>
                            <w:t>◎价值创造转向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ascii="宋体" w:hAnsi="宋体" w:eastAsia="宋体" w:cs="宋体"/>
                <w:b/>
                <w:bCs/>
                <w:spacing w:val="5"/>
                <w:sz w:val="10"/>
                <w:szCs w:val="10"/>
              </w:rPr>
              <w:t>◎知识产权</w:t>
            </w:r>
          </w:p>
        </w:tc>
      </w:tr>
    </w:tbl>
    <w:p>
      <w:pPr>
        <w:spacing w:line="207" w:lineRule="exact"/>
      </w:pPr>
    </w:p>
    <w:tbl>
      <w:tblPr>
        <w:tblStyle w:val="5"/>
        <w:tblW w:w="2742" w:type="dxa"/>
        <w:tblInd w:w="336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4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2742" w:type="dxa"/>
            <w:vAlign w:val="top"/>
          </w:tcPr>
          <w:p>
            <w:pPr>
              <w:spacing w:before="8" w:line="171" w:lineRule="exact"/>
              <w:jc w:val="right"/>
              <w:rPr>
                <w:rFonts w:ascii="宋体" w:hAnsi="宋体" w:eastAsia="宋体" w:cs="宋体"/>
                <w:sz w:val="13"/>
                <w:szCs w:val="13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z w:val="13"/>
                <w:szCs w:val="13"/>
              </w:rPr>
              <w:t>《战略人力资源管理》</w:t>
            </w:r>
            <w:r>
              <w:rPr>
                <w:rFonts w:ascii="宋体" w:hAnsi="宋体" w:eastAsia="宋体" w:cs="宋体"/>
                <w:color w:val="FFFFFF"/>
                <w:spacing w:val="3"/>
                <w:sz w:val="13"/>
                <w:szCs w:val="13"/>
              </w:rPr>
              <w:t xml:space="preserve">             </w:t>
            </w:r>
            <w:r>
              <w:rPr>
                <w:rFonts w:ascii="宋体" w:hAnsi="宋体" w:eastAsia="宋体" w:cs="宋体"/>
                <w:b/>
                <w:bCs/>
                <w:color w:val="FFFFFF"/>
                <w:sz w:val="13"/>
                <w:szCs w:val="13"/>
              </w:rPr>
              <w:t>学分：10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2742" w:type="dxa"/>
            <w:vAlign w:val="top"/>
          </w:tcPr>
          <w:p>
            <w:pPr>
              <w:spacing w:before="27" w:line="223" w:lineRule="auto"/>
              <w:ind w:left="60"/>
              <w:rPr>
                <w:rFonts w:ascii="宋体" w:hAnsi="宋体" w:eastAsia="宋体" w:cs="宋体"/>
                <w:sz w:val="13"/>
                <w:szCs w:val="13"/>
              </w:rPr>
            </w:pPr>
            <w:r>
              <w:rPr>
                <w:rFonts w:ascii="宋体" w:hAnsi="宋体" w:eastAsia="宋体" w:cs="宋体"/>
                <w:b/>
                <w:bCs/>
                <w:spacing w:val="8"/>
                <w:sz w:val="13"/>
                <w:szCs w:val="13"/>
              </w:rPr>
              <w:t>◎人力资源管理</w:t>
            </w:r>
          </w:p>
        </w:tc>
      </w:tr>
    </w:tbl>
    <w:p>
      <w:pPr>
        <w:spacing w:line="206" w:lineRule="exact"/>
      </w:pPr>
    </w:p>
    <w:tbl>
      <w:tblPr>
        <w:tblStyle w:val="5"/>
        <w:tblW w:w="2749" w:type="dxa"/>
        <w:tblInd w:w="336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2749" w:type="dxa"/>
            <w:vAlign w:val="top"/>
          </w:tcPr>
          <w:p>
            <w:pPr>
              <w:spacing w:before="8" w:line="234" w:lineRule="auto"/>
              <w:jc w:val="right"/>
              <w:rPr>
                <w:rFonts w:ascii="宋体" w:hAnsi="宋体" w:eastAsia="宋体" w:cs="宋体"/>
                <w:sz w:val="13"/>
                <w:szCs w:val="13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z w:val="13"/>
                <w:szCs w:val="13"/>
              </w:rPr>
              <w:t>《合伙人与股权激励》</w:t>
            </w:r>
            <w:r>
              <w:rPr>
                <w:rFonts w:ascii="宋体" w:hAnsi="宋体" w:eastAsia="宋体" w:cs="宋体"/>
                <w:color w:val="FFFFFF"/>
                <w:spacing w:val="4"/>
                <w:sz w:val="13"/>
                <w:szCs w:val="13"/>
              </w:rPr>
              <w:t xml:space="preserve">             </w:t>
            </w:r>
            <w:r>
              <w:rPr>
                <w:rFonts w:ascii="宋体" w:hAnsi="宋体" w:eastAsia="宋体" w:cs="宋体"/>
                <w:b/>
                <w:bCs/>
                <w:color w:val="FFFFFF"/>
                <w:sz w:val="13"/>
                <w:szCs w:val="13"/>
              </w:rPr>
              <w:t>学分：10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2749" w:type="dxa"/>
            <w:vAlign w:val="top"/>
          </w:tcPr>
          <w:p>
            <w:pPr>
              <w:spacing w:before="27" w:line="223" w:lineRule="auto"/>
              <w:ind w:left="60"/>
              <w:rPr>
                <w:rFonts w:ascii="宋体" w:hAnsi="宋体" w:eastAsia="宋体" w:cs="宋体"/>
                <w:sz w:val="13"/>
                <w:szCs w:val="13"/>
              </w:rPr>
            </w:pPr>
            <w:r>
              <w:rPr>
                <w:rFonts w:ascii="宋体" w:hAnsi="宋体" w:eastAsia="宋体" w:cs="宋体"/>
                <w:b/>
                <w:bCs/>
                <w:spacing w:val="8"/>
                <w:sz w:val="13"/>
                <w:szCs w:val="13"/>
              </w:rPr>
              <w:t>◎人力资源管理者：员工参与</w:t>
            </w:r>
          </w:p>
        </w:tc>
      </w:tr>
    </w:tbl>
    <w:p>
      <w:pPr>
        <w:spacing w:before="251" w:line="233" w:lineRule="auto"/>
        <w:ind w:left="5563"/>
        <w:rPr>
          <w:rFonts w:ascii="黑体" w:hAnsi="黑体" w:eastAsia="黑体" w:cs="黑体"/>
          <w:sz w:val="10"/>
          <w:szCs w:val="10"/>
        </w:rPr>
      </w:pPr>
      <w:r>
        <w:pict>
          <v:shape id="_x0000_s1068" o:spid="_x0000_s1068" o:spt="202" type="#_x0000_t202" style="position:absolute;left:0pt;margin-left:-0.55pt;margin-top:11.9pt;height:8.35pt;width:49.1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4" w:lineRule="auto"/>
                    <w:ind w:left="20"/>
                    <w:rPr>
                      <w:rFonts w:ascii="黑体" w:hAnsi="黑体" w:eastAsia="黑体" w:cs="黑体"/>
                      <w:sz w:val="10"/>
                      <w:szCs w:val="10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《</w:t>
                  </w:r>
                  <w:r>
                    <w:rPr>
                      <w:rFonts w:ascii="黑体" w:hAnsi="黑体" w:eastAsia="黑体" w:cs="黑体"/>
                      <w:color w:val="FFFFFF"/>
                      <w:spacing w:val="-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卓</w:t>
                  </w:r>
                  <w:r>
                    <w:rPr>
                      <w:rFonts w:ascii="黑体" w:hAnsi="黑体" w:eastAsia="黑体" w:cs="黑体"/>
                      <w:color w:val="FFFFFF"/>
                      <w:spacing w:val="-1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越</w:t>
                  </w:r>
                  <w:r>
                    <w:rPr>
                      <w:rFonts w:ascii="黑体" w:hAnsi="黑体" w:eastAsia="黑体" w:cs="黑体"/>
                      <w:color w:val="FFFFFF"/>
                      <w:spacing w:val="-1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领</w:t>
                  </w:r>
                  <w:r>
                    <w:rPr>
                      <w:rFonts w:ascii="黑体" w:hAnsi="黑体" w:eastAsia="黑体" w:cs="黑体"/>
                      <w:color w:val="FFFFFF"/>
                      <w:spacing w:val="-1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导</w:t>
                  </w:r>
                  <w:r>
                    <w:rPr>
                      <w:rFonts w:ascii="黑体" w:hAnsi="黑体" w:eastAsia="黑体" w:cs="黑体"/>
                      <w:color w:val="FFFFFF"/>
                      <w:spacing w:val="-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力</w:t>
                  </w:r>
                  <w:r>
                    <w:rPr>
                      <w:rFonts w:ascii="黑体" w:hAnsi="黑体" w:eastAsia="黑体" w:cs="黑体"/>
                      <w:color w:val="FFFFFF"/>
                      <w:spacing w:val="-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"/>
                      <w:sz w:val="10"/>
                      <w:szCs w:val="10"/>
                    </w:rPr>
                    <w:t>》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color w:val="FFFFFF"/>
          <w:spacing w:val="13"/>
          <w:sz w:val="10"/>
          <w:szCs w:val="10"/>
        </w:rPr>
        <w:t>学分：10</w:t>
      </w:r>
    </w:p>
    <w:p>
      <w:pPr>
        <w:spacing w:before="75" w:line="234" w:lineRule="auto"/>
        <w:ind w:left="5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1"/>
          <w:sz w:val="10"/>
          <w:szCs w:val="10"/>
        </w:rPr>
        <w:t>◎</w:t>
      </w:r>
      <w:r>
        <w:rPr>
          <w:rFonts w:ascii="黑体" w:hAnsi="黑体" w:eastAsia="黑体" w:cs="黑体"/>
          <w:spacing w:val="-22"/>
          <w:sz w:val="10"/>
          <w:szCs w:val="10"/>
        </w:rPr>
        <w:t xml:space="preserve"> </w:t>
      </w:r>
      <w:r>
        <w:rPr>
          <w:rFonts w:ascii="黑体" w:hAnsi="黑体" w:eastAsia="黑体" w:cs="黑体"/>
          <w:spacing w:val="1"/>
          <w:sz w:val="10"/>
          <w:szCs w:val="10"/>
        </w:rPr>
        <w:t>领</w:t>
      </w:r>
      <w:r>
        <w:rPr>
          <w:rFonts w:ascii="黑体" w:hAnsi="黑体" w:eastAsia="黑体" w:cs="黑体"/>
          <w:spacing w:val="-20"/>
          <w:sz w:val="10"/>
          <w:szCs w:val="10"/>
        </w:rPr>
        <w:t xml:space="preserve"> </w:t>
      </w:r>
      <w:r>
        <w:rPr>
          <w:rFonts w:ascii="黑体" w:hAnsi="黑体" w:eastAsia="黑体" w:cs="黑体"/>
          <w:spacing w:val="1"/>
          <w:sz w:val="10"/>
          <w:szCs w:val="10"/>
        </w:rPr>
        <w:t>导</w:t>
      </w:r>
      <w:r>
        <w:rPr>
          <w:rFonts w:ascii="黑体" w:hAnsi="黑体" w:eastAsia="黑体" w:cs="黑体"/>
          <w:spacing w:val="-18"/>
          <w:sz w:val="10"/>
          <w:szCs w:val="10"/>
        </w:rPr>
        <w:t xml:space="preserve"> </w:t>
      </w:r>
      <w:r>
        <w:rPr>
          <w:rFonts w:ascii="黑体" w:hAnsi="黑体" w:eastAsia="黑体" w:cs="黑体"/>
          <w:spacing w:val="1"/>
          <w:sz w:val="10"/>
          <w:szCs w:val="10"/>
        </w:rPr>
        <w:t>力</w:t>
      </w:r>
    </w:p>
    <w:p>
      <w:pPr>
        <w:spacing w:line="226" w:lineRule="exact"/>
      </w:pPr>
    </w:p>
    <w:tbl>
      <w:tblPr>
        <w:tblStyle w:val="5"/>
        <w:tblW w:w="3913" w:type="dxa"/>
        <w:tblInd w:w="219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3913" w:type="dxa"/>
            <w:vAlign w:val="top"/>
          </w:tcPr>
          <w:p>
            <w:pPr>
              <w:spacing w:before="37" w:line="236" w:lineRule="auto"/>
              <w:ind w:left="3371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color w:val="FFFFFF"/>
                <w:spacing w:val="6"/>
                <w:sz w:val="11"/>
                <w:szCs w:val="11"/>
              </w:rPr>
              <w:t>学分：10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95" w:hRule="atLeast"/>
        </w:trPr>
        <w:tc>
          <w:tcPr>
            <w:tcW w:w="3913" w:type="dxa"/>
            <w:vAlign w:val="top"/>
          </w:tcPr>
          <w:p>
            <w:pPr>
              <w:spacing w:before="41" w:line="235" w:lineRule="auto"/>
              <w:ind w:left="11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10"/>
                <w:sz w:val="11"/>
                <w:szCs w:val="11"/>
              </w:rPr>
              <w:t>◎沟通促进业务发展</w:t>
            </w:r>
          </w:p>
        </w:tc>
      </w:tr>
    </w:tbl>
    <w:p>
      <w:pPr>
        <w:spacing w:line="189" w:lineRule="exact"/>
      </w:pPr>
    </w:p>
    <w:tbl>
      <w:tblPr>
        <w:tblStyle w:val="5"/>
        <w:tblW w:w="5992" w:type="dxa"/>
        <w:tblInd w:w="1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9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5992" w:type="dxa"/>
            <w:vAlign w:val="top"/>
          </w:tcPr>
          <w:p>
            <w:pPr>
              <w:spacing w:before="145" w:line="233" w:lineRule="auto"/>
              <w:ind w:left="2165"/>
              <w:rPr>
                <w:rFonts w:ascii="宋体" w:hAnsi="宋体" w:eastAsia="宋体" w:cs="宋体"/>
                <w:sz w:val="13"/>
                <w:szCs w:val="13"/>
              </w:rPr>
            </w:pPr>
            <w:r>
              <w:drawing>
                <wp:anchor distT="0" distB="0" distL="0" distR="0" simplePos="0" relativeHeight="25166848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-2540</wp:posOffset>
                  </wp:positionV>
                  <wp:extent cx="3793490" cy="358775"/>
                  <wp:effectExtent l="0" t="0" r="0" b="0"/>
                  <wp:wrapNone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626" cy="35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b/>
                <w:bCs/>
                <w:color w:val="FFFFFF"/>
                <w:spacing w:val="9"/>
                <w:sz w:val="13"/>
                <w:szCs w:val="13"/>
              </w:rPr>
              <w:t>选修课考核方式(作业)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5992" w:type="dxa"/>
            <w:vAlign w:val="top"/>
          </w:tcPr>
          <w:p>
            <w:pPr>
              <w:spacing w:before="7" w:line="231" w:lineRule="auto"/>
              <w:rPr>
                <w:rFonts w:ascii="宋体" w:hAnsi="宋体" w:eastAsia="宋体" w:cs="宋体"/>
                <w:sz w:val="13"/>
                <w:szCs w:val="13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4"/>
                <w:sz w:val="13"/>
                <w:szCs w:val="13"/>
              </w:rPr>
              <w:t>《不确定性条件下企业风险防范与危机管理</w:t>
            </w:r>
            <w:r>
              <w:rPr>
                <w:rFonts w:ascii="宋体" w:hAnsi="宋体" w:eastAsia="宋体" w:cs="宋体"/>
                <w:spacing w:val="4"/>
                <w:sz w:val="13"/>
                <w:szCs w:val="13"/>
              </w:rPr>
              <w:t xml:space="preserve">》                          </w:t>
            </w:r>
            <w:r>
              <w:rPr>
                <w:rFonts w:ascii="宋体" w:hAnsi="宋体" w:eastAsia="宋体" w:cs="宋体"/>
                <w:spacing w:val="3"/>
                <w:sz w:val="13"/>
                <w:szCs w:val="13"/>
              </w:rPr>
              <w:t xml:space="preserve">              </w:t>
            </w:r>
            <w:r>
              <w:rPr>
                <w:rFonts w:ascii="宋体" w:hAnsi="宋体" w:eastAsia="宋体" w:cs="宋体"/>
                <w:b/>
                <w:bCs/>
                <w:color w:val="FFFFFF"/>
                <w:spacing w:val="3"/>
                <w:sz w:val="13"/>
                <w:szCs w:val="13"/>
              </w:rPr>
              <w:t>学分：6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5992" w:type="dxa"/>
            <w:vAlign w:val="top"/>
          </w:tcPr>
          <w:p>
            <w:pPr>
              <w:spacing w:before="50" w:line="212" w:lineRule="auto"/>
              <w:ind w:left="28"/>
              <w:rPr>
                <w:rFonts w:ascii="宋体" w:hAnsi="宋体" w:eastAsia="宋体" w:cs="宋体"/>
                <w:sz w:val="13"/>
                <w:szCs w:val="13"/>
              </w:rPr>
            </w:pPr>
            <w:r>
              <w:rPr>
                <w:rFonts w:ascii="宋体" w:hAnsi="宋体" w:eastAsia="宋体" w:cs="宋体"/>
                <w:spacing w:val="8"/>
                <w:sz w:val="13"/>
                <w:szCs w:val="13"/>
              </w:rPr>
              <w:t>◎公关关系管理       ◎社交媒体战略</w:t>
            </w:r>
          </w:p>
        </w:tc>
      </w:tr>
    </w:tbl>
    <w:p>
      <w:pPr>
        <w:pStyle w:val="2"/>
        <w:spacing w:before="150" w:line="311" w:lineRule="exact"/>
      </w:pPr>
      <w:r>
        <w:rPr>
          <w:position w:val="-6"/>
        </w:rPr>
        <w:pict>
          <v:group id="_x0000_s1069" o:spid="_x0000_s1069" o:spt="203" style="height:15.65pt;width:310.4pt;" coordsize="6207,312">
            <o:lock v:ext="edit"/>
            <v:shape id="_x0000_s1070" o:spid="_x0000_s1070" o:spt="75" type="#_x0000_t75" style="position:absolute;left:0;top:0;height:312;width:6207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71" o:spid="_x0000_s1071" o:spt="202" type="#_x0000_t202" style="position:absolute;left:1586;top:36;height:240;width:45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4505" w:type="dxa"/>
                      <w:tblInd w:w="22" w:type="dxa"/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4505"/>
                    </w:tblGrid>
                    <w:tr>
                      <w:tblPrEx>
                        <w:tblBorders>
                          <w:top w:val="single" w:color="000000" w:sz="2" w:space="0"/>
                          <w:left w:val="single" w:color="000000" w:sz="2" w:space="0"/>
                          <w:bottom w:val="single" w:color="000000" w:sz="2" w:space="0"/>
                          <w:right w:val="single" w:color="000000" w:sz="2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89" w:hRule="atLeast"/>
                      </w:trPr>
                      <w:tc>
                        <w:tcPr>
                          <w:tcW w:w="4505" w:type="dxa"/>
                          <w:vAlign w:val="top"/>
                        </w:tcPr>
                        <w:p>
                          <w:pPr>
                            <w:spacing w:before="31" w:line="210" w:lineRule="auto"/>
                            <w:ind w:left="3963"/>
                            <w:rPr>
                              <w:rFonts w:ascii="宋体" w:hAnsi="宋体" w:eastAsia="宋体" w:cs="宋体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FFFFFF"/>
                              <w:spacing w:val="4"/>
                              <w:sz w:val="13"/>
                              <w:szCs w:val="13"/>
                            </w:rPr>
                            <w:t>学分：6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072" o:spid="_x0000_s1072" o:spt="202" type="#_x0000_t202" style="position:absolute;left:-11;top:95;height:148;width:8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33" w:lineRule="auto"/>
                      <w:ind w:left="20"/>
                      <w:rPr>
                        <w:rFonts w:ascii="黑体" w:hAnsi="黑体" w:eastAsia="黑体" w:cs="黑体"/>
                        <w:sz w:val="10"/>
                        <w:szCs w:val="10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《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3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国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3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际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商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9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务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8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3"/>
                        <w:sz w:val="10"/>
                        <w:szCs w:val="10"/>
                      </w:rPr>
                      <w:t>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30" w:lineRule="auto"/>
        <w:ind w:left="5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24"/>
          <w:sz w:val="10"/>
          <w:szCs w:val="10"/>
        </w:rPr>
        <w:t>◎国际业务发展战略</w:t>
      </w:r>
    </w:p>
    <w:p>
      <w:pPr>
        <w:spacing w:line="180" w:lineRule="exact"/>
      </w:pPr>
    </w:p>
    <w:tbl>
      <w:tblPr>
        <w:tblStyle w:val="5"/>
        <w:tblW w:w="6075" w:type="dxa"/>
        <w:tblInd w:w="5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6"/>
        <w:gridCol w:w="1654"/>
        <w:gridCol w:w="32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216" w:type="dxa"/>
            <w:tcBorders>
              <w:right w:val="nil"/>
            </w:tcBorders>
            <w:vAlign w:val="top"/>
          </w:tcPr>
          <w:p>
            <w:pPr>
              <w:spacing w:before="48" w:line="228" w:lineRule="auto"/>
              <w:ind w:left="3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3"/>
                <w:sz w:val="12"/>
                <w:szCs w:val="12"/>
              </w:rPr>
              <w:t>《供应链管理》</w:t>
            </w:r>
          </w:p>
        </w:tc>
        <w:tc>
          <w:tcPr>
            <w:tcW w:w="4859" w:type="dxa"/>
            <w:gridSpan w:val="2"/>
            <w:tcBorders>
              <w:left w:val="nil"/>
            </w:tcBorders>
            <w:vAlign w:val="top"/>
          </w:tcPr>
          <w:p>
            <w:pPr>
              <w:spacing w:before="50" w:line="230" w:lineRule="auto"/>
              <w:ind w:left="429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FFFFFF"/>
                <w:spacing w:val="3"/>
                <w:sz w:val="12"/>
                <w:szCs w:val="12"/>
              </w:rPr>
              <w:t>学分：6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1216" w:type="dxa"/>
            <w:tcBorders>
              <w:right w:val="nil"/>
            </w:tcBorders>
            <w:vAlign w:val="top"/>
          </w:tcPr>
          <w:p>
            <w:pPr>
              <w:spacing w:before="41" w:line="180" w:lineRule="exact"/>
              <w:ind w:left="6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pacing w:val="5"/>
                <w:position w:val="4"/>
                <w:sz w:val="12"/>
                <w:szCs w:val="12"/>
              </w:rPr>
              <w:t>O国际运输战略</w:t>
            </w:r>
          </w:p>
          <w:p>
            <w:pPr>
              <w:spacing w:line="207" w:lineRule="auto"/>
              <w:ind w:left="6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pacing w:val="5"/>
                <w:sz w:val="12"/>
                <w:szCs w:val="12"/>
              </w:rPr>
              <w:t>O国际谈判技巧</w:t>
            </w:r>
          </w:p>
        </w:tc>
        <w:tc>
          <w:tcPr>
            <w:tcW w:w="1654" w:type="dxa"/>
            <w:tcBorders>
              <w:left w:val="nil"/>
              <w:right w:val="nil"/>
            </w:tcBorders>
            <w:vAlign w:val="top"/>
          </w:tcPr>
          <w:p>
            <w:pPr>
              <w:spacing w:before="61" w:line="229" w:lineRule="auto"/>
              <w:ind w:left="33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pacing w:val="7"/>
                <w:sz w:val="12"/>
                <w:szCs w:val="12"/>
              </w:rPr>
              <w:t>●国际渠道管理</w:t>
            </w:r>
          </w:p>
          <w:p>
            <w:pPr>
              <w:spacing w:before="17" w:line="198" w:lineRule="auto"/>
              <w:ind w:left="34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pacing w:val="6"/>
                <w:sz w:val="12"/>
                <w:szCs w:val="12"/>
              </w:rPr>
              <w:t>◎国际销售团队管理</w:t>
            </w:r>
          </w:p>
        </w:tc>
        <w:tc>
          <w:tcPr>
            <w:tcW w:w="3205" w:type="dxa"/>
            <w:tcBorders>
              <w:left w:val="nil"/>
            </w:tcBorders>
            <w:vAlign w:val="top"/>
          </w:tcPr>
          <w:p>
            <w:pPr>
              <w:spacing w:before="55" w:line="231" w:lineRule="auto"/>
              <w:ind w:left="17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pacing w:val="7"/>
                <w:sz w:val="12"/>
                <w:szCs w:val="12"/>
              </w:rPr>
              <w:t>◎国际销售计划</w:t>
            </w:r>
            <w:r>
              <w:rPr>
                <w:rFonts w:ascii="宋体" w:hAnsi="宋体" w:eastAsia="宋体" w:cs="宋体"/>
                <w:spacing w:val="4"/>
                <w:sz w:val="12"/>
                <w:szCs w:val="12"/>
              </w:rPr>
              <w:t xml:space="preserve">        </w:t>
            </w:r>
            <w:r>
              <w:rPr>
                <w:rFonts w:ascii="宋体" w:hAnsi="宋体" w:eastAsia="宋体" w:cs="宋体"/>
                <w:spacing w:val="7"/>
                <w:sz w:val="12"/>
                <w:szCs w:val="12"/>
              </w:rPr>
              <w:t>◎国际贸易融资</w:t>
            </w:r>
          </w:p>
        </w:tc>
      </w:tr>
    </w:tbl>
    <w:p>
      <w:pPr>
        <w:pStyle w:val="2"/>
        <w:spacing w:line="250" w:lineRule="auto"/>
      </w:pPr>
    </w:p>
    <w:p>
      <w:pPr>
        <w:spacing w:before="33" w:line="234" w:lineRule="auto"/>
        <w:ind w:left="2809"/>
        <w:rPr>
          <w:rFonts w:ascii="黑体" w:hAnsi="黑体" w:eastAsia="黑体" w:cs="黑体"/>
          <w:sz w:val="10"/>
          <w:szCs w:val="10"/>
        </w:rPr>
      </w:pPr>
      <w:r>
        <w:pict>
          <v:shape id="_x0000_s1073" o:spid="_x0000_s1073" o:spt="202" type="#_x0000_t202" style="position:absolute;left:0pt;margin-left:277.05pt;margin-top:0.35pt;height:8.35pt;width:25.9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3" w:lineRule="auto"/>
                    <w:ind w:left="20"/>
                    <w:rPr>
                      <w:rFonts w:ascii="黑体" w:hAnsi="黑体" w:eastAsia="黑体" w:cs="黑体"/>
                      <w:sz w:val="10"/>
                      <w:szCs w:val="10"/>
                    </w:rPr>
                  </w:pPr>
                  <w:r>
                    <w:rPr>
                      <w:rFonts w:ascii="黑体" w:hAnsi="黑体" w:eastAsia="黑体" w:cs="黑体"/>
                      <w:color w:val="FFFFFF"/>
                      <w:spacing w:val="15"/>
                      <w:sz w:val="10"/>
                      <w:szCs w:val="10"/>
                    </w:rPr>
                    <w:t>学分：20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-55880</wp:posOffset>
            </wp:positionV>
            <wp:extent cx="3831590" cy="16510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31646" cy="16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FFFFFF"/>
          <w:spacing w:val="-1"/>
          <w:sz w:val="10"/>
          <w:szCs w:val="10"/>
        </w:rPr>
        <w:t>毕</w:t>
      </w:r>
      <w:r>
        <w:rPr>
          <w:rFonts w:ascii="黑体" w:hAnsi="黑体" w:eastAsia="黑体" w:cs="黑体"/>
          <w:color w:val="FFFFFF"/>
          <w:spacing w:val="-1"/>
          <w:sz w:val="10"/>
          <w:szCs w:val="10"/>
        </w:rPr>
        <w:t xml:space="preserve"> </w:t>
      </w:r>
      <w:r>
        <w:rPr>
          <w:rFonts w:ascii="黑体" w:hAnsi="黑体" w:eastAsia="黑体" w:cs="黑体"/>
          <w:b/>
          <w:bCs/>
          <w:color w:val="FFFFFF"/>
          <w:spacing w:val="-1"/>
          <w:sz w:val="10"/>
          <w:szCs w:val="10"/>
        </w:rPr>
        <w:t>业</w:t>
      </w:r>
      <w:r>
        <w:rPr>
          <w:rFonts w:ascii="黑体" w:hAnsi="黑体" w:eastAsia="黑体" w:cs="黑体"/>
          <w:color w:val="FFFFFF"/>
          <w:spacing w:val="-1"/>
          <w:sz w:val="10"/>
          <w:szCs w:val="10"/>
        </w:rPr>
        <w:t xml:space="preserve"> </w:t>
      </w:r>
      <w:r>
        <w:rPr>
          <w:rFonts w:ascii="黑体" w:hAnsi="黑体" w:eastAsia="黑体" w:cs="黑体"/>
          <w:b/>
          <w:bCs/>
          <w:color w:val="FFFFFF"/>
          <w:spacing w:val="-1"/>
          <w:sz w:val="10"/>
          <w:szCs w:val="10"/>
        </w:rPr>
        <w:t>论</w:t>
      </w:r>
      <w:r>
        <w:rPr>
          <w:rFonts w:ascii="黑体" w:hAnsi="黑体" w:eastAsia="黑体" w:cs="黑体"/>
          <w:color w:val="FFFFFF"/>
          <w:spacing w:val="-2"/>
          <w:sz w:val="10"/>
          <w:szCs w:val="10"/>
        </w:rPr>
        <w:t xml:space="preserve"> </w:t>
      </w:r>
      <w:r>
        <w:rPr>
          <w:rFonts w:ascii="黑体" w:hAnsi="黑体" w:eastAsia="黑体" w:cs="黑体"/>
          <w:b/>
          <w:bCs/>
          <w:color w:val="FFFFFF"/>
          <w:spacing w:val="-1"/>
          <w:sz w:val="10"/>
          <w:szCs w:val="10"/>
        </w:rPr>
        <w:t>文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49" w:line="225" w:lineRule="auto"/>
        <w:ind w:left="62"/>
        <w:rPr>
          <w:rFonts w:ascii="黑体" w:hAnsi="黑体" w:eastAsia="黑体" w:cs="黑体"/>
          <w:sz w:val="15"/>
          <w:szCs w:val="15"/>
        </w:rPr>
      </w:pPr>
      <w:r>
        <w:pict>
          <v:shape id="_x0000_s1074" o:spid="_x0000_s1074" o:spt="202" type="#_x0000_t202" style="position:absolute;left:0pt;margin-left:254.45pt;margin-top:3.65pt;height:7pt;width:53.35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9" w:lineRule="auto"/>
                    <w:ind w:left="20"/>
                    <w:rPr>
                      <w:sz w:val="10"/>
                      <w:szCs w:val="10"/>
                    </w:rPr>
                  </w:pPr>
                  <w:r>
                    <w:rPr>
                      <w:color w:val="B9575E"/>
                      <w:spacing w:val="2"/>
                      <w:sz w:val="10"/>
                      <w:szCs w:val="10"/>
                    </w:rPr>
                    <w:t>ADMISSION OBJECT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color w:val="910E17"/>
          <w:spacing w:val="11"/>
          <w:sz w:val="15"/>
          <w:szCs w:val="15"/>
        </w:rPr>
        <w:t>录取对象</w:t>
      </w:r>
    </w:p>
    <w:p>
      <w:pPr>
        <w:spacing w:before="237" w:line="233" w:lineRule="auto"/>
        <w:ind w:left="5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3"/>
          <w:sz w:val="10"/>
          <w:szCs w:val="10"/>
        </w:rPr>
        <w:t>法国商业研究与商业行为学院实行“推荐”入学制：</w:t>
      </w:r>
    </w:p>
    <w:p>
      <w:pPr>
        <w:spacing w:before="22" w:line="140" w:lineRule="exact"/>
        <w:ind w:left="5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4"/>
          <w:position w:val="2"/>
          <w:sz w:val="10"/>
          <w:szCs w:val="10"/>
        </w:rPr>
        <w:t>1、本科或相当于同等学力，并具有五年以上管理经验之报读者；</w:t>
      </w:r>
    </w:p>
    <w:p>
      <w:pPr>
        <w:spacing w:line="224" w:lineRule="auto"/>
        <w:ind w:left="5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5"/>
          <w:sz w:val="10"/>
          <w:szCs w:val="10"/>
        </w:rPr>
        <w:t>2、大专或相当于同等学力，并具有八年以上管理经验之报读者。</w:t>
      </w:r>
    </w:p>
    <w:p>
      <w:pPr>
        <w:pStyle w:val="2"/>
        <w:spacing w:line="243" w:lineRule="auto"/>
      </w:pPr>
    </w:p>
    <w:p>
      <w:pPr>
        <w:spacing w:before="49" w:line="225" w:lineRule="auto"/>
        <w:ind w:left="62"/>
        <w:rPr>
          <w:rFonts w:ascii="黑体" w:hAnsi="黑体" w:eastAsia="黑体" w:cs="黑体"/>
          <w:sz w:val="15"/>
          <w:szCs w:val="15"/>
        </w:rPr>
      </w:pPr>
      <w:r>
        <w:pict>
          <v:shape id="_x0000_s1075" o:spid="_x0000_s1075" o:spt="202" type="#_x0000_t202" style="position:absolute;left:0pt;margin-left:262.45pt;margin-top:3.9pt;height:6.75pt;width:45.75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8" w:lineRule="auto"/>
                    <w:ind w:left="20"/>
                    <w:rPr>
                      <w:rFonts w:ascii="Times New Roman" w:hAnsi="Times New Roman" w:eastAsia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A22E36"/>
                      <w:spacing w:val="3"/>
                      <w:sz w:val="10"/>
                      <w:szCs w:val="10"/>
                    </w:rPr>
                    <w:t>TUITION</w:t>
                  </w:r>
                  <w:r>
                    <w:rPr>
                      <w:rFonts w:ascii="Times New Roman" w:hAnsi="Times New Roman" w:eastAsia="Times New Roman" w:cs="Times New Roman"/>
                      <w:color w:val="A22E36"/>
                      <w:spacing w:val="9"/>
                      <w:w w:val="10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A22E36"/>
                      <w:spacing w:val="3"/>
                      <w:sz w:val="10"/>
                      <w:szCs w:val="10"/>
                    </w:rPr>
                    <w:t>SYSTEM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-92710</wp:posOffset>
            </wp:positionV>
            <wp:extent cx="3911600" cy="27051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11913" cy="2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910E17"/>
          <w:spacing w:val="13"/>
          <w:sz w:val="15"/>
          <w:szCs w:val="15"/>
        </w:rPr>
        <w:t>学费学制</w:t>
      </w:r>
    </w:p>
    <w:p>
      <w:pPr>
        <w:spacing w:before="232" w:line="225" w:lineRule="auto"/>
        <w:ind w:left="5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6"/>
          <w:sz w:val="10"/>
          <w:szCs w:val="10"/>
        </w:rPr>
        <w:t>学费：报名费人民币2600元，学费人民币98</w:t>
      </w:r>
      <w:r>
        <w:rPr>
          <w:rFonts w:ascii="黑体" w:hAnsi="黑体" w:eastAsia="黑体" w:cs="黑体"/>
          <w:spacing w:val="5"/>
          <w:sz w:val="10"/>
          <w:szCs w:val="10"/>
        </w:rPr>
        <w:t>000元，可申请助学金人民币10000-20000元。</w:t>
      </w:r>
    </w:p>
    <w:p>
      <w:pPr>
        <w:spacing w:before="58" w:line="284" w:lineRule="auto"/>
        <w:ind w:left="59" w:right="961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2"/>
          <w:sz w:val="10"/>
          <w:szCs w:val="10"/>
        </w:rPr>
        <w:t xml:space="preserve">学制：1.5年，论文半年，实行学分制，其中必修课每门10学分，选修课每门6学分，实践活动1次，6学分。项目共有11门必修课程，3门 </w:t>
      </w:r>
      <w:r>
        <w:rPr>
          <w:rFonts w:ascii="黑体" w:hAnsi="黑体" w:eastAsia="黑体" w:cs="黑体"/>
          <w:spacing w:val="4"/>
          <w:sz w:val="10"/>
          <w:szCs w:val="10"/>
        </w:rPr>
        <w:t>选修课程，每月集中授课2天。</w:t>
      </w:r>
    </w:p>
    <w:p>
      <w:pPr>
        <w:pStyle w:val="2"/>
        <w:spacing w:line="290" w:lineRule="auto"/>
      </w:pPr>
    </w:p>
    <w:p>
      <w:pPr>
        <w:spacing w:before="49" w:line="225" w:lineRule="auto"/>
        <w:ind w:left="62"/>
        <w:rPr>
          <w:rFonts w:ascii="黑体" w:hAnsi="黑体" w:eastAsia="黑体" w:cs="黑体"/>
          <w:sz w:val="15"/>
          <w:szCs w:val="15"/>
        </w:rPr>
      </w:pPr>
      <w:r>
        <w:pict>
          <v:shape id="_x0000_s1076" o:spid="_x0000_s1076" o:spt="202" type="#_x0000_t202" style="position:absolute;left:0pt;margin-left:244.8pt;margin-top:2.6pt;height:7pt;width:62.25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9" w:lineRule="auto"/>
                    <w:ind w:left="20"/>
                    <w:rPr>
                      <w:sz w:val="10"/>
                      <w:szCs w:val="10"/>
                    </w:rPr>
                  </w:pPr>
                  <w:r>
                    <w:rPr>
                      <w:color w:val="A7383F"/>
                      <w:spacing w:val="2"/>
                      <w:sz w:val="10"/>
                      <w:szCs w:val="10"/>
                    </w:rPr>
                    <w:t>ON-THE-JOB</w:t>
                  </w:r>
                  <w:r>
                    <w:rPr>
                      <w:color w:val="A7383F"/>
                      <w:spacing w:val="16"/>
                      <w:w w:val="103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A7383F"/>
                      <w:spacing w:val="2"/>
                      <w:sz w:val="10"/>
                      <w:szCs w:val="10"/>
                    </w:rPr>
                    <w:t>LEARNING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color w:val="910E17"/>
          <w:spacing w:val="15"/>
          <w:sz w:val="15"/>
          <w:szCs w:val="15"/>
        </w:rPr>
        <w:t>在职学习</w:t>
      </w:r>
    </w:p>
    <w:p>
      <w:pPr>
        <w:spacing w:before="246" w:line="306" w:lineRule="auto"/>
        <w:ind w:left="59" w:right="943"/>
        <w:jc w:val="both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4"/>
          <w:sz w:val="10"/>
          <w:szCs w:val="10"/>
        </w:rPr>
        <w:t>以课程学习、实践活动、课后自学、论文撰写为主，采取在职学习的方式</w:t>
      </w:r>
      <w:r>
        <w:rPr>
          <w:rFonts w:ascii="黑体" w:hAnsi="黑体" w:eastAsia="黑体" w:cs="黑体"/>
          <w:spacing w:val="3"/>
          <w:sz w:val="10"/>
          <w:szCs w:val="10"/>
        </w:rPr>
        <w:t>完成课程，不耽误工作。根据</w:t>
      </w:r>
      <w:r>
        <w:rPr>
          <w:rFonts w:ascii="宋体" w:hAnsi="宋体" w:eastAsia="宋体" w:cs="宋体"/>
          <w:sz w:val="10"/>
          <w:szCs w:val="10"/>
        </w:rPr>
        <w:t>EMBA</w:t>
      </w:r>
      <w:r>
        <w:rPr>
          <w:rFonts w:ascii="宋体" w:hAnsi="宋体" w:eastAsia="宋体" w:cs="宋体"/>
          <w:spacing w:val="39"/>
          <w:w w:val="101"/>
          <w:sz w:val="10"/>
          <w:szCs w:val="10"/>
        </w:rPr>
        <w:t xml:space="preserve"> </w:t>
      </w:r>
      <w:r>
        <w:rPr>
          <w:rFonts w:ascii="黑体" w:hAnsi="黑体" w:eastAsia="黑体" w:cs="黑体"/>
          <w:spacing w:val="3"/>
          <w:sz w:val="10"/>
          <w:szCs w:val="10"/>
        </w:rPr>
        <w:t>的特点，结合培养目标和</w:t>
      </w:r>
      <w:r>
        <w:rPr>
          <w:rFonts w:ascii="黑体" w:hAnsi="黑体" w:eastAsia="黑体" w:cs="黑体"/>
          <w:sz w:val="10"/>
          <w:szCs w:val="10"/>
        </w:rPr>
        <w:t xml:space="preserve"> </w:t>
      </w:r>
      <w:r>
        <w:rPr>
          <w:rFonts w:ascii="黑体" w:hAnsi="黑体" w:eastAsia="黑体" w:cs="黑体"/>
          <w:spacing w:val="5"/>
          <w:sz w:val="10"/>
          <w:szCs w:val="10"/>
        </w:rPr>
        <w:t>选题意向，有针对性的开展社会实践活动，如企业参访、校际交流、管理前沿讲座等，用活动的方式帮助学员巩固学习成果，提升学</w:t>
      </w:r>
      <w:r>
        <w:rPr>
          <w:rFonts w:ascii="黑体" w:hAnsi="黑体" w:eastAsia="黑体" w:cs="黑体"/>
          <w:spacing w:val="10"/>
          <w:sz w:val="10"/>
          <w:szCs w:val="10"/>
        </w:rPr>
        <w:t xml:space="preserve"> </w:t>
      </w:r>
      <w:r>
        <w:rPr>
          <w:rFonts w:ascii="黑体" w:hAnsi="黑体" w:eastAsia="黑体" w:cs="黑体"/>
          <w:spacing w:val="5"/>
          <w:sz w:val="10"/>
          <w:szCs w:val="10"/>
        </w:rPr>
        <w:t>习效果。</w:t>
      </w:r>
    </w:p>
    <w:p>
      <w:pPr>
        <w:pStyle w:val="2"/>
        <w:spacing w:line="269" w:lineRule="auto"/>
      </w:pPr>
    </w:p>
    <w:p>
      <w:pPr>
        <w:spacing w:before="49" w:line="226" w:lineRule="auto"/>
        <w:ind w:left="62"/>
        <w:rPr>
          <w:rFonts w:ascii="黑体" w:hAnsi="黑体" w:eastAsia="黑体" w:cs="黑体"/>
          <w:sz w:val="15"/>
          <w:szCs w:val="15"/>
        </w:rPr>
      </w:pPr>
      <w:r>
        <w:pict>
          <v:shape id="_x0000_s1077" o:spid="_x0000_s1077" o:spt="202" type="#_x0000_t202" style="position:absolute;left:0pt;margin-left:254.8pt;margin-top:3.6pt;height:7pt;width:52.25pt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8" w:lineRule="auto"/>
                    <w:ind w:left="20"/>
                    <w:rPr>
                      <w:sz w:val="10"/>
                      <w:szCs w:val="10"/>
                    </w:rPr>
                  </w:pPr>
                  <w:r>
                    <w:rPr>
                      <w:color w:val="B75057"/>
                      <w:sz w:val="10"/>
                      <w:szCs w:val="10"/>
                    </w:rPr>
                    <w:t>DEGREE</w:t>
                  </w:r>
                  <w:r>
                    <w:rPr>
                      <w:color w:val="B75057"/>
                      <w:spacing w:val="4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B75057"/>
                      <w:sz w:val="10"/>
                      <w:szCs w:val="10"/>
                    </w:rPr>
                    <w:t>AWARDING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color w:val="910E17"/>
          <w:spacing w:val="12"/>
          <w:sz w:val="15"/>
          <w:szCs w:val="15"/>
        </w:rPr>
        <w:t>证书授予</w:t>
      </w:r>
    </w:p>
    <w:p>
      <w:pPr>
        <w:spacing w:before="224" w:line="293" w:lineRule="auto"/>
        <w:ind w:left="59" w:right="947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9"/>
          <w:sz w:val="10"/>
          <w:szCs w:val="10"/>
        </w:rPr>
        <w:t>对完成并符合高级管理人员工商管理硕士课程主修要求</w:t>
      </w:r>
      <w:r>
        <w:rPr>
          <w:rFonts w:ascii="黑体" w:hAnsi="黑体" w:eastAsia="黑体" w:cs="黑体"/>
          <w:spacing w:val="8"/>
          <w:sz w:val="10"/>
          <w:szCs w:val="10"/>
        </w:rPr>
        <w:t>的学生(达到最低120学分以上，并通过毕业论文答辩),授予法国商业研究</w:t>
      </w:r>
      <w:r>
        <w:rPr>
          <w:rFonts w:ascii="黑体" w:hAnsi="黑体" w:eastAsia="黑体" w:cs="黑体"/>
          <w:sz w:val="10"/>
          <w:szCs w:val="10"/>
        </w:rPr>
        <w:t xml:space="preserve"> </w:t>
      </w:r>
      <w:r>
        <w:rPr>
          <w:rFonts w:ascii="黑体" w:hAnsi="黑体" w:eastAsia="黑体" w:cs="黑体"/>
          <w:spacing w:val="8"/>
          <w:sz w:val="10"/>
          <w:szCs w:val="10"/>
        </w:rPr>
        <w:t>与商业行为学院高级管理人员工商管理硕士学位。</w:t>
      </w:r>
    </w:p>
    <w:p>
      <w:pPr>
        <w:pStyle w:val="2"/>
        <w:spacing w:line="367" w:lineRule="auto"/>
      </w:pPr>
    </w:p>
    <w:p>
      <w:pPr>
        <w:spacing w:line="379" w:lineRule="exact"/>
        <w:ind w:firstLine="199"/>
      </w:pPr>
      <w:r>
        <w:rPr>
          <w:position w:val="-7"/>
        </w:rPr>
        <w:pict>
          <v:shape id="_x0000_s1078" o:spid="_x0000_s1078" o:spt="202" type="#_x0000_t202" style="height:19pt;width:289.75pt;" fillcolor="#8E2C31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229" w:lineRule="auto"/>
                    <w:ind w:left="82"/>
                    <w:rPr>
                      <w:rFonts w:ascii="黑体" w:hAnsi="黑体" w:eastAsia="黑体" w:cs="黑体"/>
                      <w:sz w:val="17"/>
                      <w:szCs w:val="17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21"/>
                      <w:sz w:val="17"/>
                      <w:szCs w:val="17"/>
                    </w:rPr>
                    <w:t>令报名流程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38" w:line="225" w:lineRule="auto"/>
        <w:ind w:left="27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14"/>
          <w:sz w:val="10"/>
          <w:szCs w:val="10"/>
        </w:rPr>
        <w:t>◎提交报名表，缴纳报名费</w:t>
      </w:r>
    </w:p>
    <w:p>
      <w:pPr>
        <w:spacing w:before="182" w:line="233" w:lineRule="auto"/>
        <w:ind w:left="27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24"/>
          <w:sz w:val="10"/>
          <w:szCs w:val="10"/>
        </w:rPr>
        <w:t>◎院校审核录取</w:t>
      </w:r>
    </w:p>
    <w:p>
      <w:pPr>
        <w:spacing w:before="16" w:line="225" w:lineRule="auto"/>
        <w:ind w:left="47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5"/>
          <w:sz w:val="10"/>
          <w:szCs w:val="10"/>
        </w:rPr>
        <w:t>审核通过者，3个工作日内电话通知录取结果</w:t>
      </w:r>
    </w:p>
    <w:p>
      <w:pPr>
        <w:spacing w:before="215" w:line="234" w:lineRule="auto"/>
        <w:ind w:left="27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8"/>
          <w:w w:val="117"/>
          <w:sz w:val="10"/>
          <w:szCs w:val="10"/>
        </w:rPr>
        <w:t>◎提交报名资料</w:t>
      </w:r>
    </w:p>
    <w:p>
      <w:pPr>
        <w:spacing w:before="27" w:line="234" w:lineRule="auto"/>
        <w:ind w:left="478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6"/>
          <w:sz w:val="10"/>
          <w:szCs w:val="10"/>
        </w:rPr>
        <w:t>证件照(电子版白底)、护照复印件(个人页扫描件)、</w:t>
      </w:r>
    </w:p>
    <w:p>
      <w:pPr>
        <w:spacing w:before="32" w:line="155" w:lineRule="exact"/>
        <w:ind w:left="47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6"/>
          <w:position w:val="3"/>
          <w:sz w:val="10"/>
          <w:szCs w:val="10"/>
        </w:rPr>
        <w:t>身份证复印件(正反面扫描件)、最高学历</w:t>
      </w:r>
      <w:r>
        <w:rPr>
          <w:rFonts w:ascii="黑体" w:hAnsi="黑体" w:eastAsia="黑体" w:cs="黑体"/>
          <w:spacing w:val="5"/>
          <w:position w:val="3"/>
          <w:sz w:val="10"/>
          <w:szCs w:val="10"/>
        </w:rPr>
        <w:t>证/学位证扫</w:t>
      </w:r>
    </w:p>
    <w:p>
      <w:pPr>
        <w:spacing w:before="1" w:line="224" w:lineRule="auto"/>
        <w:ind w:left="47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5"/>
          <w:sz w:val="10"/>
          <w:szCs w:val="10"/>
        </w:rPr>
        <w:t>描件、英文简历(无需提供，学习平台自动翻译)</w:t>
      </w:r>
      <w:r>
        <w:rPr>
          <w:rFonts w:ascii="黑体" w:hAnsi="黑体" w:eastAsia="黑体" w:cs="黑体"/>
          <w:spacing w:val="4"/>
          <w:sz w:val="10"/>
          <w:szCs w:val="10"/>
        </w:rPr>
        <w:t>、目的</w:t>
      </w:r>
    </w:p>
    <w:p>
      <w:pPr>
        <w:spacing w:before="38" w:line="225" w:lineRule="auto"/>
        <w:ind w:left="47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4"/>
          <w:sz w:val="10"/>
          <w:szCs w:val="10"/>
        </w:rPr>
        <w:t>声明、两封推荐信，进入学籍注册，15个工作日内予以</w:t>
      </w:r>
    </w:p>
    <w:p>
      <w:pPr>
        <w:spacing w:before="35" w:line="233" w:lineRule="auto"/>
        <w:ind w:left="478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10"/>
          <w:sz w:val="10"/>
          <w:szCs w:val="10"/>
        </w:rPr>
        <w:t>下发正式录取通知书</w:t>
      </w:r>
    </w:p>
    <w:p>
      <w:pPr>
        <w:spacing w:before="194" w:line="233" w:lineRule="auto"/>
        <w:ind w:left="27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color w:val="0E3569"/>
          <w:spacing w:val="5"/>
          <w:sz w:val="10"/>
          <w:szCs w:val="10"/>
        </w:rPr>
        <w:t>◎</w:t>
      </w:r>
      <w:r>
        <w:rPr>
          <w:rFonts w:ascii="黑体" w:hAnsi="黑体" w:eastAsia="黑体" w:cs="黑体"/>
          <w:color w:val="0E3569"/>
          <w:spacing w:val="46"/>
          <w:w w:val="101"/>
          <w:sz w:val="10"/>
          <w:szCs w:val="10"/>
        </w:rPr>
        <w:t xml:space="preserve"> </w:t>
      </w:r>
      <w:r>
        <w:rPr>
          <w:rFonts w:ascii="黑体" w:hAnsi="黑体" w:eastAsia="黑体" w:cs="黑体"/>
          <w:spacing w:val="5"/>
          <w:sz w:val="10"/>
          <w:szCs w:val="10"/>
        </w:rPr>
        <w:t>缴纳学费、修读学分</w:t>
      </w:r>
    </w:p>
    <w:p>
      <w:pPr>
        <w:spacing w:before="9" w:line="159" w:lineRule="exact"/>
        <w:ind w:left="47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5"/>
          <w:position w:val="4"/>
          <w:sz w:val="10"/>
          <w:szCs w:val="10"/>
        </w:rPr>
        <w:t>进入课程学习阶段，修完课程及完成每门课程作</w:t>
      </w:r>
      <w:r>
        <w:rPr>
          <w:rFonts w:ascii="黑体" w:hAnsi="黑体" w:eastAsia="黑体" w:cs="黑体"/>
          <w:spacing w:val="4"/>
          <w:position w:val="4"/>
          <w:sz w:val="10"/>
          <w:szCs w:val="10"/>
        </w:rPr>
        <w:t>业，修</w:t>
      </w:r>
    </w:p>
    <w:p>
      <w:pPr>
        <w:spacing w:before="1" w:line="224" w:lineRule="auto"/>
        <w:ind w:left="478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6"/>
          <w:sz w:val="10"/>
          <w:szCs w:val="10"/>
        </w:rPr>
        <w:t>满学分，成绩合格者进入下一阶段撰写论文</w:t>
      </w:r>
    </w:p>
    <w:p>
      <w:pPr>
        <w:spacing w:before="229" w:line="234" w:lineRule="auto"/>
        <w:ind w:left="27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19"/>
          <w:sz w:val="10"/>
          <w:szCs w:val="10"/>
        </w:rPr>
        <w:t>◎成绩合格者可申请毕业</w:t>
      </w:r>
    </w:p>
    <w:p>
      <w:pPr>
        <w:spacing w:before="8" w:line="171" w:lineRule="exact"/>
        <w:ind w:left="478"/>
        <w:rPr>
          <w:rFonts w:ascii="黑体" w:hAnsi="黑体" w:eastAsia="黑体" w:cs="黑体"/>
          <w:sz w:val="10"/>
          <w:szCs w:val="10"/>
        </w:rPr>
      </w:pPr>
      <w:r>
        <w:pict>
          <v:shape id="_x0000_s1079" o:spid="_x0000_s1079" o:spt="202" type="#_x0000_t202" style="position:absolute;left:0pt;margin-left:203.9pt;margin-top:0.2pt;height:8.35pt;width:51.8pt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3" w:lineRule="auto"/>
                    <w:ind w:left="20"/>
                    <w:rPr>
                      <w:rFonts w:ascii="黑体" w:hAnsi="黑体" w:eastAsia="黑体" w:cs="黑体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0"/>
                      <w:szCs w:val="10"/>
                    </w:rPr>
                    <w:t>EMBA</w:t>
                  </w:r>
                  <w:r>
                    <w:rPr>
                      <w:rFonts w:ascii="黑体" w:hAnsi="黑体" w:eastAsia="黑体" w:cs="黑体"/>
                      <w:b/>
                      <w:bCs/>
                      <w:spacing w:val="14"/>
                      <w:sz w:val="10"/>
                      <w:szCs w:val="10"/>
                    </w:rPr>
                    <w:t>学位证书样本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4"/>
          <w:position w:val="5"/>
          <w:sz w:val="10"/>
          <w:szCs w:val="10"/>
        </w:rPr>
        <w:t>修完学科学分，进入撰写论文阶段，参加在线论文答辩，</w:t>
      </w:r>
    </w:p>
    <w:p>
      <w:pPr>
        <w:spacing w:before="1" w:line="234" w:lineRule="auto"/>
        <w:ind w:left="47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spacing w:val="9"/>
          <w:sz w:val="10"/>
          <w:szCs w:val="10"/>
        </w:rPr>
        <w:t>申请毕业</w:t>
      </w:r>
    </w:p>
    <w:p>
      <w:pPr>
        <w:spacing w:before="198" w:line="233" w:lineRule="auto"/>
        <w:ind w:left="279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color w:val="0E3569"/>
          <w:spacing w:val="5"/>
          <w:sz w:val="10"/>
          <w:szCs w:val="10"/>
        </w:rPr>
        <w:t>◎</w:t>
      </w:r>
      <w:r>
        <w:rPr>
          <w:rFonts w:ascii="黑体" w:hAnsi="黑体" w:eastAsia="黑体" w:cs="黑体"/>
          <w:color w:val="0E3569"/>
          <w:spacing w:val="37"/>
          <w:sz w:val="10"/>
          <w:szCs w:val="10"/>
        </w:rPr>
        <w:t xml:space="preserve"> </w:t>
      </w:r>
      <w:r>
        <w:rPr>
          <w:rFonts w:ascii="黑体" w:hAnsi="黑体" w:eastAsia="黑体" w:cs="黑体"/>
          <w:spacing w:val="5"/>
          <w:sz w:val="10"/>
          <w:szCs w:val="10"/>
        </w:rPr>
        <w:t>毕业典礼、学位授予</w:t>
      </w:r>
    </w:p>
    <w:p>
      <w:pPr>
        <w:spacing w:before="29" w:line="239" w:lineRule="auto"/>
        <w:ind w:left="479"/>
        <w:rPr>
          <w:rFonts w:ascii="黑体" w:hAnsi="黑体" w:eastAsia="黑体" w:cs="黑体"/>
          <w:sz w:val="7"/>
          <w:szCs w:val="7"/>
        </w:rPr>
      </w:pPr>
      <w:r>
        <w:rPr>
          <w:rFonts w:ascii="黑体" w:hAnsi="黑体" w:eastAsia="黑体" w:cs="黑体"/>
          <w:spacing w:val="3"/>
          <w:sz w:val="7"/>
          <w:szCs w:val="7"/>
        </w:rPr>
        <w:t>参</w:t>
      </w:r>
      <w:r>
        <w:rPr>
          <w:rFonts w:ascii="黑体" w:hAnsi="黑体" w:eastAsia="黑体" w:cs="黑体"/>
          <w:spacing w:val="7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3"/>
          <w:sz w:val="7"/>
          <w:szCs w:val="7"/>
        </w:rPr>
        <w:t>加 毕</w:t>
      </w:r>
      <w:r>
        <w:rPr>
          <w:rFonts w:ascii="黑体" w:hAnsi="黑体" w:eastAsia="黑体" w:cs="黑体"/>
          <w:spacing w:val="-3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3"/>
          <w:sz w:val="7"/>
          <w:szCs w:val="7"/>
        </w:rPr>
        <w:t>业</w:t>
      </w:r>
      <w:r>
        <w:rPr>
          <w:rFonts w:ascii="黑体" w:hAnsi="黑体" w:eastAsia="黑体" w:cs="黑体"/>
          <w:spacing w:val="-4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3"/>
          <w:sz w:val="7"/>
          <w:szCs w:val="7"/>
        </w:rPr>
        <w:t>典</w:t>
      </w:r>
      <w:r>
        <w:rPr>
          <w:rFonts w:ascii="黑体" w:hAnsi="黑体" w:eastAsia="黑体" w:cs="黑体"/>
          <w:spacing w:val="-5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3"/>
          <w:sz w:val="7"/>
          <w:szCs w:val="7"/>
        </w:rPr>
        <w:t>礼 ， 学 院</w:t>
      </w:r>
      <w:r>
        <w:rPr>
          <w:rFonts w:ascii="黑体" w:hAnsi="黑体" w:eastAsia="黑体" w:cs="黑体"/>
          <w:spacing w:val="-5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3"/>
          <w:sz w:val="7"/>
          <w:szCs w:val="7"/>
        </w:rPr>
        <w:t>授</w:t>
      </w:r>
      <w:r>
        <w:rPr>
          <w:rFonts w:ascii="黑体" w:hAnsi="黑体" w:eastAsia="黑体" w:cs="黑体"/>
          <w:spacing w:val="-4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3"/>
          <w:sz w:val="7"/>
          <w:szCs w:val="7"/>
        </w:rPr>
        <w:t>予</w:t>
      </w:r>
      <w:r>
        <w:rPr>
          <w:rFonts w:ascii="黑体" w:hAnsi="黑体" w:eastAsia="黑体" w:cs="黑体"/>
          <w:spacing w:val="-2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3"/>
          <w:sz w:val="7"/>
          <w:szCs w:val="7"/>
        </w:rPr>
        <w:t>学</w:t>
      </w:r>
      <w:r>
        <w:rPr>
          <w:rFonts w:ascii="黑体" w:hAnsi="黑体" w:eastAsia="黑体" w:cs="黑体"/>
          <w:spacing w:val="-6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3"/>
          <w:sz w:val="7"/>
          <w:szCs w:val="7"/>
        </w:rPr>
        <w:t>位</w:t>
      </w:r>
    </w:p>
    <w:sectPr>
      <w:headerReference r:id="rId6" w:type="default"/>
      <w:pgSz w:w="31680" w:h="10751"/>
      <w:pgMar w:top="1" w:right="0" w:bottom="400" w:left="0" w:header="0" w:footer="0" w:gutter="0"/>
      <w:cols w:equalWidth="0" w:num="3">
        <w:col w:w="16612" w:space="100"/>
        <w:col w:w="7764" w:space="100"/>
        <w:col w:w="710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57E41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pn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26"/>
    <customShpInfo spid="_x0000_s1039"/>
    <customShpInfo spid="_x0000_s1040"/>
    <customShpInfo spid="_x0000_s1041"/>
    <customShpInfo spid="_x0000_s1043"/>
    <customShpInfo spid="_x0000_s1044"/>
    <customShpInfo spid="_x0000_s1042"/>
    <customShpInfo spid="_x0000_s1046"/>
    <customShpInfo spid="_x0000_s1047"/>
    <customShpInfo spid="_x0000_s1045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6"/>
    <customShpInfo spid="_x0000_s1057"/>
    <customShpInfo spid="_x0000_s1055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6"/>
    <customShpInfo spid="_x0000_s1067"/>
    <customShpInfo spid="_x0000_s1065"/>
    <customShpInfo spid="_x0000_s1068"/>
    <customShpInfo spid="_x0000_s1070"/>
    <customShpInfo spid="_x0000_s1071"/>
    <customShpInfo spid="_x0000_s1072"/>
    <customShpInfo spid="_x0000_s1069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2058</Words>
  <Characters>2437</Characters>
  <TotalTime>12</TotalTime>
  <ScaleCrop>false</ScaleCrop>
  <LinksUpToDate>false</LinksUpToDate>
  <CharactersWithSpaces>2702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2024-07-04T15:04:00Z</dcterms:created>
  <dc:creator>xiao0</dc:creator>
  <cp:lastModifiedBy>冰冰⊙▽⊙＊</cp:lastModifiedBy>
  <dcterms:modified xsi:type="dcterms:W3CDTF">2024-07-04T07:16:41Z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2024-07-04T15:04:17Z</vt:filetime>
  </property>
  <property fmtid="{D5CDD505-2E9C-101B-9397-08002B2CF9AE}" pid="4" name="UsrData">
    <vt:lpwstr>6686495ee8f0ea001fd68903wl</vt:lpwstr>
  </property>
  <property fmtid="{D5CDD505-2E9C-101B-9397-08002B2CF9AE}" pid="5" name="KSOProductBuildVer">
    <vt:lpwstr>2052-12.1.0.16929</vt:lpwstr>
  </property>
  <property fmtid="{D5CDD505-2E9C-101B-9397-08002B2CF9AE}" pid="6" name="ICV">
    <vt:lpwstr>397992545DAF46648D0332B77868CB37_13</vt:lpwstr>
  </property>
</Properties>
</file>