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微软雅黑" w:hAnsi="微软雅黑" w:eastAsia="微软雅黑" w:cs="微软雅黑"/>
          <w:b/>
          <w:bCs/>
          <w:sz w:val="40"/>
          <w:szCs w:val="40"/>
          <w:lang w:val="en-US" w:eastAsia="zh-CN"/>
        </w:rPr>
      </w:pPr>
      <w:r>
        <w:rPr>
          <w:rFonts w:hint="eastAsia" w:ascii="微软雅黑" w:hAnsi="微软雅黑" w:eastAsia="微软雅黑" w:cs="微软雅黑"/>
          <w:b/>
          <w:bCs/>
          <w:sz w:val="40"/>
          <w:szCs w:val="40"/>
          <w:lang w:val="en-US" w:eastAsia="zh-CN"/>
        </w:rPr>
        <w:t>郑大经管企业经营方略</w:t>
      </w:r>
    </w:p>
    <w:p>
      <w:pPr>
        <w:spacing w:line="360" w:lineRule="auto"/>
        <w:jc w:val="center"/>
        <w:rPr>
          <w:rFonts w:hint="eastAsia" w:ascii="微软雅黑" w:hAnsi="微软雅黑" w:eastAsia="微软雅黑" w:cs="微软雅黑"/>
          <w:b/>
          <w:bCs/>
          <w:sz w:val="40"/>
          <w:szCs w:val="40"/>
          <w:lang w:val="en-US" w:eastAsia="zh-CN"/>
        </w:rPr>
      </w:pPr>
      <w:r>
        <w:rPr>
          <w:rFonts w:hint="default" w:ascii="微软雅黑" w:hAnsi="微软雅黑" w:eastAsia="微软雅黑" w:cs="微软雅黑"/>
          <w:b/>
          <w:bCs/>
          <w:sz w:val="40"/>
          <w:szCs w:val="40"/>
          <w:lang w:val="en-US"/>
        </w:rPr>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472440</wp:posOffset>
                </wp:positionV>
                <wp:extent cx="4937125" cy="6985"/>
                <wp:effectExtent l="0" t="0" r="0" b="0"/>
                <wp:wrapNone/>
                <wp:docPr id="4" name="直接连接符 4"/>
                <wp:cNvGraphicFramePr/>
                <a:graphic xmlns:a="http://schemas.openxmlformats.org/drawingml/2006/main">
                  <a:graphicData uri="http://schemas.microsoft.com/office/word/2010/wordprocessingShape">
                    <wps:wsp>
                      <wps:cNvCnPr/>
                      <wps:spPr>
                        <a:xfrm>
                          <a:off x="0" y="0"/>
                          <a:ext cx="4937125" cy="6985"/>
                        </a:xfrm>
                        <a:prstGeom prst="line">
                          <a:avLst/>
                        </a:prstGeom>
                        <a:ln w="9525" cap="flat" cmpd="sng">
                          <a:solidFill>
                            <a:srgbClr val="A6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2pt;margin-top:37.2pt;height:0.55pt;width:388.75pt;z-index:251660288;mso-width-relative:page;mso-height-relative:page;" filled="f" stroked="t" coordsize="21600,21600" o:gfxdata="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fnSHfYAAAACAEAAA8AAAAAAAAAAQAgAAAAIgAAAGRycy9kb3ducmV2Lnht&#10;bFBLAQIUABQAAAAIAIdO4kDohyXp+QEAAOcDAAAOAAAAAAAAAAEAIAAAACcBAABkcnMvZTJvRG9j&#10;LnhtbFBLBQYAAAAABgAGAFkBAACSBQAAAAA=&#10;">
                <v:fill on="f" focussize="0,0"/>
                <v:stroke color="#A60000" joinstyle="round"/>
                <v:imagedata o:title=""/>
                <o:lock v:ext="edit" aspectratio="f"/>
              </v:line>
            </w:pict>
          </mc:Fallback>
        </mc:AlternateContent>
      </w:r>
      <w:r>
        <w:rPr>
          <w:rFonts w:hint="default" w:ascii="微软雅黑" w:hAnsi="微软雅黑" w:eastAsia="微软雅黑" w:cs="微软雅黑"/>
          <w:b/>
          <w:bCs/>
          <w:sz w:val="40"/>
          <w:szCs w:val="40"/>
          <w:lang w:val="en-US"/>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524510</wp:posOffset>
                </wp:positionV>
                <wp:extent cx="4929505" cy="76200"/>
                <wp:effectExtent l="4445" t="4445" r="19050" b="10795"/>
                <wp:wrapNone/>
                <wp:docPr id="2" name="矩形 2"/>
                <wp:cNvGraphicFramePr/>
                <a:graphic xmlns:a="http://schemas.openxmlformats.org/drawingml/2006/main">
                  <a:graphicData uri="http://schemas.microsoft.com/office/word/2010/wordprocessingShape">
                    <wps:wsp>
                      <wps:cNvSpPr/>
                      <wps:spPr>
                        <a:xfrm>
                          <a:off x="0" y="0"/>
                          <a:ext cx="4929505" cy="76200"/>
                        </a:xfrm>
                        <a:prstGeom prst="rect">
                          <a:avLst/>
                        </a:prstGeom>
                        <a:solidFill>
                          <a:srgbClr val="9C0000"/>
                        </a:solidFill>
                        <a:ln w="9525" cap="flat" cmpd="sng">
                          <a:solidFill>
                            <a:srgbClr val="A6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0.75pt;margin-top:41.3pt;height:6pt;width:388.15pt;z-index:251659264;mso-width-relative:page;mso-height-relative:page;" fillcolor="#9C0000" filled="t" stroked="t" coordsize="21600,21600" o:gfxdata="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8AyG1wAAAAgBAAAPAAAAAAAAAAEAIAAAACIAAABkcnMvZG93&#10;bnJldi54bWxQSwECFAAUAAAACACHTuJAOOHuhQECAAAoBAAADgAAAAAAAAABACAAAAAmAQAAZHJz&#10;L2Uyb0RvYy54bWxQSwUGAAAAAAYABgBZAQAAmQUAAAAA&#10;">
                <v:fill on="t" focussize="0,0"/>
                <v:stroke color="#A60000" joinstyle="miter"/>
                <v:imagedata o:title=""/>
                <o:lock v:ext="edit" aspectratio="f"/>
                <v:textbox>
                  <w:txbxContent>
                    <w:p>
                      <w:pPr>
                        <w:jc w:val="center"/>
                      </w:pPr>
                    </w:p>
                  </w:txbxContent>
                </v:textbox>
              </v:rect>
            </w:pict>
          </mc:Fallback>
        </mc:AlternateContent>
      </w:r>
      <w:r>
        <w:rPr>
          <w:rFonts w:hint="eastAsia" w:ascii="微软雅黑" w:hAnsi="微软雅黑" w:eastAsia="微软雅黑" w:cs="微软雅黑"/>
          <w:b/>
          <w:bCs/>
          <w:sz w:val="40"/>
          <w:szCs w:val="40"/>
        </w:rPr>
        <w:t>实战</w:t>
      </w:r>
      <w:r>
        <w:rPr>
          <w:rFonts w:hint="eastAsia" w:ascii="微软雅黑" w:hAnsi="微软雅黑" w:eastAsia="微软雅黑" w:cs="微软雅黑"/>
          <w:b/>
          <w:bCs/>
          <w:sz w:val="40"/>
          <w:szCs w:val="40"/>
          <w:lang w:val="en-US" w:eastAsia="zh-CN"/>
        </w:rPr>
        <w:t>董事长</w:t>
      </w:r>
      <w:r>
        <w:rPr>
          <w:rFonts w:hint="eastAsia" w:ascii="微软雅黑" w:hAnsi="微软雅黑" w:eastAsia="微软雅黑" w:cs="微软雅黑"/>
          <w:b/>
          <w:bCs/>
          <w:sz w:val="40"/>
          <w:szCs w:val="40"/>
        </w:rPr>
        <w:t>精修班</w:t>
      </w:r>
      <w:r>
        <w:rPr>
          <w:rFonts w:hint="eastAsia" w:ascii="微软雅黑" w:hAnsi="微软雅黑" w:eastAsia="微软雅黑" w:cs="微软雅黑"/>
          <w:b/>
          <w:bCs/>
          <w:sz w:val="40"/>
          <w:szCs w:val="40"/>
          <w:lang w:val="en-US" w:eastAsia="zh-CN"/>
        </w:rPr>
        <w:t>招生简章</w:t>
      </w:r>
    </w:p>
    <w:p>
      <w:pPr>
        <w:widowControl/>
        <w:shd w:val="clear" w:color="auto" w:fill="FFFFFF"/>
        <w:spacing w:line="360" w:lineRule="atLeast"/>
        <w:jc w:val="center"/>
        <w:rPr>
          <w:rFonts w:hint="eastAsia" w:ascii="华文琥珀" w:hAnsi="华文琥珀" w:eastAsia="华文琥珀" w:cs="华文琥珀"/>
          <w:color w:val="A20000"/>
          <w:kern w:val="0"/>
          <w:sz w:val="44"/>
          <w:szCs w:val="44"/>
          <w:lang w:val="en-US" w:eastAsia="zh-CN"/>
        </w:rPr>
      </w:pPr>
      <w:r>
        <w:rPr>
          <w:rFonts w:hint="eastAsia" w:ascii="华文琥珀" w:hAnsi="华文琥珀" w:eastAsia="华文琥珀" w:cs="华文琥珀"/>
          <w:color w:val="A20000"/>
          <w:kern w:val="0"/>
          <w:sz w:val="44"/>
          <w:szCs w:val="44"/>
          <w:lang w:val="en-US" w:eastAsia="zh-CN"/>
        </w:rPr>
        <w:t xml:space="preserve">  熔炼智慧    变革创新    掌控全局</w:t>
      </w:r>
    </w:p>
    <w:p>
      <w:pPr>
        <w:widowControl/>
        <w:shd w:val="clear" w:color="auto" w:fill="FFFFFF"/>
        <w:spacing w:line="360" w:lineRule="atLeast"/>
        <w:jc w:val="center"/>
        <w:rPr>
          <w:rFonts w:hint="default" w:ascii="华文琥珀" w:hAnsi="华文琥珀" w:eastAsia="华文琥珀" w:cs="华文琥珀"/>
          <w:color w:val="A2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【项目背景】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79" w:firstLineChars="283"/>
        <w:jc w:val="both"/>
        <w:textAlignment w:val="auto"/>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随着党的二十大胜利召开，新一轮经济升温已经开始。当前世界百年未有之大变局正加速演变，综合判断国际国内形势，中国发展仍处于可以大有作为的重要战略机遇期。在新的历史机遇期，中国企业将面临大的发展机遇与风险并存的局面，然而当多数企业家埋首于企业管理的具体事务以及局限于行业红海竞争中无法自拔时，只有少数商界精英在眺望远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val="en-US" w:eastAsia="zh-CN"/>
        </w:rPr>
      </w:pPr>
      <w:r>
        <w:rPr>
          <w:rFonts w:hint="eastAsia" w:ascii="宋体" w:hAnsi="宋体" w:cs="宋体"/>
          <w:kern w:val="2"/>
          <w:sz w:val="24"/>
          <w:szCs w:val="24"/>
          <w:lang w:val="en-US" w:eastAsia="zh-CN" w:bidi="ar-SA"/>
        </w:rPr>
        <w:t xml:space="preserve"> </w:t>
      </w:r>
      <w:r>
        <w:rPr>
          <w:rFonts w:hint="eastAsia" w:ascii="宋体" w:hAnsi="宋体" w:cs="宋体"/>
          <w:sz w:val="24"/>
          <w:szCs w:val="24"/>
          <w:lang w:val="en-US" w:eastAsia="zh-CN"/>
        </w:rPr>
        <w:t xml:space="preserve">“危机”之中往往蕴藏着“转机”。在变幻万千的新形势之下，只有不断随经济变化梳理自己的商业模式，才有可能异军突起，从红海中脱颖而出。欲顺势而立，信心比黄金更珍贵！而坚定的信心只能来源于正确的学习和判断！在这个历史拐点，让我们汇聚在知识的殿堂，聆听大师们的谆谆教导，倾听多位专家对当下时局的剖析以及企业应对的良策。让我们从经营之道中寻觅对策，内外兼修，让企业家的领导魅力得到升华。叩开当前复杂经济环境条件下企业经营之门，让我们共同走向机遇与挑战并存的“十四五”征程。 </w:t>
      </w:r>
    </w:p>
    <w:p>
      <w:pPr>
        <w:keepNext w:val="0"/>
        <w:keepLines w:val="0"/>
        <w:pageBreakBefore w:val="0"/>
        <w:widowControl w:val="0"/>
        <w:kinsoku/>
        <w:wordWrap/>
        <w:overflowPunct/>
        <w:topLinePunct w:val="0"/>
        <w:autoSpaceDE/>
        <w:autoSpaceDN/>
        <w:bidi w:val="0"/>
        <w:adjustRightInd/>
        <w:snapToGrid/>
        <w:spacing w:line="480" w:lineRule="auto"/>
        <w:textAlignment w:val="auto"/>
        <w:rPr>
          <w:rStyle w:val="9"/>
          <w:rFonts w:hint="eastAsia" w:ascii="Calibri" w:hAnsi="Calibri" w:eastAsia="楷体" w:cs="Calibri"/>
          <w:color w:val="9C0000"/>
          <w:sz w:val="32"/>
          <w:szCs w:val="32"/>
          <w:shd w:val="clear" w:color="auto" w:fill="FFFFFF"/>
        </w:rPr>
      </w:pPr>
      <w:r>
        <w:rPr>
          <w:rStyle w:val="9"/>
          <w:rFonts w:hint="eastAsia" w:ascii="Calibri" w:hAnsi="Calibri" w:eastAsia="楷体" w:cs="Calibri"/>
          <w:color w:val="9C0000"/>
          <w:sz w:val="32"/>
          <w:szCs w:val="32"/>
          <w:shd w:val="clear" w:color="auto" w:fill="FFFFFF"/>
          <w:lang w:val="en-US" w:eastAsia="zh-CN"/>
        </w:rPr>
        <w:t>【课程</w:t>
      </w:r>
      <w:r>
        <w:rPr>
          <w:rStyle w:val="9"/>
          <w:rFonts w:hint="eastAsia" w:ascii="Calibri" w:hAnsi="Calibri" w:eastAsia="楷体" w:cs="Calibri"/>
          <w:color w:val="9C0000"/>
          <w:sz w:val="32"/>
          <w:szCs w:val="32"/>
          <w:shd w:val="clear" w:color="auto" w:fill="FFFFFF"/>
        </w:rPr>
        <w:t>目标</w:t>
      </w:r>
      <w:r>
        <w:rPr>
          <w:rStyle w:val="9"/>
          <w:rFonts w:hint="eastAsia" w:ascii="Calibri" w:hAnsi="Calibri" w:eastAsia="楷体" w:cs="Calibri"/>
          <w:color w:val="9C0000"/>
          <w:sz w:val="32"/>
          <w:szCs w:val="32"/>
          <w:shd w:val="clear" w:color="auto" w:fill="FFFFFF"/>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突破思维</w:t>
      </w:r>
      <w:r>
        <w:rPr>
          <w:rStyle w:val="9"/>
          <w:rFonts w:hint="eastAsia" w:ascii="宋体" w:hAnsi="宋体" w:eastAsia="宋体" w:cs="宋体"/>
          <w:lang w:val="en-US" w:eastAsia="zh-CN"/>
        </w:rPr>
        <w:t>认知</w:t>
      </w:r>
      <w:r>
        <w:rPr>
          <w:rStyle w:val="9"/>
          <w:rFonts w:hint="eastAsia" w:ascii="仿宋" w:hAnsi="仿宋" w:eastAsia="仿宋" w:cs="仿宋"/>
        </w:rPr>
        <w:t>：</w:t>
      </w:r>
      <w:r>
        <w:rPr>
          <w:rFonts w:hint="eastAsia" w:ascii="宋体" w:hAnsi="宋体" w:eastAsia="宋体" w:cs="宋体"/>
          <w:kern w:val="2"/>
          <w:sz w:val="24"/>
          <w:szCs w:val="24"/>
          <w:lang w:val="en-US" w:eastAsia="zh-CN" w:bidi="ar-SA"/>
        </w:rPr>
        <w:t>帮助企业家完成从“生意”到“事业”的进化；</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谋求</w:t>
      </w:r>
      <w:r>
        <w:rPr>
          <w:rStyle w:val="9"/>
          <w:rFonts w:hint="eastAsia" w:ascii="宋体" w:hAnsi="宋体" w:eastAsia="宋体" w:cs="宋体"/>
          <w:lang w:val="en-US" w:eastAsia="zh-CN"/>
        </w:rPr>
        <w:t>管理</w:t>
      </w:r>
      <w:r>
        <w:rPr>
          <w:rStyle w:val="9"/>
          <w:rFonts w:hint="eastAsia" w:ascii="宋体" w:hAnsi="宋体" w:eastAsia="宋体" w:cs="宋体"/>
        </w:rPr>
        <w:t>创新</w:t>
      </w:r>
      <w:r>
        <w:rPr>
          <w:rStyle w:val="9"/>
          <w:rFonts w:hint="eastAsia" w:ascii="仿宋" w:hAnsi="仿宋" w:eastAsia="仿宋" w:cs="仿宋"/>
          <w:b w:val="0"/>
          <w:bCs w:val="0"/>
        </w:rPr>
        <w:t>：</w:t>
      </w:r>
      <w:r>
        <w:rPr>
          <w:rFonts w:hint="eastAsia" w:ascii="宋体" w:hAnsi="宋体" w:eastAsia="宋体" w:cs="宋体"/>
          <w:kern w:val="2"/>
          <w:sz w:val="24"/>
          <w:szCs w:val="24"/>
          <w:lang w:val="en-US" w:eastAsia="zh-CN" w:bidi="ar-SA"/>
        </w:rPr>
        <w:t>帮助企业家突破过往成功的路径依赖，让创新驱动变革；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rPr>
        <w:t>实现组织提升</w:t>
      </w:r>
      <w:r>
        <w:rPr>
          <w:rStyle w:val="9"/>
          <w:rFonts w:hint="eastAsia" w:ascii="仿宋" w:hAnsi="仿宋" w:eastAsia="仿宋" w:cs="仿宋"/>
          <w:b w:val="0"/>
          <w:bCs w:val="0"/>
        </w:rPr>
        <w:t>：</w:t>
      </w:r>
      <w:r>
        <w:rPr>
          <w:rFonts w:hint="eastAsia" w:ascii="宋体" w:hAnsi="宋体" w:eastAsia="宋体" w:cs="宋体"/>
          <w:kern w:val="2"/>
          <w:sz w:val="24"/>
          <w:szCs w:val="24"/>
          <w:lang w:val="en-US" w:eastAsia="zh-CN" w:bidi="ar-SA"/>
        </w:rPr>
        <w:t>帮助企业家从“打造个人英雄”到“培养精英团队”的组织进化；</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kern w:val="2"/>
          <w:sz w:val="24"/>
          <w:szCs w:val="24"/>
          <w:lang w:val="en-US" w:eastAsia="zh-CN" w:bidi="ar-SA"/>
        </w:rPr>
      </w:pPr>
      <w:r>
        <w:rPr>
          <w:rStyle w:val="9"/>
          <w:rFonts w:hint="eastAsia" w:ascii="宋体" w:hAnsi="宋体" w:eastAsia="宋体" w:cs="宋体"/>
          <w:kern w:val="0"/>
          <w:sz w:val="24"/>
          <w:szCs w:val="24"/>
          <w:lang w:val="en-US" w:eastAsia="zh-CN" w:bidi="ar-SA"/>
        </w:rPr>
        <w:t>升华自身格局</w:t>
      </w:r>
      <w:r>
        <w:rPr>
          <w:rStyle w:val="9"/>
          <w:rFonts w:hint="eastAsia" w:ascii="仿宋" w:hAnsi="仿宋" w:eastAsia="仿宋" w:cs="仿宋"/>
        </w:rPr>
        <w:t>：</w:t>
      </w:r>
      <w:r>
        <w:rPr>
          <w:rFonts w:hint="eastAsia" w:ascii="宋体" w:hAnsi="宋体" w:eastAsia="宋体" w:cs="宋体"/>
          <w:kern w:val="2"/>
          <w:sz w:val="24"/>
          <w:szCs w:val="24"/>
          <w:lang w:val="en-US" w:eastAsia="zh-CN" w:bidi="ar-SA"/>
        </w:rPr>
        <w:t>帮助企业家实现从“将”到“帅”的本质飞跃，运筹帷幄，决胜千里。</w:t>
      </w:r>
    </w:p>
    <w:p>
      <w:pPr>
        <w:keepNext w:val="0"/>
        <w:keepLines w:val="0"/>
        <w:pageBreakBefore w:val="0"/>
        <w:widowControl w:val="0"/>
        <w:kinsoku/>
        <w:wordWrap/>
        <w:overflowPunct/>
        <w:topLinePunct w:val="0"/>
        <w:autoSpaceDE/>
        <w:autoSpaceDN/>
        <w:bidi w:val="0"/>
        <w:adjustRightInd/>
        <w:snapToGrid/>
        <w:spacing w:line="40" w:lineRule="atLeast"/>
        <w:ind w:firstLine="480"/>
        <w:textAlignment w:val="auto"/>
        <w:rPr>
          <w:rFonts w:hint="eastAsia" w:ascii="宋体" w:hAnsi="宋体" w:eastAsia="宋体" w:cs="宋体"/>
          <w:kern w:val="2"/>
          <w:sz w:val="24"/>
          <w:szCs w:val="24"/>
          <w:lang w:val="en-US" w:eastAsia="zh-CN" w:bidi="ar-SA"/>
        </w:rPr>
      </w:pP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【项目特色】</w:t>
      </w:r>
    </w:p>
    <w:p>
      <w:pPr>
        <w:ind w:left="141" w:hanging="161" w:hangingChars="50"/>
        <w:rPr>
          <w:rStyle w:val="9"/>
          <w:rFonts w:hint="eastAsia" w:ascii="Calibri" w:hAnsi="Calibri" w:eastAsia="楷体" w:cs="Calibri"/>
          <w:color w:val="9C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41" w:hanging="120" w:hangingChars="50"/>
        <w:textAlignment w:val="auto"/>
        <w:rPr>
          <w:rStyle w:val="9"/>
          <w:rFonts w:hint="eastAsia" w:ascii="仿宋" w:hAnsi="仿宋" w:eastAsia="仿宋" w:cs="仿宋"/>
          <w:b w:val="0"/>
          <w:bCs w:val="0"/>
          <w:sz w:val="24"/>
          <w:szCs w:val="24"/>
        </w:rPr>
      </w:pPr>
      <w:r>
        <w:rPr>
          <w:rFonts w:hint="eastAsia" w:ascii="宋体" w:hAnsi="宋体" w:cs="宋体"/>
          <w:b/>
          <w:bCs/>
          <w:sz w:val="24"/>
          <w:szCs w:val="24"/>
        </w:rPr>
        <w:t>●</w:t>
      </w:r>
      <w:r>
        <w:rPr>
          <w:rStyle w:val="9"/>
          <w:rFonts w:hint="eastAsia" w:ascii="宋体" w:hAnsi="宋体" w:eastAsia="宋体" w:cs="宋体"/>
          <w:color w:val="000000"/>
          <w:sz w:val="24"/>
          <w:szCs w:val="24"/>
        </w:rPr>
        <w:t>专家</w:t>
      </w:r>
      <w:r>
        <w:rPr>
          <w:rStyle w:val="9"/>
          <w:rFonts w:hint="eastAsia" w:ascii="宋体" w:hAnsi="宋体" w:eastAsia="宋体" w:cs="宋体"/>
          <w:color w:val="000000"/>
          <w:sz w:val="24"/>
          <w:szCs w:val="24"/>
          <w:lang w:val="en-US" w:eastAsia="zh-CN"/>
        </w:rPr>
        <w:t>授课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color w:val="000000" w:themeColor="text1"/>
          <w:sz w:val="24"/>
          <w:szCs w:val="24"/>
          <w14:textFill>
            <w14:solidFill>
              <w14:schemeClr w14:val="tx1"/>
            </w14:solidFill>
          </w14:textFill>
        </w:rPr>
        <w:t>著名经济学家、知名学者、提供前沿理论、把握全球趋势、展望政策走向</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b/>
          <w:bCs/>
          <w:sz w:val="24"/>
          <w:szCs w:val="24"/>
        </w:rPr>
        <w:t>●</w:t>
      </w:r>
      <w:r>
        <w:rPr>
          <w:rFonts w:hint="eastAsia" w:ascii="宋体" w:hAnsi="宋体" w:eastAsia="宋体" w:cs="宋体"/>
          <w:b/>
          <w:bCs/>
          <w:sz w:val="24"/>
          <w:szCs w:val="24"/>
        </w:rPr>
        <w:t>系统</w:t>
      </w:r>
      <w:r>
        <w:rPr>
          <w:rFonts w:hint="eastAsia" w:ascii="宋体" w:hAnsi="宋体" w:eastAsia="宋体" w:cs="宋体"/>
          <w:b/>
          <w:bCs/>
          <w:sz w:val="24"/>
          <w:szCs w:val="24"/>
          <w:lang w:val="en-US" w:eastAsia="zh-CN"/>
        </w:rPr>
        <w:t>课程</w:t>
      </w:r>
      <w:r>
        <w:rPr>
          <w:rFonts w:hint="eastAsia" w:ascii="宋体" w:hAnsi="宋体" w:eastAsia="宋体" w:cs="宋体"/>
          <w:sz w:val="24"/>
          <w:szCs w:val="24"/>
        </w:rPr>
        <w:br w:type="textWrapping"/>
      </w:r>
      <w:r>
        <w:rPr>
          <w:rFonts w:hint="eastAsia" w:ascii="宋体" w:hAnsi="宋体" w:cs="宋体"/>
          <w:color w:val="000000" w:themeColor="text1"/>
          <w:sz w:val="24"/>
          <w:szCs w:val="24"/>
          <w14:textFill>
            <w14:solidFill>
              <w14:schemeClr w14:val="tx1"/>
            </w14:solidFill>
          </w14:textFill>
        </w:rPr>
        <w:t>实施“1+</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”模式的创新型实战课程，“1”针对当前的经济形势，企业应该采取的整体对策，是动态的课程；“</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”则</w:t>
      </w:r>
      <w:r>
        <w:rPr>
          <w:rFonts w:hint="eastAsia" w:ascii="宋体" w:hAnsi="宋体" w:cs="宋体"/>
          <w:color w:val="000000" w:themeColor="text1"/>
          <w:sz w:val="24"/>
          <w:szCs w:val="24"/>
          <w:lang w:val="en-US" w:eastAsia="zh-CN"/>
          <w14:textFill>
            <w14:solidFill>
              <w14:schemeClr w14:val="tx1"/>
            </w14:solidFill>
          </w14:textFill>
        </w:rPr>
        <w:t>是企业管理者综合管理能力提升的六大维度，即战略规划能力、用人能力</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市场思维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财务思维、</w:t>
      </w:r>
      <w:r>
        <w:rPr>
          <w:rFonts w:hint="eastAsia" w:ascii="宋体" w:hAnsi="宋体" w:cs="宋体"/>
          <w:color w:val="000000" w:themeColor="text1"/>
          <w:sz w:val="24"/>
          <w:szCs w:val="24"/>
          <w14:textFill>
            <w14:solidFill>
              <w14:schemeClr w14:val="tx1"/>
            </w14:solidFill>
          </w14:textFill>
        </w:rPr>
        <w:t>领导</w:t>
      </w:r>
      <w:r>
        <w:rPr>
          <w:rFonts w:hint="eastAsia" w:ascii="宋体" w:hAnsi="宋体" w:cs="宋体"/>
          <w:color w:val="000000" w:themeColor="text1"/>
          <w:sz w:val="24"/>
          <w:szCs w:val="24"/>
          <w:lang w:val="en-US" w:eastAsia="zh-CN"/>
          <w14:textFill>
            <w14:solidFill>
              <w14:schemeClr w14:val="tx1"/>
            </w14:solidFill>
          </w14:textFill>
        </w:rPr>
        <w:t>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金融资本思维</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指3个2</w:t>
      </w:r>
      <w:r>
        <w:rPr>
          <w:rFonts w:hint="eastAsia" w:ascii="宋体" w:hAnsi="宋体" w:cs="宋体"/>
          <w:color w:val="000000" w:themeColor="text1"/>
          <w:sz w:val="24"/>
          <w:szCs w:val="24"/>
          <w14:textFill>
            <w14:solidFill>
              <w14:schemeClr w14:val="tx1"/>
            </w14:solidFill>
          </w14:textFill>
        </w:rPr>
        <w:t>天</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晚的方案实战课程既相对独立，又浑然一体，是不可多得的精品课程。 </w:t>
      </w:r>
      <w:r>
        <w:rPr>
          <w:rFonts w:hint="eastAsia" w:ascii="宋体" w:hAnsi="宋体" w:cs="宋体"/>
          <w:color w:val="FF0000"/>
          <w:sz w:val="24"/>
          <w:szCs w:val="24"/>
        </w:rPr>
        <w:br w:type="textWrapping"/>
      </w:r>
      <w:r>
        <w:rPr>
          <w:rFonts w:hint="eastAsia" w:ascii="宋体" w:hAnsi="宋体" w:cs="宋体"/>
          <w:b/>
          <w:bCs/>
          <w:sz w:val="24"/>
          <w:szCs w:val="24"/>
        </w:rPr>
        <w:t>●高端平台</w:t>
      </w:r>
      <w:r>
        <w:rPr>
          <w:rFonts w:hint="eastAsia" w:ascii="宋体" w:hAnsi="宋体" w:cs="宋体"/>
          <w:sz w:val="24"/>
          <w:szCs w:val="24"/>
        </w:rPr>
        <w:br w:type="textWrapping"/>
      </w:r>
      <w:r>
        <w:rPr>
          <w:rFonts w:hint="eastAsia" w:ascii="宋体" w:hAnsi="宋体" w:cs="宋体"/>
          <w:sz w:val="24"/>
          <w:szCs w:val="24"/>
        </w:rPr>
        <w:t>提供丰富的技术、市场、产品、人脉、学习资源，为企业发展提供动力；整合全国8</w:t>
      </w:r>
      <w:r>
        <w:rPr>
          <w:rFonts w:ascii="宋体" w:hAnsi="宋体" w:cs="宋体"/>
          <w:sz w:val="24"/>
          <w:szCs w:val="24"/>
        </w:rPr>
        <w:t>0000</w:t>
      </w:r>
      <w:r>
        <w:rPr>
          <w:rFonts w:hint="eastAsia" w:ascii="宋体" w:hAnsi="宋体" w:cs="宋体"/>
          <w:sz w:val="24"/>
          <w:szCs w:val="24"/>
          <w:lang w:val="en-US" w:eastAsia="zh-CN"/>
        </w:rPr>
        <w:t>+</w:t>
      </w:r>
      <w:r>
        <w:rPr>
          <w:rFonts w:hint="eastAsia" w:ascii="宋体" w:hAnsi="宋体" w:cs="宋体"/>
          <w:sz w:val="24"/>
          <w:szCs w:val="24"/>
        </w:rPr>
        <w:t>高端资源，智慧、资本有机嫁接。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b/>
          <w:bCs/>
          <w:sz w:val="24"/>
          <w:szCs w:val="24"/>
        </w:rPr>
      </w:pPr>
      <w:r>
        <w:rPr>
          <w:rFonts w:hint="eastAsia" w:ascii="宋体" w:hAnsi="宋体" w:cs="宋体"/>
          <w:b/>
          <w:bCs/>
          <w:sz w:val="24"/>
          <w:szCs w:val="24"/>
        </w:rPr>
        <w:t>●实战提升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rPr>
      </w:pPr>
      <w:r>
        <w:rPr>
          <w:rFonts w:hint="eastAsia" w:ascii="宋体" w:hAnsi="宋体" w:cs="宋体"/>
          <w:sz w:val="24"/>
          <w:szCs w:val="24"/>
        </w:rPr>
        <w:t>实战、实用、实效权威解惑。通过实战训练提高学员管理企业的思维和能力，解决企业跨越式发展过程中的根本问题，依据学员的实际的需求反馈，进行个性化的解决。帮助企业高层管理者掌握企业运营方法，在竞争激烈的市场环境中，提升企业竞争力。</w:t>
      </w:r>
      <w:r>
        <w:rPr>
          <w:rFonts w:hint="eastAsia" w:ascii="宋体" w:hAnsi="宋体" w:cs="宋体"/>
          <w:sz w:val="24"/>
          <w:szCs w:val="24"/>
        </w:rPr>
        <w:br w:type="textWrapping"/>
      </w:r>
      <w:r>
        <w:rPr>
          <w:rFonts w:hint="eastAsia" w:ascii="宋体" w:hAnsi="宋体" w:cs="宋体"/>
          <w:b/>
          <w:bCs/>
          <w:sz w:val="24"/>
          <w:szCs w:val="24"/>
        </w:rPr>
        <w:t>●第二课堂</w:t>
      </w:r>
      <w:r>
        <w:rPr>
          <w:rFonts w:hint="eastAsia" w:ascii="宋体" w:hAnsi="宋体" w:cs="宋体"/>
          <w:sz w:val="24"/>
          <w:szCs w:val="24"/>
        </w:rPr>
        <w:br w:type="textWrapping"/>
      </w:r>
      <w:r>
        <w:rPr>
          <w:rFonts w:hint="eastAsia" w:ascii="宋体" w:hAnsi="宋体" w:cs="宋体"/>
          <w:sz w:val="24"/>
          <w:szCs w:val="24"/>
        </w:rPr>
        <w:t>每年组织大型论坛，沙龙、私董会、标杆企业研学、高尔夫俱乐部、项目路演对接等第二课堂项目，最大限度扩展人脉关系，为同学们打造一个高质量，高层次的学习交流圈。</w:t>
      </w:r>
      <w:r>
        <w:rPr>
          <w:rFonts w:hint="eastAsia" w:ascii="宋体" w:hAnsi="宋体" w:cs="宋体"/>
          <w:sz w:val="24"/>
          <w:szCs w:val="24"/>
        </w:rPr>
        <w:br w:type="textWrapping"/>
      </w:r>
      <w:r>
        <w:rPr>
          <w:rFonts w:hint="eastAsia" w:ascii="宋体" w:hAnsi="宋体" w:cs="宋体"/>
          <w:b/>
          <w:bCs/>
          <w:sz w:val="24"/>
          <w:szCs w:val="24"/>
        </w:rPr>
        <w:t>●总裁校友会</w:t>
      </w:r>
      <w:r>
        <w:rPr>
          <w:rFonts w:hint="eastAsia" w:ascii="宋体" w:hAnsi="宋体" w:cs="宋体"/>
          <w:sz w:val="24"/>
          <w:szCs w:val="24"/>
        </w:rPr>
        <w:br w:type="textWrapping"/>
      </w:r>
      <w:r>
        <w:rPr>
          <w:rFonts w:hint="eastAsia" w:ascii="宋体" w:hAnsi="宋体" w:cs="宋体"/>
          <w:sz w:val="24"/>
          <w:szCs w:val="24"/>
        </w:rPr>
        <w:t>加入郑大校友会，以“学习、提升、真诚、合作、共赢”为宗旨，整合全省各地精英同学资源，打造最具活力、契合点的同学经济体，增进学员交流与合作，抱团成长！</w:t>
      </w:r>
    </w:p>
    <w:p>
      <w:pPr>
        <w:ind w:firstLine="480" w:firstLineChars="200"/>
        <w:jc w:val="left"/>
        <w:rPr>
          <w:rFonts w:hint="eastAsia" w:ascii="宋体" w:hAnsi="宋体" w:cs="宋体"/>
          <w:sz w:val="24"/>
          <w:szCs w:val="24"/>
        </w:rPr>
      </w:pP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【课程收获】</w:t>
      </w:r>
    </w:p>
    <w:p>
      <w:pPr>
        <w:keepNext w:val="0"/>
        <w:keepLines w:val="0"/>
        <w:pageBreakBefore w:val="0"/>
        <w:widowControl/>
        <w:kinsoku/>
        <w:wordWrap/>
        <w:overflowPunct/>
        <w:topLinePunct w:val="0"/>
        <w:autoSpaceDE/>
        <w:autoSpaceDN/>
        <w:bidi w:val="0"/>
        <w:adjustRightInd/>
        <w:snapToGrid/>
        <w:spacing w:line="360" w:lineRule="auto"/>
        <w:ind w:firstLine="240" w:firstLineChars="100"/>
        <w:jc w:val="left"/>
        <w:textAlignment w:val="auto"/>
        <w:rPr>
          <w:rFonts w:ascii="宋体" w:hAnsi="宋体" w:cs="宋体"/>
          <w:sz w:val="24"/>
          <w:szCs w:val="24"/>
        </w:rPr>
      </w:pPr>
      <w:r>
        <w:rPr>
          <w:rFonts w:hint="eastAsia" w:ascii="宋体" w:hAnsi="宋体" w:cs="宋体"/>
          <w:sz w:val="24"/>
          <w:szCs w:val="24"/>
        </w:rPr>
        <w:t>洞察最新经济发展形势，探究企业运营逻辑，运筹帷幄取于思潮格局；</w:t>
      </w:r>
      <w:r>
        <w:rPr>
          <w:rFonts w:hint="eastAsia" w:ascii="宋体" w:hAnsi="宋体" w:cs="宋体"/>
          <w:sz w:val="24"/>
          <w:szCs w:val="24"/>
        </w:rPr>
        <w:br w:type="textWrapping"/>
      </w:r>
      <w:r>
        <w:rPr>
          <w:rFonts w:hint="eastAsia" w:ascii="宋体" w:hAnsi="宋体" w:cs="宋体"/>
          <w:sz w:val="24"/>
          <w:szCs w:val="24"/>
        </w:rPr>
        <w:t> 系统学习经典管理理论，优化管理中的问题，治病于未病防患于未然；</w:t>
      </w:r>
      <w:r>
        <w:rPr>
          <w:rFonts w:hint="eastAsia" w:ascii="宋体" w:hAnsi="宋体" w:cs="宋体"/>
          <w:sz w:val="24"/>
          <w:szCs w:val="24"/>
        </w:rPr>
        <w:br w:type="textWrapping"/>
      </w:r>
      <w:r>
        <w:rPr>
          <w:rFonts w:hint="eastAsia" w:ascii="宋体" w:hAnsi="宋体" w:cs="宋体"/>
          <w:sz w:val="24"/>
          <w:szCs w:val="24"/>
        </w:rPr>
        <w:t> 准确把脉企业发展走向，应对新机遇新挑战，叶落知秋决胜变化之间；</w:t>
      </w:r>
      <w:r>
        <w:rPr>
          <w:rFonts w:hint="eastAsia" w:ascii="宋体" w:hAnsi="宋体" w:cs="宋体"/>
          <w:sz w:val="24"/>
          <w:szCs w:val="24"/>
        </w:rPr>
        <w:br w:type="textWrapping"/>
      </w:r>
      <w:r>
        <w:rPr>
          <w:rFonts w:hint="eastAsia" w:ascii="宋体" w:hAnsi="宋体" w:cs="宋体"/>
          <w:sz w:val="24"/>
          <w:szCs w:val="24"/>
        </w:rPr>
        <w:t> 洞悉标杆企业经典案例，分享成功实践经验，以史为鉴感悟商战之道；</w:t>
      </w:r>
      <w:r>
        <w:rPr>
          <w:rFonts w:hint="eastAsia" w:ascii="宋体" w:hAnsi="宋体" w:cs="宋体"/>
          <w:sz w:val="24"/>
          <w:szCs w:val="24"/>
        </w:rPr>
        <w:br w:type="textWrapping"/>
      </w:r>
      <w:r>
        <w:rPr>
          <w:rFonts w:hint="eastAsia" w:ascii="宋体" w:hAnsi="宋体" w:cs="宋体"/>
          <w:sz w:val="24"/>
          <w:szCs w:val="24"/>
        </w:rPr>
        <w:t> 打破传统思维模式束缚，活跃思维创新管理，破茧而出皆归挥洒自如；</w:t>
      </w:r>
      <w:r>
        <w:rPr>
          <w:rFonts w:hint="eastAsia" w:ascii="宋体" w:hAnsi="宋体" w:cs="宋体"/>
          <w:sz w:val="24"/>
          <w:szCs w:val="24"/>
        </w:rPr>
        <w:br w:type="textWrapping"/>
      </w:r>
      <w:r>
        <w:rPr>
          <w:rFonts w:hint="eastAsia" w:ascii="宋体" w:hAnsi="宋体" w:cs="宋体"/>
          <w:sz w:val="24"/>
          <w:szCs w:val="24"/>
        </w:rPr>
        <w:t> 拓展建立优秀人脉平台，商场实战以学会友，尊享人生广交豫商精英。</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【课程体系】</w:t>
      </w:r>
    </w:p>
    <w:tbl>
      <w:tblPr>
        <w:tblStyle w:val="7"/>
        <w:tblpPr w:leftFromText="180" w:rightFromText="180" w:vertAnchor="text" w:tblpX="72" w:tblpY="3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9"/>
        <w:gridCol w:w="4056"/>
        <w:gridCol w:w="665"/>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69" w:type="dxa"/>
            <w:vAlign w:val="center"/>
          </w:tcPr>
          <w:p>
            <w:pPr>
              <w:widowControl/>
              <w:spacing w:line="360" w:lineRule="auto"/>
              <w:jc w:val="center"/>
              <w:rPr>
                <w:rFonts w:hint="eastAsia" w:ascii="华文楷体" w:hAnsi="华文楷体" w:eastAsia="华文楷体" w:cs="华文楷体"/>
                <w:b/>
                <w:bCs/>
                <w:kern w:val="0"/>
                <w:sz w:val="28"/>
                <w:szCs w:val="28"/>
                <w:lang w:val="en-US" w:eastAsia="zh-CN"/>
              </w:rPr>
            </w:pPr>
            <w:r>
              <w:rPr>
                <w:rFonts w:hint="eastAsia" w:ascii="华文楷体" w:hAnsi="华文楷体" w:eastAsia="华文楷体" w:cs="华文楷体"/>
                <w:b/>
                <w:bCs/>
                <w:kern w:val="0"/>
                <w:sz w:val="28"/>
                <w:szCs w:val="28"/>
                <w:lang w:val="en-US" w:eastAsia="zh-CN"/>
              </w:rPr>
              <w:t>课程主题</w:t>
            </w:r>
          </w:p>
        </w:tc>
        <w:tc>
          <w:tcPr>
            <w:tcW w:w="4056"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核心内容</w:t>
            </w:r>
          </w:p>
        </w:tc>
        <w:tc>
          <w:tcPr>
            <w:tcW w:w="665"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课  时</w:t>
            </w:r>
          </w:p>
        </w:tc>
        <w:tc>
          <w:tcPr>
            <w:tcW w:w="1126" w:type="dxa"/>
            <w:vAlign w:val="center"/>
          </w:tcPr>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拟邀</w:t>
            </w:r>
          </w:p>
          <w:p>
            <w:pPr>
              <w:widowControl/>
              <w:spacing w:line="360" w:lineRule="auto"/>
              <w:jc w:val="center"/>
              <w:rPr>
                <w:rFonts w:hint="eastAsia" w:ascii="华文楷体" w:hAnsi="华文楷体" w:eastAsia="华文楷体" w:cs="华文楷体"/>
                <w:b/>
                <w:bCs/>
                <w:kern w:val="0"/>
                <w:sz w:val="28"/>
                <w:szCs w:val="28"/>
              </w:rPr>
            </w:pPr>
            <w:r>
              <w:rPr>
                <w:rFonts w:hint="eastAsia" w:ascii="华文楷体" w:hAnsi="华文楷体" w:eastAsia="华文楷体" w:cs="华文楷体"/>
                <w:b/>
                <w:bCs/>
                <w:kern w:val="0"/>
                <w:sz w:val="28"/>
                <w:szCs w:val="28"/>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2669" w:type="dxa"/>
            <w:vAlign w:val="center"/>
          </w:tcPr>
          <w:p>
            <w:pPr>
              <w:widowControl/>
              <w:jc w:val="center"/>
              <w:rPr>
                <w:rStyle w:val="9"/>
                <w:rFonts w:hint="default"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模块一</w:t>
            </w:r>
          </w:p>
          <w:p>
            <w:pPr>
              <w:widowControl/>
              <w:jc w:val="center"/>
              <w:rPr>
                <w:rFonts w:hint="default" w:ascii="宋体" w:hAnsi="宋体"/>
                <w:b/>
                <w:bCs/>
                <w:kern w:val="0"/>
                <w:lang w:val="en-US"/>
              </w:rPr>
            </w:pPr>
            <w:r>
              <w:rPr>
                <w:rStyle w:val="9"/>
                <w:rFonts w:hint="eastAsia" w:ascii="微软雅黑" w:hAnsi="微软雅黑" w:eastAsia="微软雅黑" w:cs="微软雅黑"/>
                <w:color w:val="3F3F3F"/>
                <w:sz w:val="24"/>
                <w:szCs w:val="24"/>
                <w:shd w:val="clear" w:color="auto" w:fill="FFFFFF"/>
                <w:vertAlign w:val="baseline"/>
                <w:lang w:val="en-US" w:eastAsia="zh-CN"/>
              </w:rPr>
              <w:t>宏观经济与产业分析</w:t>
            </w:r>
          </w:p>
        </w:tc>
        <w:tc>
          <w:tcPr>
            <w:tcW w:w="4056" w:type="dxa"/>
            <w:vAlign w:val="center"/>
          </w:tcPr>
          <w:p>
            <w:pPr>
              <w:widowControl/>
              <w:jc w:val="left"/>
              <w:rPr>
                <w:rFonts w:hint="eastAsia" w:ascii="宋体" w:hAnsi="宋体"/>
                <w:kern w:val="0"/>
              </w:rPr>
            </w:pPr>
            <w:r>
              <w:rPr>
                <w:rFonts w:hint="eastAsia" w:ascii="宋体" w:hAnsi="宋体" w:eastAsia="宋体" w:cs="宋体"/>
                <w:b w:val="0"/>
                <w:bCs w:val="0"/>
                <w:i w:val="0"/>
                <w:caps w:val="0"/>
                <w:color w:val="595959"/>
                <w:spacing w:val="0"/>
                <w:kern w:val="0"/>
                <w:sz w:val="24"/>
                <w:szCs w:val="24"/>
                <w:u w:val="none"/>
                <w:lang w:val="en-US" w:eastAsia="zh-CN" w:bidi="ar"/>
              </w:rPr>
              <w:t>◆</w:t>
            </w:r>
            <w:r>
              <w:rPr>
                <w:rFonts w:hint="eastAsia" w:ascii="宋体" w:hAnsi="宋体"/>
                <w:kern w:val="0"/>
              </w:rPr>
              <w:t>宏观调控与国家产业政策解析</w:t>
            </w:r>
          </w:p>
          <w:p>
            <w:pPr>
              <w:widowControl/>
              <w:jc w:val="left"/>
              <w:rPr>
                <w:rFonts w:hint="eastAsia" w:ascii="宋体" w:hAnsi="宋体"/>
                <w:kern w:val="0"/>
                <w:lang w:val="en-US" w:eastAsia="zh-CN"/>
              </w:rPr>
            </w:pPr>
            <w:r>
              <w:rPr>
                <w:rFonts w:hint="eastAsia" w:ascii="宋体" w:hAnsi="宋体"/>
                <w:kern w:val="0"/>
                <w:lang w:val="en-US" w:eastAsia="zh-CN"/>
              </w:rPr>
              <w:t>◆</w:t>
            </w:r>
            <w:r>
              <w:rPr>
                <w:rFonts w:hint="eastAsia" w:ascii="宋体" w:hAnsi="宋体"/>
                <w:kern w:val="0"/>
              </w:rPr>
              <w:t>新经济周期的热点与红利</w:t>
            </w:r>
            <w:r>
              <w:rPr>
                <w:rFonts w:hint="eastAsia" w:ascii="宋体" w:hAnsi="宋体"/>
                <w:kern w:val="0"/>
                <w:lang w:val="en-US" w:eastAsia="zh-CN"/>
              </w:rPr>
              <w:t>分析</w:t>
            </w:r>
          </w:p>
          <w:p>
            <w:pPr>
              <w:widowControl/>
              <w:jc w:val="left"/>
              <w:rPr>
                <w:rFonts w:hint="eastAsia" w:ascii="宋体" w:hAnsi="宋体"/>
                <w:kern w:val="0"/>
                <w:lang w:val="en-US"/>
              </w:rPr>
            </w:pPr>
            <w:r>
              <w:rPr>
                <w:rFonts w:hint="eastAsia" w:ascii="宋体" w:hAnsi="宋体"/>
                <w:kern w:val="0"/>
                <w:lang w:val="en-US" w:eastAsia="zh-CN"/>
              </w:rPr>
              <w:t>◆宏观经济与企业发展</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中国商业环境洞察与战略布局</w:t>
            </w:r>
          </w:p>
        </w:tc>
        <w:tc>
          <w:tcPr>
            <w:tcW w:w="665" w:type="dxa"/>
            <w:vAlign w:val="center"/>
          </w:tcPr>
          <w:p>
            <w:pPr>
              <w:widowControl/>
              <w:jc w:val="center"/>
              <w:rPr>
                <w:rFonts w:ascii="宋体" w:hAnsi="宋体"/>
                <w:kern w:val="0"/>
              </w:rPr>
            </w:pPr>
            <w:r>
              <w:rPr>
                <w:rFonts w:hint="eastAsia" w:ascii="宋体" w:hAnsi="宋体"/>
                <w:kern w:val="0"/>
              </w:rPr>
              <w:t>2天</w:t>
            </w:r>
          </w:p>
        </w:tc>
        <w:tc>
          <w:tcPr>
            <w:tcW w:w="1126" w:type="dxa"/>
            <w:vAlign w:val="center"/>
          </w:tcPr>
          <w:p>
            <w:pPr>
              <w:widowControl/>
              <w:jc w:val="center"/>
              <w:rPr>
                <w:rFonts w:hint="default" w:ascii="宋体" w:hAnsi="宋体" w:eastAsia="宋体"/>
                <w:kern w:val="0"/>
                <w:lang w:val="en-US" w:eastAsia="zh-CN"/>
              </w:rPr>
            </w:pPr>
            <w:r>
              <w:rPr>
                <w:rFonts w:hint="eastAsia" w:ascii="宋体" w:hAnsi="宋体"/>
                <w:kern w:val="0"/>
                <w:lang w:val="en-US" w:eastAsia="zh-CN"/>
              </w:rPr>
              <w:t>谈民宪</w:t>
            </w:r>
          </w:p>
          <w:p>
            <w:pPr>
              <w:widowControl/>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69"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模块二</w:t>
            </w:r>
          </w:p>
          <w:p>
            <w:pPr>
              <w:widowControl/>
              <w:jc w:val="center"/>
              <w:rPr>
                <w:rFonts w:ascii="宋体" w:hAnsi="宋体"/>
                <w:b/>
                <w:bCs/>
                <w:kern w:val="0"/>
              </w:rPr>
            </w:pPr>
            <w:r>
              <w:rPr>
                <w:rStyle w:val="9"/>
                <w:rFonts w:hint="eastAsia" w:ascii="微软雅黑" w:hAnsi="微软雅黑" w:eastAsia="微软雅黑" w:cs="微软雅黑"/>
                <w:color w:val="3F3F3F"/>
                <w:sz w:val="24"/>
                <w:szCs w:val="24"/>
                <w:shd w:val="clear" w:color="auto" w:fill="FFFFFF"/>
                <w:vertAlign w:val="baseline"/>
                <w:lang w:val="en-US" w:eastAsia="zh-CN"/>
              </w:rPr>
              <w:t xml:space="preserve">战略新思维：应变与颠覆  </w:t>
            </w:r>
          </w:p>
        </w:tc>
        <w:tc>
          <w:tcPr>
            <w:tcW w:w="4056" w:type="dxa"/>
            <w:vAlign w:val="center"/>
          </w:tcPr>
          <w:p>
            <w:pPr>
              <w:widowControl/>
              <w:jc w:val="left"/>
              <w:rPr>
                <w:rFonts w:hint="eastAsia" w:ascii="宋体" w:hAnsi="宋体"/>
                <w:kern w:val="0"/>
                <w:lang w:val="en-US" w:eastAsia="zh-CN"/>
              </w:rPr>
            </w:pPr>
            <w:r>
              <w:rPr>
                <w:rFonts w:hint="eastAsia" w:ascii="宋体" w:hAnsi="宋体"/>
                <w:kern w:val="0"/>
                <w:lang w:val="en-US" w:eastAsia="zh-CN"/>
              </w:rPr>
              <w:t xml:space="preserve">◆ </w:t>
            </w:r>
            <w:r>
              <w:rPr>
                <w:rFonts w:hint="eastAsia" w:ascii="宋体" w:hAnsi="宋体"/>
                <w:kern w:val="0"/>
              </w:rPr>
              <w:t>战略选择</w:t>
            </w:r>
            <w:r>
              <w:rPr>
                <w:rFonts w:hint="eastAsia" w:ascii="宋体" w:hAnsi="宋体"/>
                <w:kern w:val="0"/>
                <w:lang w:val="en-US" w:eastAsia="zh-CN"/>
              </w:rPr>
              <w:t>与战略决策</w:t>
            </w:r>
          </w:p>
          <w:p>
            <w:pPr>
              <w:widowControl/>
              <w:jc w:val="left"/>
              <w:rPr>
                <w:rFonts w:hint="eastAsia" w:ascii="宋体" w:hAnsi="宋体" w:eastAsia="宋体"/>
                <w:kern w:val="0"/>
                <w:lang w:eastAsia="zh-CN"/>
              </w:rPr>
            </w:pPr>
            <w:r>
              <w:rPr>
                <w:rFonts w:hint="eastAsia" w:ascii="宋体" w:hAnsi="宋体"/>
                <w:kern w:val="0"/>
                <w:lang w:val="en-US" w:eastAsia="zh-CN"/>
              </w:rPr>
              <w:t>◆</w:t>
            </w:r>
            <w:r>
              <w:rPr>
                <w:rFonts w:hint="eastAsia" w:ascii="宋体" w:hAnsi="宋体"/>
                <w:kern w:val="0"/>
              </w:rPr>
              <w:t>战略</w:t>
            </w:r>
            <w:r>
              <w:rPr>
                <w:rFonts w:hint="eastAsia" w:ascii="宋体" w:hAnsi="宋体"/>
                <w:kern w:val="0"/>
                <w:lang w:val="en-US" w:eastAsia="zh-CN"/>
              </w:rPr>
              <w:t>优化的路径</w:t>
            </w:r>
            <w:r>
              <w:rPr>
                <w:rFonts w:hint="eastAsia" w:ascii="宋体" w:hAnsi="宋体"/>
                <w:kern w:val="0"/>
              </w:rPr>
              <w:t>；</w:t>
            </w:r>
          </w:p>
          <w:p>
            <w:pPr>
              <w:widowControl/>
              <w:jc w:val="left"/>
              <w:rPr>
                <w:rFonts w:hint="eastAsia" w:ascii="宋体" w:hAnsi="宋体"/>
                <w:kern w:val="0"/>
              </w:rPr>
            </w:pPr>
            <w:r>
              <w:rPr>
                <w:rFonts w:hint="eastAsia" w:ascii="宋体" w:hAnsi="宋体"/>
                <w:kern w:val="0"/>
                <w:lang w:val="en-US" w:eastAsia="zh-CN"/>
              </w:rPr>
              <w:t>◆</w:t>
            </w:r>
            <w:r>
              <w:rPr>
                <w:rFonts w:hint="eastAsia" w:ascii="宋体" w:hAnsi="宋体"/>
                <w:kern w:val="0"/>
              </w:rPr>
              <w:t>战略创新</w:t>
            </w:r>
            <w:r>
              <w:rPr>
                <w:rFonts w:hint="eastAsia" w:ascii="宋体" w:hAnsi="宋体"/>
                <w:kern w:val="0"/>
                <w:lang w:val="en-US" w:eastAsia="zh-CN"/>
              </w:rPr>
              <w:t>与</w:t>
            </w:r>
            <w:r>
              <w:rPr>
                <w:rFonts w:hint="eastAsia" w:ascii="宋体" w:hAnsi="宋体"/>
                <w:kern w:val="0"/>
              </w:rPr>
              <w:t>集团战略</w:t>
            </w:r>
          </w:p>
          <w:p>
            <w:pPr>
              <w:widowControl/>
              <w:jc w:val="left"/>
              <w:rPr>
                <w:rFonts w:hint="eastAsia" w:ascii="宋体" w:hAnsi="宋体"/>
                <w:kern w:val="0"/>
              </w:rPr>
            </w:pPr>
            <w:r>
              <w:rPr>
                <w:rFonts w:hint="eastAsia" w:ascii="宋体" w:hAnsi="宋体"/>
                <w:kern w:val="0"/>
                <w:lang w:val="en-US" w:eastAsia="zh-CN"/>
              </w:rPr>
              <w:t>◆</w:t>
            </w:r>
            <w:r>
              <w:rPr>
                <w:rFonts w:hint="eastAsia" w:ascii="宋体" w:hAnsi="宋体"/>
                <w:kern w:val="0"/>
              </w:rPr>
              <w:t>战略</w:t>
            </w:r>
            <w:r>
              <w:rPr>
                <w:rFonts w:hint="eastAsia" w:ascii="宋体" w:hAnsi="宋体"/>
                <w:kern w:val="0"/>
                <w:lang w:val="en-US" w:eastAsia="zh-CN"/>
              </w:rPr>
              <w:t>落地的路径</w:t>
            </w:r>
            <w:r>
              <w:rPr>
                <w:rFonts w:hint="eastAsia" w:ascii="宋体" w:hAnsi="宋体"/>
                <w:kern w:val="0"/>
              </w:rPr>
              <w:t>；</w:t>
            </w:r>
          </w:p>
        </w:tc>
        <w:tc>
          <w:tcPr>
            <w:tcW w:w="665" w:type="dxa"/>
            <w:vAlign w:val="center"/>
          </w:tcPr>
          <w:p>
            <w:pPr>
              <w:widowControl/>
              <w:jc w:val="center"/>
              <w:rPr>
                <w:rFonts w:ascii="宋体" w:hAnsi="宋体"/>
                <w:kern w:val="0"/>
              </w:rPr>
            </w:pPr>
            <w:r>
              <w:rPr>
                <w:rFonts w:hint="eastAsia" w:ascii="宋体" w:hAnsi="宋体"/>
                <w:kern w:val="0"/>
              </w:rPr>
              <w:t>2天</w:t>
            </w:r>
          </w:p>
        </w:tc>
        <w:tc>
          <w:tcPr>
            <w:tcW w:w="1126" w:type="dxa"/>
            <w:vAlign w:val="center"/>
          </w:tcPr>
          <w:p>
            <w:pPr>
              <w:widowControl/>
              <w:spacing w:line="360" w:lineRule="auto"/>
              <w:jc w:val="center"/>
              <w:rPr>
                <w:rFonts w:hint="eastAsia" w:ascii="宋体" w:hAnsi="宋体" w:eastAsia="宋体"/>
                <w:kern w:val="0"/>
                <w:lang w:eastAsia="zh-CN"/>
              </w:rPr>
            </w:pPr>
            <w:r>
              <w:rPr>
                <w:rFonts w:hint="eastAsia" w:ascii="宋体" w:hAnsi="宋体"/>
                <w:kern w:val="0"/>
              </w:rPr>
              <w:t>潘  诚</w:t>
            </w:r>
            <w:r>
              <w:rPr>
                <w:rFonts w:hint="eastAsia" w:ascii="宋体" w:hAnsi="宋体"/>
                <w:kern w:val="0"/>
                <w:lang w:val="en-US" w:eastAsia="zh-CN"/>
              </w:rPr>
              <w:t xml:space="preserve"> </w:t>
            </w:r>
          </w:p>
        </w:tc>
      </w:tr>
    </w:tbl>
    <w:tbl>
      <w:tblPr>
        <w:tblStyle w:val="7"/>
        <w:tblpPr w:leftFromText="180" w:rightFromText="180" w:vertAnchor="text" w:tblpX="68" w:tblpY="332"/>
        <w:tblOverlap w:val="never"/>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4044"/>
        <w:gridCol w:w="66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模块三</w:t>
            </w:r>
          </w:p>
          <w:p>
            <w:pPr>
              <w:widowControl/>
              <w:jc w:val="center"/>
              <w:rPr>
                <w:rFonts w:hint="eastAsia" w:ascii="宋体" w:hAnsi="宋体" w:eastAsia="宋体"/>
                <w:b/>
                <w:bCs/>
                <w:kern w:val="0"/>
                <w:lang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企业人力资源管理</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◆组织结构设计与人员配置</w:t>
            </w:r>
          </w:p>
          <w:p>
            <w:pPr>
              <w:widowControl/>
              <w:jc w:val="left"/>
              <w:rPr>
                <w:rFonts w:hint="eastAsia" w:ascii="宋体" w:hAnsi="宋体"/>
                <w:kern w:val="0"/>
                <w:lang w:val="en-US" w:eastAsia="zh-CN"/>
              </w:rPr>
            </w:pPr>
            <w:r>
              <w:rPr>
                <w:rFonts w:hint="eastAsia" w:ascii="宋体" w:hAnsi="宋体"/>
                <w:kern w:val="0"/>
                <w:lang w:val="en-US" w:eastAsia="zh-CN"/>
              </w:rPr>
              <w:t>◆薪酬设计与激励体系的设定</w:t>
            </w:r>
          </w:p>
          <w:p>
            <w:pPr>
              <w:widowControl/>
              <w:jc w:val="left"/>
              <w:rPr>
                <w:rFonts w:hint="eastAsia" w:ascii="宋体" w:hAnsi="宋体"/>
                <w:kern w:val="0"/>
                <w:lang w:val="en-US" w:eastAsia="zh-CN"/>
              </w:rPr>
            </w:pPr>
            <w:r>
              <w:rPr>
                <w:rFonts w:hint="eastAsia" w:ascii="宋体" w:hAnsi="宋体"/>
                <w:kern w:val="0"/>
                <w:lang w:val="en-US" w:eastAsia="zh-CN"/>
              </w:rPr>
              <w:t>◆关键指标设定与绩效实施管理</w:t>
            </w:r>
          </w:p>
          <w:p>
            <w:pPr>
              <w:widowControl/>
              <w:jc w:val="left"/>
              <w:rPr>
                <w:rFonts w:hint="eastAsia" w:ascii="宋体" w:hAnsi="宋体"/>
                <w:kern w:val="0"/>
              </w:rPr>
            </w:pPr>
            <w:r>
              <w:rPr>
                <w:rFonts w:hint="eastAsia" w:ascii="宋体" w:hAnsi="宋体"/>
                <w:kern w:val="0"/>
                <w:lang w:val="en-US" w:eastAsia="zh-CN"/>
              </w:rPr>
              <w:t>◆人力资源选、育、用、留的策略</w:t>
            </w:r>
          </w:p>
        </w:tc>
        <w:tc>
          <w:tcPr>
            <w:tcW w:w="665" w:type="dxa"/>
            <w:vAlign w:val="center"/>
          </w:tcPr>
          <w:p>
            <w:pPr>
              <w:widowControl/>
              <w:jc w:val="center"/>
              <w:rPr>
                <w:rFonts w:hint="default" w:ascii="宋体" w:hAnsi="宋体" w:eastAsia="宋体"/>
                <w:kern w:val="0"/>
                <w:lang w:val="en-US" w:eastAsia="zh-CN"/>
              </w:rPr>
            </w:pPr>
            <w:r>
              <w:rPr>
                <w:rFonts w:hint="eastAsia" w:ascii="宋体" w:hAnsi="宋体"/>
                <w:kern w:val="0"/>
              </w:rPr>
              <w:t>2天</w:t>
            </w:r>
            <w:r>
              <w:rPr>
                <w:rFonts w:hint="eastAsia" w:ascii="宋体" w:hAnsi="宋体"/>
                <w:kern w:val="0"/>
                <w:lang w:val="en-US" w:eastAsia="zh-CN"/>
              </w:rPr>
              <w:t xml:space="preserve"> </w:t>
            </w:r>
          </w:p>
        </w:tc>
        <w:tc>
          <w:tcPr>
            <w:tcW w:w="1125" w:type="dxa"/>
            <w:vAlign w:val="center"/>
          </w:tcPr>
          <w:p>
            <w:pPr>
              <w:widowControl/>
              <w:spacing w:line="360" w:lineRule="auto"/>
              <w:jc w:val="center"/>
              <w:rPr>
                <w:rFonts w:hint="default" w:ascii="宋体" w:hAnsi="宋体" w:eastAsia="宋体"/>
                <w:kern w:val="0"/>
                <w:lang w:val="en-US" w:eastAsia="zh-CN"/>
              </w:rPr>
            </w:pPr>
            <w:r>
              <w:rPr>
                <w:rFonts w:hint="eastAsia" w:ascii="宋体" w:hAnsi="宋体"/>
                <w:kern w:val="0"/>
                <w:lang w:val="en-US" w:eastAsia="zh-CN"/>
              </w:rPr>
              <w:t>丁守海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685" w:type="dxa"/>
            <w:vAlign w:val="center"/>
          </w:tcPr>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模块四</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财务管理与税务筹划</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◆企业财务制度创新与财务报表分析</w:t>
            </w:r>
          </w:p>
          <w:p>
            <w:pPr>
              <w:widowControl/>
              <w:jc w:val="left"/>
              <w:rPr>
                <w:rFonts w:hint="eastAsia" w:ascii="宋体" w:hAnsi="宋体"/>
                <w:kern w:val="0"/>
                <w:lang w:val="en-US" w:eastAsia="zh-CN"/>
              </w:rPr>
            </w:pPr>
            <w:r>
              <w:rPr>
                <w:rFonts w:hint="eastAsia" w:ascii="宋体" w:hAnsi="宋体"/>
                <w:kern w:val="0"/>
                <w:lang w:val="en-US" w:eastAsia="zh-CN"/>
              </w:rPr>
              <w:t>◆企业财务金融创新与价值创造</w:t>
            </w:r>
          </w:p>
          <w:p>
            <w:pPr>
              <w:widowControl/>
              <w:spacing w:line="252" w:lineRule="atLeast"/>
              <w:jc w:val="left"/>
              <w:rPr>
                <w:rFonts w:hint="eastAsia" w:ascii="宋体" w:hAnsi="宋体"/>
                <w:kern w:val="0"/>
                <w:lang w:val="en-US" w:eastAsia="zh-CN"/>
              </w:rPr>
            </w:pPr>
            <w:r>
              <w:rPr>
                <w:rFonts w:hint="eastAsia" w:ascii="宋体" w:hAnsi="宋体"/>
                <w:kern w:val="0"/>
                <w:lang w:val="en-US" w:eastAsia="zh-CN"/>
              </w:rPr>
              <w:t>◆认识涉税风险与纳税筹划</w:t>
            </w:r>
          </w:p>
          <w:p>
            <w:pPr>
              <w:widowControl/>
              <w:jc w:val="left"/>
              <w:rPr>
                <w:rFonts w:hint="eastAsia" w:ascii="宋体" w:hAnsi="宋体"/>
                <w:kern w:val="0"/>
                <w:lang w:val="en-US" w:eastAsia="zh-CN"/>
              </w:rPr>
            </w:pPr>
            <w:r>
              <w:rPr>
                <w:rFonts w:hint="eastAsia" w:ascii="宋体" w:hAnsi="宋体"/>
                <w:kern w:val="0"/>
                <w:lang w:val="en-US" w:eastAsia="zh-CN"/>
              </w:rPr>
              <w:t>◆企业税务筹划要点及案例分析</w:t>
            </w:r>
          </w:p>
        </w:tc>
        <w:tc>
          <w:tcPr>
            <w:tcW w:w="665" w:type="dxa"/>
            <w:vAlign w:val="center"/>
          </w:tcPr>
          <w:p>
            <w:pPr>
              <w:widowControl/>
              <w:jc w:val="center"/>
              <w:rPr>
                <w:rFonts w:hint="default" w:ascii="宋体" w:hAnsi="宋体" w:eastAsia="宋体"/>
                <w:kern w:val="0"/>
                <w:lang w:val="en-US" w:eastAsia="zh-CN"/>
              </w:rPr>
            </w:pPr>
            <w:r>
              <w:rPr>
                <w:rFonts w:hint="eastAsia" w:ascii="宋体" w:hAnsi="宋体"/>
                <w:kern w:val="0"/>
                <w:lang w:val="en-US" w:eastAsia="zh-CN"/>
              </w:rPr>
              <w:t xml:space="preserve">2天 </w:t>
            </w:r>
          </w:p>
        </w:tc>
        <w:tc>
          <w:tcPr>
            <w:tcW w:w="1125" w:type="dxa"/>
            <w:vAlign w:val="center"/>
          </w:tcPr>
          <w:p>
            <w:pPr>
              <w:widowControl/>
              <w:spacing w:line="360" w:lineRule="auto"/>
              <w:jc w:val="center"/>
              <w:rPr>
                <w:rFonts w:hint="default" w:ascii="宋体" w:hAnsi="宋体"/>
                <w:kern w:val="0"/>
                <w:lang w:val="en-US" w:eastAsia="zh-CN"/>
              </w:rPr>
            </w:pPr>
            <w:r>
              <w:rPr>
                <w:rFonts w:hint="eastAsia" w:ascii="宋体" w:hAnsi="宋体"/>
                <w:kern w:val="0"/>
                <w:lang w:val="en-US" w:eastAsia="zh-CN"/>
              </w:rPr>
              <w:t>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模块五</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孙子兵法</w:t>
            </w:r>
          </w:p>
          <w:p>
            <w:pPr>
              <w:widowControl/>
              <w:jc w:val="center"/>
              <w:rPr>
                <w:rFonts w:hint="default" w:ascii="微软雅黑" w:hAnsi="微软雅黑" w:eastAsia="微软雅黑" w:cs="微软雅黑"/>
                <w:b/>
                <w:color w:val="3F3F3F"/>
                <w:kern w:val="2"/>
                <w:sz w:val="24"/>
                <w:szCs w:val="24"/>
                <w:shd w:val="clear" w:color="auto" w:fill="FFFFFF"/>
                <w:vertAlign w:val="baseline"/>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中的领导智慧</w:t>
            </w:r>
          </w:p>
        </w:tc>
        <w:tc>
          <w:tcPr>
            <w:tcW w:w="4044" w:type="dxa"/>
            <w:vAlign w:val="center"/>
          </w:tcPr>
          <w:p>
            <w:pPr>
              <w:widowControl/>
              <w:jc w:val="left"/>
              <w:rPr>
                <w:rFonts w:hint="default" w:ascii="宋体" w:hAnsi="宋体"/>
                <w:kern w:val="0"/>
                <w:lang w:val="en-US" w:eastAsia="zh-CN"/>
              </w:rPr>
            </w:pPr>
            <w:r>
              <w:rPr>
                <w:rFonts w:hint="eastAsia" w:ascii="宋体" w:hAnsi="宋体"/>
                <w:kern w:val="0"/>
                <w:lang w:val="en-US" w:eastAsia="zh-CN"/>
              </w:rPr>
              <w:t>◆孙子兵法13篇解读</w:t>
            </w:r>
          </w:p>
          <w:p>
            <w:pPr>
              <w:widowControl/>
              <w:jc w:val="left"/>
              <w:rPr>
                <w:rFonts w:hint="default" w:ascii="宋体" w:hAnsi="宋体"/>
                <w:kern w:val="0"/>
                <w:lang w:val="en-US" w:eastAsia="zh-CN"/>
              </w:rPr>
            </w:pPr>
            <w:r>
              <w:rPr>
                <w:rFonts w:hint="eastAsia" w:ascii="宋体" w:hAnsi="宋体"/>
                <w:kern w:val="0"/>
                <w:lang w:val="en-US" w:eastAsia="zh-CN"/>
              </w:rPr>
              <w:t xml:space="preserve"> ◆领导智慧</w:t>
            </w:r>
          </w:p>
          <w:p>
            <w:pPr>
              <w:widowControl/>
              <w:jc w:val="left"/>
              <w:rPr>
                <w:rFonts w:hint="default" w:ascii="宋体" w:hAnsi="宋体" w:eastAsia="宋体" w:cs="Times New Roman"/>
                <w:kern w:val="0"/>
                <w:sz w:val="21"/>
                <w:szCs w:val="21"/>
                <w:lang w:val="en-US" w:eastAsia="zh-CN" w:bidi="ar-SA"/>
              </w:rPr>
            </w:pPr>
            <w:r>
              <w:rPr>
                <w:rFonts w:hint="eastAsia" w:ascii="宋体" w:hAnsi="宋体"/>
                <w:kern w:val="0"/>
                <w:lang w:val="en-US" w:eastAsia="zh-CN"/>
              </w:rPr>
              <w:t>◆领导要务</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2天1晚</w:t>
            </w:r>
          </w:p>
        </w:tc>
        <w:tc>
          <w:tcPr>
            <w:tcW w:w="1125" w:type="dxa"/>
            <w:vAlign w:val="center"/>
          </w:tcPr>
          <w:p>
            <w:pPr>
              <w:widowControl/>
              <w:spacing w:line="360" w:lineRule="auto"/>
              <w:jc w:val="center"/>
              <w:rPr>
                <w:rFonts w:hint="default"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赵常乐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模块六</w:t>
            </w:r>
          </w:p>
          <w:p>
            <w:pPr>
              <w:widowControl/>
              <w:jc w:val="center"/>
              <w:rPr>
                <w:rFonts w:hint="default" w:ascii="宋体" w:hAnsi="宋体" w:eastAsia="宋体" w:cs="Times New Roman"/>
                <w:b/>
                <w:bCs/>
                <w:kern w:val="0"/>
                <w:sz w:val="21"/>
                <w:szCs w:val="21"/>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领导力与团队管理</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◆管理科学与领导艺术</w:t>
            </w:r>
          </w:p>
          <w:p>
            <w:pPr>
              <w:widowControl/>
              <w:jc w:val="left"/>
              <w:rPr>
                <w:rFonts w:hint="default" w:ascii="宋体" w:hAnsi="宋体"/>
                <w:kern w:val="0"/>
                <w:lang w:val="en-US" w:eastAsia="zh-CN"/>
              </w:rPr>
            </w:pPr>
            <w:r>
              <w:rPr>
                <w:rFonts w:hint="eastAsia" w:ascii="宋体" w:hAnsi="宋体"/>
                <w:kern w:val="0"/>
                <w:lang w:val="en-US" w:eastAsia="zh-CN"/>
              </w:rPr>
              <w:t>◆领导力与领导艺术</w:t>
            </w:r>
          </w:p>
          <w:p>
            <w:pPr>
              <w:widowControl/>
              <w:jc w:val="left"/>
              <w:rPr>
                <w:rFonts w:hint="eastAsia" w:ascii="宋体" w:hAnsi="宋体"/>
                <w:kern w:val="0"/>
                <w:lang w:val="en-US" w:eastAsia="zh-CN"/>
              </w:rPr>
            </w:pPr>
            <w:r>
              <w:rPr>
                <w:rFonts w:hint="eastAsia" w:ascii="宋体" w:hAnsi="宋体"/>
                <w:kern w:val="0"/>
                <w:lang w:val="en-US" w:eastAsia="zh-CN"/>
              </w:rPr>
              <w:t>◆现代领导者谈用人</w:t>
            </w:r>
          </w:p>
          <w:p>
            <w:pPr>
              <w:widowControl/>
              <w:jc w:val="left"/>
              <w:rPr>
                <w:rFonts w:hint="eastAsia" w:ascii="宋体" w:hAnsi="宋体" w:eastAsia="宋体" w:cs="Times New Roman"/>
                <w:kern w:val="0"/>
                <w:sz w:val="21"/>
                <w:szCs w:val="21"/>
                <w:lang w:val="en-US" w:eastAsia="zh-CN" w:bidi="ar-SA"/>
              </w:rPr>
            </w:pPr>
            <w:r>
              <w:rPr>
                <w:rFonts w:hint="eastAsia" w:ascii="宋体" w:hAnsi="宋体"/>
                <w:kern w:val="0"/>
                <w:lang w:val="en-US" w:eastAsia="zh-CN"/>
              </w:rPr>
              <w:t>◆激励与授权</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rPr>
              <w:t>2天</w:t>
            </w:r>
          </w:p>
        </w:tc>
        <w:tc>
          <w:tcPr>
            <w:tcW w:w="112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董晓明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模块七</w:t>
            </w:r>
          </w:p>
          <w:p>
            <w:pPr>
              <w:widowControl/>
              <w:jc w:val="center"/>
              <w:rPr>
                <w:rFonts w:hint="default" w:ascii="微软雅黑" w:hAnsi="微软雅黑" w:eastAsia="微软雅黑" w:cs="微软雅黑"/>
                <w:b w:val="0"/>
                <w:bCs w:val="0"/>
                <w:color w:val="000000" w:themeColor="text1"/>
                <w:kern w:val="2"/>
                <w:sz w:val="24"/>
                <w:szCs w:val="24"/>
                <w:shd w:val="clear" w:color="auto" w:fill="FFFFFF"/>
                <w:vertAlign w:val="baseline"/>
                <w:lang w:val="en-US" w:eastAsia="zh-CN" w:bidi="ar-SA"/>
                <w14:textFill>
                  <w14:solidFill>
                    <w14:schemeClr w14:val="tx1"/>
                  </w14:solidFill>
                </w14:textFill>
              </w:rPr>
            </w:pPr>
            <w:r>
              <w:rPr>
                <w:rStyle w:val="9"/>
                <w:rFonts w:hint="eastAsia" w:ascii="微软雅黑" w:hAnsi="微软雅黑" w:eastAsia="微软雅黑" w:cs="微软雅黑"/>
                <w:color w:val="3F3F3F"/>
                <w:sz w:val="24"/>
                <w:szCs w:val="24"/>
                <w:shd w:val="clear" w:color="auto" w:fill="FFFFFF"/>
                <w:vertAlign w:val="baseline"/>
                <w:lang w:val="en-US" w:eastAsia="zh-CN"/>
              </w:rPr>
              <w:t>商业新赛道模式设计</w:t>
            </w:r>
          </w:p>
        </w:tc>
        <w:tc>
          <w:tcPr>
            <w:tcW w:w="4044" w:type="dxa"/>
            <w:vAlign w:val="center"/>
          </w:tcPr>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◆企业可持续发展</w:t>
            </w:r>
          </w:p>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◆创新的底层逻辑</w:t>
            </w:r>
          </w:p>
          <w:p>
            <w:pPr>
              <w:widowControl/>
              <w:jc w:val="left"/>
              <w:rPr>
                <w:rFonts w:hint="default" w:ascii="宋体" w:hAnsi="宋体" w:eastAsia="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◆新赛道解构</w:t>
            </w:r>
          </w:p>
          <w:p>
            <w:pPr>
              <w:widowControl/>
              <w:jc w:val="left"/>
              <w:rPr>
                <w:rFonts w:hint="default" w:ascii="宋体" w:hAnsi="宋体"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◆商业模式设计原理</w:t>
            </w:r>
          </w:p>
        </w:tc>
        <w:tc>
          <w:tcPr>
            <w:tcW w:w="66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2天</w:t>
            </w:r>
          </w:p>
        </w:tc>
        <w:tc>
          <w:tcPr>
            <w:tcW w:w="1125" w:type="dxa"/>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cs="Times New Roman"/>
                <w:kern w:val="0"/>
                <w:sz w:val="21"/>
                <w:szCs w:val="21"/>
                <w:lang w:val="en-US" w:eastAsia="zh-CN" w:bidi="ar-SA"/>
              </w:rPr>
              <w:t>李双燕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模块八</w:t>
            </w:r>
          </w:p>
          <w:p>
            <w:pPr>
              <w:widowControl/>
              <w:jc w:val="center"/>
              <w:rPr>
                <w:rFonts w:hint="default" w:ascii="微软雅黑" w:hAnsi="微软雅黑" w:eastAsia="微软雅黑" w:cs="微软雅黑"/>
                <w:b/>
                <w:color w:val="3F3F3F"/>
                <w:kern w:val="2"/>
                <w:sz w:val="24"/>
                <w:szCs w:val="24"/>
                <w:shd w:val="clear" w:color="auto" w:fill="FFFFFF"/>
                <w:vertAlign w:val="baseline"/>
                <w:lang w:val="en-US" w:eastAsia="zh-CN" w:bidi="ar-SA"/>
              </w:rPr>
            </w:pPr>
            <w:r>
              <w:rPr>
                <w:rStyle w:val="9"/>
                <w:rFonts w:hint="eastAsia" w:ascii="微软雅黑" w:hAnsi="微软雅黑" w:eastAsia="微软雅黑" w:cs="微软雅黑"/>
                <w:color w:val="3F3F3F"/>
                <w:sz w:val="24"/>
                <w:szCs w:val="24"/>
                <w:shd w:val="clear" w:color="auto" w:fill="FFFFFF"/>
                <w:vertAlign w:val="baseline"/>
                <w:lang w:val="en-US" w:eastAsia="zh-CN"/>
              </w:rPr>
              <w:t>易经智慧与经营决策</w:t>
            </w: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◆易经起源与五行智慧</w:t>
            </w:r>
          </w:p>
          <w:p>
            <w:pPr>
              <w:widowControl/>
              <w:jc w:val="left"/>
              <w:rPr>
                <w:rFonts w:hint="eastAsia" w:ascii="宋体" w:hAnsi="宋体"/>
                <w:kern w:val="0"/>
                <w:lang w:val="en-US" w:eastAsia="zh-CN"/>
              </w:rPr>
            </w:pPr>
            <w:r>
              <w:rPr>
                <w:rFonts w:hint="eastAsia" w:ascii="宋体" w:hAnsi="宋体"/>
                <w:kern w:val="0"/>
                <w:lang w:val="en-US" w:eastAsia="zh-CN"/>
              </w:rPr>
              <w:t>◆十天干与十二地支</w:t>
            </w:r>
          </w:p>
          <w:p>
            <w:pPr>
              <w:widowControl/>
              <w:jc w:val="left"/>
              <w:rPr>
                <w:rFonts w:hint="default" w:ascii="宋体" w:hAnsi="宋体"/>
                <w:kern w:val="0"/>
                <w:lang w:val="en-US" w:eastAsia="zh-CN"/>
              </w:rPr>
            </w:pPr>
            <w:r>
              <w:rPr>
                <w:rFonts w:hint="eastAsia" w:ascii="宋体" w:hAnsi="宋体"/>
                <w:kern w:val="0"/>
                <w:lang w:val="en-US" w:eastAsia="zh-CN"/>
              </w:rPr>
              <w:t>◆风水原理与现实应用</w:t>
            </w:r>
          </w:p>
          <w:p>
            <w:pPr>
              <w:widowControl/>
              <w:jc w:val="left"/>
              <w:rPr>
                <w:rFonts w:hint="default" w:ascii="宋体" w:hAnsi="宋体" w:eastAsia="宋体" w:cs="Times New Roman"/>
                <w:kern w:val="0"/>
                <w:sz w:val="21"/>
                <w:szCs w:val="21"/>
                <w:lang w:val="en-US" w:eastAsia="zh-CN" w:bidi="ar-SA"/>
              </w:rPr>
            </w:pPr>
            <w:r>
              <w:rPr>
                <w:rFonts w:hint="eastAsia" w:ascii="宋体" w:hAnsi="宋体"/>
                <w:kern w:val="0"/>
                <w:lang w:val="en-US" w:eastAsia="zh-CN"/>
              </w:rPr>
              <w:t>◆易经识人与用人智慧</w:t>
            </w:r>
          </w:p>
        </w:tc>
        <w:tc>
          <w:tcPr>
            <w:tcW w:w="665" w:type="dxa"/>
            <w:vAlign w:val="center"/>
          </w:tcPr>
          <w:p>
            <w:pPr>
              <w:widowControl/>
              <w:jc w:val="center"/>
              <w:rPr>
                <w:rFonts w:ascii="宋体" w:hAnsi="宋体" w:eastAsia="宋体" w:cs="Times New Roman"/>
                <w:kern w:val="0"/>
                <w:sz w:val="21"/>
                <w:szCs w:val="21"/>
                <w:lang w:val="en-US" w:eastAsia="zh-CN" w:bidi="ar-SA"/>
              </w:rPr>
            </w:pPr>
            <w:r>
              <w:rPr>
                <w:rFonts w:hint="eastAsia" w:ascii="宋体" w:hAnsi="宋体"/>
                <w:kern w:val="0"/>
              </w:rPr>
              <w:t>2天</w:t>
            </w:r>
          </w:p>
        </w:tc>
        <w:tc>
          <w:tcPr>
            <w:tcW w:w="1125" w:type="dxa"/>
            <w:vAlign w:val="center"/>
          </w:tcPr>
          <w:p>
            <w:pPr>
              <w:widowControl/>
              <w:spacing w:line="360" w:lineRule="auto"/>
              <w:jc w:val="center"/>
              <w:rPr>
                <w:rFonts w:hint="default" w:ascii="宋体" w:hAnsi="宋体" w:eastAsia="宋体" w:cs="Times New Roman"/>
                <w:kern w:val="0"/>
                <w:sz w:val="21"/>
                <w:szCs w:val="21"/>
                <w:lang w:val="en-US" w:eastAsia="zh-CN" w:bidi="ar-SA"/>
              </w:rPr>
            </w:pPr>
            <w:r>
              <w:rPr>
                <w:rFonts w:hint="eastAsia" w:ascii="宋体" w:hAnsi="宋体"/>
                <w:color w:val="auto"/>
                <w:kern w:val="0"/>
                <w:lang w:val="en-US" w:eastAsia="zh-CN"/>
              </w:rPr>
              <w:t>高长勇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685" w:type="dxa"/>
            <w:vAlign w:val="center"/>
          </w:tcPr>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模块九</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企业危机管理与谈判策略</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w:t>
            </w:r>
          </w:p>
        </w:tc>
        <w:tc>
          <w:tcPr>
            <w:tcW w:w="4044" w:type="dxa"/>
            <w:vAlign w:val="center"/>
          </w:tcPr>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◆什么是企业危机</w:t>
            </w:r>
          </w:p>
          <w:p>
            <w:pPr>
              <w:widowControl/>
              <w:jc w:val="left"/>
              <w:rPr>
                <w:rFonts w:hint="eastAsia"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◆危机的产生</w:t>
            </w:r>
          </w:p>
          <w:p>
            <w:pPr>
              <w:widowControl/>
              <w:jc w:val="left"/>
              <w:rPr>
                <w:rFonts w:hint="default"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◆危机的四大效应</w:t>
            </w:r>
          </w:p>
          <w:p>
            <w:pPr>
              <w:widowControl/>
              <w:jc w:val="left"/>
              <w:rPr>
                <w:rFonts w:hint="default" w:ascii="宋体" w:hAnsi="宋体"/>
                <w:b w:val="0"/>
                <w:bCs w:val="0"/>
                <w:color w:val="000000" w:themeColor="text1"/>
                <w:kern w:val="0"/>
                <w:lang w:val="en-US" w:eastAsia="zh-CN"/>
                <w14:textFill>
                  <w14:solidFill>
                    <w14:schemeClr w14:val="tx1"/>
                  </w14:solidFill>
                </w14:textFill>
              </w:rPr>
            </w:pPr>
            <w:r>
              <w:rPr>
                <w:rFonts w:hint="eastAsia" w:ascii="宋体" w:hAnsi="宋体"/>
                <w:b w:val="0"/>
                <w:bCs w:val="0"/>
                <w:color w:val="000000" w:themeColor="text1"/>
                <w:kern w:val="0"/>
                <w:lang w:val="en-US" w:eastAsia="zh-CN"/>
                <w14:textFill>
                  <w14:solidFill>
                    <w14:schemeClr w14:val="tx1"/>
                  </w14:solidFill>
                </w14:textFill>
              </w:rPr>
              <w:t>◆危机管理5度理论</w:t>
            </w:r>
          </w:p>
        </w:tc>
        <w:tc>
          <w:tcPr>
            <w:tcW w:w="665" w:type="dxa"/>
            <w:vAlign w:val="center"/>
          </w:tcPr>
          <w:p>
            <w:pPr>
              <w:widowControl/>
              <w:jc w:val="center"/>
              <w:rPr>
                <w:rFonts w:hint="default" w:ascii="宋体" w:hAnsi="宋体"/>
                <w:kern w:val="0"/>
                <w:lang w:val="en-US" w:eastAsia="zh-CN"/>
              </w:rPr>
            </w:pPr>
            <w:r>
              <w:rPr>
                <w:rFonts w:hint="eastAsia" w:ascii="宋体" w:hAnsi="宋体"/>
                <w:kern w:val="0"/>
                <w:lang w:val="en-US" w:eastAsia="zh-CN"/>
              </w:rPr>
              <w:t>2天</w:t>
            </w:r>
          </w:p>
        </w:tc>
        <w:tc>
          <w:tcPr>
            <w:tcW w:w="1125" w:type="dxa"/>
            <w:vAlign w:val="center"/>
          </w:tcPr>
          <w:p>
            <w:pPr>
              <w:widowControl/>
              <w:jc w:val="center"/>
              <w:rPr>
                <w:rFonts w:hint="default" w:ascii="宋体" w:hAnsi="宋体"/>
                <w:kern w:val="0"/>
                <w:lang w:val="en-US" w:eastAsia="zh-CN"/>
              </w:rPr>
            </w:pPr>
            <w:r>
              <w:rPr>
                <w:rFonts w:hint="eastAsia" w:ascii="宋体" w:hAnsi="宋体"/>
                <w:kern w:val="0"/>
                <w:lang w:val="en-US" w:eastAsia="zh-CN"/>
              </w:rPr>
              <w:t>艾学姣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85" w:type="dxa"/>
            <w:vAlign w:val="center"/>
          </w:tcPr>
          <w:p>
            <w:pPr>
              <w:widowControl/>
              <w:jc w:val="center"/>
              <w:rPr>
                <w:rStyle w:val="9"/>
                <w:rFonts w:hint="default"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w:t>
            </w:r>
          </w:p>
          <w:p>
            <w:pPr>
              <w:widowControl/>
              <w:jc w:val="center"/>
              <w:rPr>
                <w:rStyle w:val="9"/>
                <w:rFonts w:hint="default"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资本运作与上市</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w:t>
            </w:r>
          </w:p>
        </w:tc>
        <w:tc>
          <w:tcPr>
            <w:tcW w:w="4044" w:type="dxa"/>
            <w:vAlign w:val="center"/>
          </w:tcPr>
          <w:p>
            <w:pPr>
              <w:widowControl/>
              <w:jc w:val="left"/>
              <w:rPr>
                <w:rFonts w:hint="default"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中国金融政策变革与资本市场发展趋势</w:t>
            </w:r>
          </w:p>
          <w:p>
            <w:pPr>
              <w:widowControl/>
              <w:jc w:val="left"/>
              <w:rPr>
                <w:rFonts w:hint="default"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如何理解企业资本价值</w:t>
            </w:r>
            <w:r>
              <w:rPr>
                <w:rFonts w:hint="default" w:ascii="宋体" w:hAnsi="宋体"/>
                <w:kern w:val="0"/>
                <w:lang w:val="en-US" w:eastAsia="zh-CN"/>
              </w:rPr>
              <w:br w:type="textWrapping"/>
            </w:r>
            <w:r>
              <w:rPr>
                <w:rFonts w:hint="eastAsia" w:ascii="宋体" w:hAnsi="宋体"/>
                <w:kern w:val="0"/>
                <w:lang w:val="en-US" w:eastAsia="zh-CN"/>
              </w:rPr>
              <w:t>◆</w:t>
            </w:r>
            <w:r>
              <w:rPr>
                <w:rFonts w:hint="default" w:ascii="宋体" w:hAnsi="宋体"/>
                <w:kern w:val="0"/>
                <w:lang w:val="en-US" w:eastAsia="zh-CN"/>
              </w:rPr>
              <w:t>如何塑造企业资本价值</w:t>
            </w:r>
          </w:p>
          <w:p>
            <w:pPr>
              <w:widowControl/>
              <w:jc w:val="left"/>
              <w:rPr>
                <w:rFonts w:hint="eastAsia" w:ascii="宋体" w:hAnsi="宋体"/>
                <w:kern w:val="0"/>
                <w:lang w:val="en-US" w:eastAsia="zh-CN"/>
              </w:rPr>
            </w:pPr>
            <w:r>
              <w:rPr>
                <w:rFonts w:hint="eastAsia" w:ascii="宋体" w:hAnsi="宋体"/>
                <w:kern w:val="0"/>
                <w:lang w:val="en-US" w:eastAsia="zh-CN"/>
              </w:rPr>
              <w:t>◆</w:t>
            </w:r>
            <w:r>
              <w:rPr>
                <w:rFonts w:hint="default" w:ascii="宋体" w:hAnsi="宋体"/>
                <w:kern w:val="0"/>
                <w:lang w:val="en-US" w:eastAsia="zh-CN"/>
              </w:rPr>
              <w:t>新兴产业的资本模式的创新</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default" w:ascii="宋体" w:hAnsi="宋体"/>
                <w:kern w:val="0"/>
                <w:lang w:val="en-US" w:eastAsia="zh-CN"/>
              </w:rPr>
            </w:pPr>
            <w:r>
              <w:rPr>
                <w:rFonts w:hint="eastAsia" w:ascii="宋体" w:hAnsi="宋体"/>
                <w:kern w:val="0"/>
                <w:lang w:val="en-US" w:eastAsia="zh-CN"/>
              </w:rPr>
              <w:t>赵梓鉴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模块十一</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企业并购与重组</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◆企业并购重组的内涵、类型及驱动力</w:t>
            </w:r>
          </w:p>
          <w:p>
            <w:pPr>
              <w:widowControl/>
              <w:jc w:val="left"/>
              <w:rPr>
                <w:rFonts w:hint="eastAsia" w:ascii="宋体" w:hAnsi="宋体"/>
                <w:kern w:val="0"/>
                <w:lang w:val="en-US" w:eastAsia="zh-CN"/>
              </w:rPr>
            </w:pPr>
            <w:r>
              <w:rPr>
                <w:rFonts w:hint="eastAsia" w:ascii="宋体" w:hAnsi="宋体"/>
                <w:kern w:val="0"/>
                <w:lang w:val="en-US" w:eastAsia="zh-CN"/>
              </w:rPr>
              <w:t>◆资本市场与资源配置</w:t>
            </w:r>
          </w:p>
          <w:p>
            <w:pPr>
              <w:widowControl/>
              <w:jc w:val="left"/>
              <w:rPr>
                <w:rFonts w:hint="default" w:ascii="宋体" w:hAnsi="宋体"/>
                <w:kern w:val="0"/>
                <w:lang w:val="en-US" w:eastAsia="zh-CN"/>
              </w:rPr>
            </w:pPr>
            <w:r>
              <w:rPr>
                <w:rFonts w:hint="eastAsia" w:ascii="宋体" w:hAnsi="宋体"/>
                <w:kern w:val="0"/>
                <w:lang w:val="en-US" w:eastAsia="zh-CN"/>
              </w:rPr>
              <w:t>◆资产收购与股权收购</w:t>
            </w:r>
          </w:p>
          <w:p>
            <w:pPr>
              <w:widowControl/>
              <w:jc w:val="left"/>
              <w:rPr>
                <w:rFonts w:hint="eastAsia" w:ascii="宋体" w:hAnsi="宋体"/>
                <w:kern w:val="0"/>
                <w:lang w:val="en-US" w:eastAsia="zh-CN"/>
              </w:rPr>
            </w:pPr>
            <w:r>
              <w:rPr>
                <w:rFonts w:hint="eastAsia" w:ascii="宋体" w:hAnsi="宋体"/>
                <w:kern w:val="0"/>
                <w:lang w:val="en-US" w:eastAsia="zh-CN"/>
              </w:rPr>
              <w:t>◆并购估值运用与风控</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 xml:space="preserve">吴梓镜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685" w:type="dxa"/>
            <w:vAlign w:val="center"/>
          </w:tcPr>
          <w:p>
            <w:pPr>
              <w:widowControl/>
              <w:jc w:val="center"/>
              <w:rPr>
                <w:rStyle w:val="9"/>
                <w:rFonts w:hint="eastAsia" w:ascii="微软雅黑" w:hAnsi="微软雅黑" w:eastAsia="微软雅黑" w:cs="微软雅黑"/>
                <w:b w:val="0"/>
                <w:bCs/>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模块十二</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金融衍生品分析与投资</w:t>
            </w: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b w:val="0"/>
                <w:bCs/>
                <w:color w:val="3F3F3F"/>
                <w:sz w:val="24"/>
                <w:szCs w:val="24"/>
                <w:shd w:val="clear" w:color="auto" w:fill="FFFFFF"/>
                <w:vertAlign w:val="baseline"/>
                <w:lang w:val="en-US" w:eastAsia="zh-CN"/>
              </w:rPr>
              <w:t xml:space="preserve"> </w:t>
            </w:r>
          </w:p>
        </w:tc>
        <w:tc>
          <w:tcPr>
            <w:tcW w:w="4044" w:type="dxa"/>
            <w:vAlign w:val="center"/>
          </w:tcPr>
          <w:p>
            <w:pPr>
              <w:widowControl/>
              <w:jc w:val="left"/>
              <w:rPr>
                <w:rFonts w:hint="eastAsia" w:ascii="宋体" w:hAnsi="宋体"/>
                <w:kern w:val="0"/>
                <w:lang w:val="en-US" w:eastAsia="zh-CN"/>
              </w:rPr>
            </w:pPr>
            <w:r>
              <w:rPr>
                <w:rFonts w:hint="eastAsia" w:ascii="宋体" w:hAnsi="宋体"/>
                <w:kern w:val="0"/>
                <w:lang w:val="en-US" w:eastAsia="zh-CN"/>
              </w:rPr>
              <w:t>◆全球金融衍生品的发展</w:t>
            </w:r>
          </w:p>
          <w:p>
            <w:pPr>
              <w:widowControl/>
              <w:jc w:val="left"/>
              <w:rPr>
                <w:rFonts w:hint="eastAsia" w:ascii="宋体" w:hAnsi="宋体"/>
                <w:kern w:val="0"/>
                <w:lang w:val="en-US" w:eastAsia="zh-CN"/>
              </w:rPr>
            </w:pPr>
            <w:r>
              <w:rPr>
                <w:rFonts w:hint="eastAsia" w:ascii="宋体" w:hAnsi="宋体"/>
                <w:kern w:val="0"/>
                <w:lang w:val="en-US" w:eastAsia="zh-CN"/>
              </w:rPr>
              <w:t>◆中国金融衍生品的发展及展望</w:t>
            </w:r>
          </w:p>
          <w:p>
            <w:pPr>
              <w:widowControl/>
              <w:jc w:val="left"/>
              <w:rPr>
                <w:rFonts w:hint="eastAsia" w:ascii="宋体" w:hAnsi="宋体"/>
                <w:kern w:val="0"/>
                <w:lang w:val="en-US" w:eastAsia="zh-CN"/>
              </w:rPr>
            </w:pPr>
            <w:r>
              <w:rPr>
                <w:rFonts w:hint="eastAsia" w:ascii="宋体" w:hAnsi="宋体"/>
                <w:kern w:val="0"/>
                <w:lang w:val="en-US" w:eastAsia="zh-CN"/>
              </w:rPr>
              <w:t>◆风险管控技术</w:t>
            </w:r>
          </w:p>
        </w:tc>
        <w:tc>
          <w:tcPr>
            <w:tcW w:w="665" w:type="dxa"/>
            <w:vAlign w:val="center"/>
          </w:tcPr>
          <w:p>
            <w:pPr>
              <w:widowControl/>
              <w:jc w:val="center"/>
              <w:rPr>
                <w:rFonts w:hint="eastAsia" w:ascii="宋体" w:hAnsi="宋体"/>
                <w:kern w:val="0"/>
              </w:rPr>
            </w:pPr>
            <w:r>
              <w:rPr>
                <w:rFonts w:hint="eastAsia" w:ascii="宋体" w:hAnsi="宋体"/>
                <w:kern w:val="0"/>
              </w:rPr>
              <w:t>2天</w:t>
            </w:r>
          </w:p>
        </w:tc>
        <w:tc>
          <w:tcPr>
            <w:tcW w:w="1125" w:type="dxa"/>
            <w:vAlign w:val="center"/>
          </w:tcPr>
          <w:p>
            <w:pPr>
              <w:widowControl/>
              <w:spacing w:line="360" w:lineRule="auto"/>
              <w:jc w:val="center"/>
              <w:rPr>
                <w:rFonts w:hint="eastAsia" w:ascii="宋体" w:hAnsi="宋体"/>
                <w:kern w:val="0"/>
                <w:lang w:val="en-US" w:eastAsia="zh-CN"/>
              </w:rPr>
            </w:pPr>
            <w:r>
              <w:rPr>
                <w:rFonts w:hint="eastAsia" w:ascii="宋体" w:hAnsi="宋体"/>
                <w:kern w:val="0"/>
                <w:lang w:val="en-US" w:eastAsia="zh-CN"/>
              </w:rPr>
              <w:t>庞红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8519" w:type="dxa"/>
            <w:gridSpan w:val="4"/>
            <w:vAlign w:val="center"/>
          </w:tcPr>
          <w:p>
            <w:pPr>
              <w:widowControl/>
              <w:jc w:val="center"/>
              <w:rPr>
                <w:rFonts w:hint="eastAsia" w:ascii="宋体" w:hAnsi="宋体"/>
                <w:kern w:val="0"/>
                <w:lang w:val="en-US" w:eastAsia="zh-CN"/>
              </w:rPr>
            </w:pPr>
            <w:r>
              <w:rPr>
                <w:rFonts w:hint="eastAsia" w:ascii="方正正中黑简体" w:hAnsi="方正正中黑简体"/>
                <w:b/>
                <w:bCs/>
                <w:color w:val="FF0000"/>
                <w:sz w:val="28"/>
                <w:szCs w:val="28"/>
              </w:rPr>
              <w:t>增值服务</w:t>
            </w:r>
            <w:r>
              <w:rPr>
                <w:rFonts w:hint="eastAsia" w:ascii="方正正中黑简体" w:hAnsi="方正正中黑简体"/>
                <w:color w:val="auto"/>
                <w:sz w:val="28"/>
                <w:szCs w:val="28"/>
                <w:lang w:val="en-US" w:eastAsia="zh-CN"/>
              </w:rPr>
              <w:t>（部分增值服务内容费用需自理）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标杆游学</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华为、腾讯、阿里巴巴、</w:t>
            </w:r>
          </w:p>
          <w:p>
            <w:pPr>
              <w:jc w:val="center"/>
              <w:rPr>
                <w:rFonts w:hint="eastAsia" w:ascii="方正正中黑简体" w:hAnsi="方正正中黑简体"/>
                <w:color w:val="auto"/>
              </w:rPr>
            </w:pPr>
            <w:r>
              <w:rPr>
                <w:rFonts w:hint="eastAsia" w:ascii="方正正中黑简体" w:hAnsi="方正正中黑简体"/>
                <w:color w:val="auto"/>
                <w:lang w:val="en-US" w:eastAsia="zh-CN"/>
              </w:rPr>
              <w:t>海康威视</w:t>
            </w:r>
            <w:r>
              <w:rPr>
                <w:rFonts w:hint="eastAsia" w:ascii="方正正中黑简体" w:hAnsi="方正正中黑简体"/>
                <w:color w:val="auto"/>
              </w:rPr>
              <w:t>、</w:t>
            </w:r>
            <w:r>
              <w:rPr>
                <w:rFonts w:hint="eastAsia" w:ascii="方正正中黑简体" w:hAnsi="方正正中黑简体"/>
                <w:color w:val="auto"/>
                <w:lang w:val="en-US" w:eastAsia="zh-CN"/>
              </w:rPr>
              <w:t>京东</w:t>
            </w:r>
            <w:r>
              <w:rPr>
                <w:rFonts w:hint="eastAsia" w:ascii="方正正中黑简体" w:hAnsi="方正正中黑简体"/>
                <w:color w:val="auto"/>
              </w:rPr>
              <w:t>、</w:t>
            </w:r>
            <w:r>
              <w:rPr>
                <w:rFonts w:hint="eastAsia" w:ascii="方正正中黑简体" w:hAnsi="方正正中黑简体"/>
                <w:color w:val="auto"/>
                <w:lang w:val="en-US" w:eastAsia="zh-CN"/>
              </w:rPr>
              <w:t>大疆</w:t>
            </w:r>
            <w:r>
              <w:rPr>
                <w:rFonts w:hint="eastAsia" w:ascii="方正正中黑简体" w:hAnsi="方正正中黑简体"/>
                <w:color w:val="auto"/>
              </w:rPr>
              <w:t>、</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rPr>
              <w:t>格力、比亚迪、海尔</w:t>
            </w:r>
            <w:r>
              <w:rPr>
                <w:rFonts w:hint="eastAsia" w:ascii="方正正中黑简体" w:hAnsi="方正正中黑简体"/>
                <w:color w:val="auto"/>
                <w:lang w:val="en-US" w:eastAsia="zh-CN"/>
              </w:rPr>
              <w:t>集团</w:t>
            </w:r>
            <w:r>
              <w:rPr>
                <w:rFonts w:hint="eastAsia" w:ascii="方正正中黑简体" w:hAnsi="方正正中黑简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高峰论坛</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年度中央经济工作会议精神解读分享会</w:t>
            </w:r>
          </w:p>
          <w:p>
            <w:pPr>
              <w:jc w:val="center"/>
              <w:rPr>
                <w:rFonts w:hint="eastAsia" w:ascii="方正正中黑简体" w:hAnsi="方正正中黑简体"/>
                <w:color w:val="auto"/>
              </w:rPr>
            </w:pPr>
            <w:r>
              <w:rPr>
                <w:rFonts w:hint="eastAsia" w:ascii="方正正中黑简体" w:hAnsi="方正正中黑简体"/>
                <w:color w:val="auto"/>
              </w:rPr>
              <w:t>区域企业相关政策法规解读</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lang w:val="en-US" w:eastAsia="zh-CN"/>
              </w:rPr>
              <w:t>项目路演</w:t>
            </w:r>
            <w:r>
              <w:rPr>
                <w:rFonts w:hint="eastAsia" w:ascii="方正正中黑简体" w:hAnsi="方正正中黑简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2685" w:type="dxa"/>
            <w:vAlign w:val="center"/>
          </w:tcPr>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p>
          <w:p>
            <w:pPr>
              <w:widowControl/>
              <w:jc w:val="center"/>
              <w:rPr>
                <w:rStyle w:val="9"/>
                <w:rFonts w:hint="eastAsia" w:ascii="微软雅黑" w:hAnsi="微软雅黑" w:eastAsia="微软雅黑" w:cs="微软雅黑"/>
                <w:color w:val="3F3F3F"/>
                <w:sz w:val="24"/>
                <w:szCs w:val="24"/>
                <w:shd w:val="clear" w:color="auto" w:fill="FFFFFF"/>
                <w:vertAlign w:val="baseline"/>
                <w:lang w:val="en-US" w:eastAsia="zh-CN"/>
              </w:rPr>
            </w:pPr>
            <w:r>
              <w:rPr>
                <w:rStyle w:val="9"/>
                <w:rFonts w:hint="eastAsia" w:ascii="微软雅黑" w:hAnsi="微软雅黑" w:eastAsia="微软雅黑" w:cs="微软雅黑"/>
                <w:color w:val="3F3F3F"/>
                <w:sz w:val="24"/>
                <w:szCs w:val="24"/>
                <w:shd w:val="clear" w:color="auto" w:fill="FFFFFF"/>
                <w:vertAlign w:val="baseline"/>
                <w:lang w:val="en-US" w:eastAsia="zh-CN"/>
              </w:rPr>
              <w:t>咨询辅导</w:t>
            </w:r>
          </w:p>
        </w:tc>
        <w:tc>
          <w:tcPr>
            <w:tcW w:w="5834" w:type="dxa"/>
            <w:gridSpan w:val="3"/>
            <w:vAlign w:val="center"/>
          </w:tcPr>
          <w:p>
            <w:pPr>
              <w:jc w:val="center"/>
              <w:rPr>
                <w:rFonts w:hint="eastAsia" w:ascii="方正正中黑简体" w:hAnsi="方正正中黑简体"/>
                <w:color w:val="auto"/>
              </w:rPr>
            </w:pPr>
            <w:r>
              <w:rPr>
                <w:rFonts w:hint="eastAsia" w:ascii="方正正中黑简体" w:hAnsi="方正正中黑简体"/>
                <w:color w:val="auto"/>
              </w:rPr>
              <w:t>商业模式设计   品牌打造落</w:t>
            </w:r>
            <w:r>
              <w:rPr>
                <w:rFonts w:hint="eastAsia" w:ascii="方正正中黑简体" w:hAnsi="方正正中黑简体"/>
                <w:color w:val="auto"/>
                <w:lang w:val="en-US" w:eastAsia="zh-CN"/>
              </w:rPr>
              <w:t xml:space="preserve">   </w:t>
            </w:r>
            <w:r>
              <w:rPr>
                <w:rFonts w:hint="eastAsia" w:ascii="方正正中黑简体" w:hAnsi="方正正中黑简体"/>
                <w:color w:val="auto"/>
              </w:rPr>
              <w:t xml:space="preserve">地股权激励辅导  </w:t>
            </w:r>
          </w:p>
          <w:p>
            <w:pPr>
              <w:jc w:val="center"/>
              <w:rPr>
                <w:rFonts w:hint="eastAsia" w:ascii="方正正中黑简体" w:hAnsi="方正正中黑简体"/>
                <w:color w:val="auto"/>
              </w:rPr>
            </w:pPr>
            <w:r>
              <w:rPr>
                <w:rFonts w:hint="eastAsia" w:ascii="方正正中黑简体" w:hAnsi="方正正中黑简体"/>
                <w:color w:val="auto"/>
              </w:rPr>
              <w:t xml:space="preserve"> 营销服务</w:t>
            </w:r>
            <w:r>
              <w:rPr>
                <w:rFonts w:hint="eastAsia" w:ascii="方正正中黑简体" w:hAnsi="方正正中黑简体"/>
                <w:color w:val="auto"/>
                <w:lang w:val="en-US" w:eastAsia="zh-CN"/>
              </w:rPr>
              <w:t xml:space="preserve">      </w:t>
            </w:r>
            <w:r>
              <w:rPr>
                <w:rFonts w:hint="eastAsia" w:ascii="方正正中黑简体" w:hAnsi="方正正中黑简体"/>
                <w:color w:val="auto"/>
              </w:rPr>
              <w:t>税务筹划       组织系统梳理等</w:t>
            </w:r>
          </w:p>
          <w:p>
            <w:pPr>
              <w:widowControl/>
              <w:spacing w:line="360" w:lineRule="auto"/>
              <w:jc w:val="center"/>
              <w:rPr>
                <w:rFonts w:hint="eastAsia" w:ascii="宋体" w:hAnsi="宋体"/>
                <w:kern w:val="0"/>
                <w:lang w:val="en-US" w:eastAsia="zh-CN"/>
              </w:rPr>
            </w:pPr>
            <w:r>
              <w:rPr>
                <w:rFonts w:hint="eastAsia" w:ascii="方正正中黑简体" w:hAnsi="方正正中黑简体"/>
                <w:color w:val="auto"/>
                <w:lang w:val="en-US" w:eastAsia="zh-CN"/>
              </w:rPr>
              <w:t xml:space="preserve">绩效考核  </w:t>
            </w:r>
            <w:r>
              <w:rPr>
                <w:rFonts w:hint="eastAsia" w:ascii="方正正中黑简体" w:hAnsi="方正正中黑简体"/>
                <w:color w:val="auto"/>
              </w:rPr>
              <w:t>阿米巴经营模式的导入</w:t>
            </w:r>
            <w:r>
              <w:rPr>
                <w:rFonts w:hint="eastAsia" w:ascii="方正正中黑简体" w:hAnsi="方正正中黑简体"/>
                <w:color w:val="auto"/>
                <w:lang w:val="en-US" w:eastAsia="zh-CN"/>
              </w:rPr>
              <w:t xml:space="preserve">  企业数字化转型</w:t>
            </w:r>
          </w:p>
        </w:tc>
      </w:tr>
    </w:tbl>
    <w:p>
      <w:pPr>
        <w:pStyle w:val="4"/>
        <w:widowControl/>
        <w:shd w:val="clear" w:color="auto" w:fill="FFFFFF"/>
        <w:rPr>
          <w:rFonts w:ascii="方正正中黑简体" w:hAnsi="方正正中黑简体"/>
          <w:b/>
          <w:bCs/>
        </w:rPr>
      </w:pPr>
      <w:r>
        <w:rPr>
          <w:rFonts w:ascii="华文楷体" w:hAnsi="华文楷体" w:eastAsia="华文楷体" w:cs="仿宋"/>
          <w:color w:val="333333"/>
          <w:shd w:val="clear" w:color="auto" w:fill="FFFFFF"/>
        </w:rPr>
        <w:t>（注：以上部分课程可能会根据相应情况进行微调）</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【部分拟邀导师】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Cs/>
          <w:sz w:val="24"/>
          <w:szCs w:val="24"/>
        </w:rPr>
      </w:pPr>
      <w:r>
        <w:rPr>
          <w:rFonts w:hint="eastAsia" w:ascii="宋体" w:hAnsi="宋体" w:cs="宋体"/>
          <w:b/>
          <w:sz w:val="24"/>
          <w:szCs w:val="24"/>
          <w:lang w:val="en-US" w:eastAsia="zh-CN"/>
        </w:rPr>
        <w:t>谈民宪</w:t>
      </w:r>
      <w:r>
        <w:rPr>
          <w:rFonts w:hint="eastAsia" w:ascii="宋体" w:hAnsi="宋体" w:cs="宋体"/>
          <w:b/>
          <w:sz w:val="24"/>
          <w:szCs w:val="24"/>
        </w:rPr>
        <w:t>：</w:t>
      </w:r>
      <w:r>
        <w:rPr>
          <w:rFonts w:hint="eastAsia" w:ascii="宋体" w:hAnsi="宋体" w:cs="宋体"/>
          <w:bCs/>
          <w:sz w:val="24"/>
          <w:szCs w:val="24"/>
        </w:rPr>
        <w:t>著名经济学家，曾任西安交通大学党校副校长、教授，西安交大经济研究所所长，全国最受欢迎的百佳教授，陕西省决策咨询委员会委员，中国东西部经济研究院专家。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Cs/>
          <w:sz w:val="24"/>
          <w:szCs w:val="24"/>
        </w:rPr>
      </w:pPr>
      <w:r>
        <w:rPr>
          <w:rFonts w:hint="eastAsia" w:ascii="宋体" w:hAnsi="宋体" w:cs="宋体"/>
          <w:b/>
          <w:sz w:val="24"/>
          <w:szCs w:val="24"/>
        </w:rPr>
        <w:t>潘</w:t>
      </w:r>
      <w:r>
        <w:rPr>
          <w:rFonts w:hint="eastAsia" w:ascii="宋体" w:hAnsi="宋体" w:cs="宋体"/>
          <w:b/>
          <w:sz w:val="24"/>
          <w:szCs w:val="24"/>
          <w:lang w:val="en-US" w:eastAsia="zh-CN"/>
        </w:rPr>
        <w:t xml:space="preserve">  </w:t>
      </w:r>
      <w:r>
        <w:rPr>
          <w:rFonts w:hint="eastAsia" w:ascii="宋体" w:hAnsi="宋体" w:cs="宋体"/>
          <w:b/>
          <w:sz w:val="24"/>
          <w:szCs w:val="24"/>
        </w:rPr>
        <w:t>诚：</w:t>
      </w:r>
      <w:r>
        <w:rPr>
          <w:rFonts w:hint="eastAsia" w:ascii="宋体" w:hAnsi="宋体" w:cs="宋体"/>
          <w:bCs/>
          <w:sz w:val="24"/>
          <w:szCs w:val="24"/>
        </w:rPr>
        <w:t>战略管理与企业文化专家，教授，多年大型企业高管经历、大道博一管理咨询公司董事长，致力问题研究、文化观察、思想传播、方案设计。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lang w:eastAsia="zh-CN"/>
        </w:rPr>
      </w:pPr>
      <w:r>
        <w:rPr>
          <w:rFonts w:hint="eastAsia" w:ascii="宋体" w:hAnsi="宋体" w:cs="宋体"/>
          <w:b/>
          <w:sz w:val="24"/>
          <w:szCs w:val="24"/>
        </w:rPr>
        <w:t>丁守海：</w:t>
      </w:r>
      <w:r>
        <w:rPr>
          <w:rFonts w:hint="eastAsia" w:ascii="宋体" w:hAnsi="宋体" w:cs="宋体"/>
          <w:bCs/>
          <w:sz w:val="24"/>
          <w:szCs w:val="24"/>
        </w:rPr>
        <w:t>中国人民大学经济学院教授、博士生导师；中国人民大学国民经济管理系副主任；曾任深圳华为技术有限公司市场部和人力资源部高管</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cs="宋体"/>
          <w:bCs/>
          <w:sz w:val="24"/>
          <w:szCs w:val="24"/>
        </w:rPr>
      </w:pPr>
      <w:r>
        <w:rPr>
          <w:rFonts w:hint="eastAsia" w:ascii="宋体" w:hAnsi="宋体" w:cs="宋体"/>
          <w:b/>
          <w:sz w:val="24"/>
          <w:szCs w:val="24"/>
          <w:lang w:val="en-US" w:eastAsia="zh-CN"/>
        </w:rPr>
        <w:t>郭  伟：</w:t>
      </w:r>
      <w:r>
        <w:rPr>
          <w:rFonts w:ascii="微软雅黑" w:hAnsi="微软雅黑" w:eastAsia="微软雅黑" w:cs="微软雅黑"/>
          <w:i w:val="0"/>
          <w:iCs w:val="0"/>
          <w:caps w:val="0"/>
          <w:color w:val="666666"/>
          <w:spacing w:val="0"/>
          <w:sz w:val="19"/>
          <w:szCs w:val="19"/>
          <w:shd w:val="clear" w:fill="FFFFFF"/>
        </w:rPr>
        <w:t>：</w:t>
      </w:r>
      <w:r>
        <w:rPr>
          <w:rFonts w:hint="eastAsia" w:ascii="宋体" w:hAnsi="宋体" w:cs="宋体"/>
          <w:bCs/>
          <w:sz w:val="24"/>
          <w:szCs w:val="24"/>
        </w:rPr>
        <w:t>国内著名税务争议解决与危机处理专家，拥有多家大型企业、跨国公司的服务经验。参与中国注册税务师行业十一五规划、税务顾问、税务筹划等业务准则的起草。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Cs/>
          <w:sz w:val="24"/>
          <w:szCs w:val="24"/>
          <w:lang w:val="en-US" w:eastAsia="zh-CN"/>
        </w:rPr>
      </w:pPr>
      <w:r>
        <w:rPr>
          <w:rFonts w:hint="eastAsia" w:ascii="宋体" w:hAnsi="宋体" w:cs="宋体"/>
          <w:b/>
          <w:sz w:val="24"/>
          <w:szCs w:val="24"/>
          <w:lang w:val="en-US" w:eastAsia="zh-CN"/>
        </w:rPr>
        <w:t>赵常乐</w:t>
      </w:r>
      <w:r>
        <w:rPr>
          <w:rFonts w:hint="eastAsia" w:ascii="宋体" w:hAnsi="宋体" w:cs="Times New Roman"/>
          <w:kern w:val="0"/>
          <w:sz w:val="21"/>
          <w:szCs w:val="21"/>
          <w:lang w:val="en-US" w:eastAsia="zh-CN" w:bidi="ar-SA"/>
        </w:rPr>
        <w:t>：</w:t>
      </w:r>
      <w:r>
        <w:rPr>
          <w:rFonts w:hint="eastAsia" w:ascii="宋体" w:hAnsi="宋体" w:cs="宋体"/>
          <w:bCs/>
          <w:sz w:val="24"/>
          <w:szCs w:val="24"/>
        </w:rPr>
        <w:t>中国孙子兵法研究院秘书长、  </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"https://baike.so.com/doc/845213-893738.html" \t "https://baike.so.com/doc/_blank" </w:instrText>
      </w:r>
      <w:r>
        <w:rPr>
          <w:rFonts w:hint="default" w:ascii="宋体" w:hAnsi="宋体" w:cs="宋体"/>
          <w:bCs/>
          <w:sz w:val="24"/>
          <w:szCs w:val="24"/>
        </w:rPr>
        <w:fldChar w:fldCharType="separate"/>
      </w:r>
      <w:r>
        <w:rPr>
          <w:rFonts w:hint="default" w:ascii="宋体" w:hAnsi="宋体" w:cs="宋体"/>
          <w:bCs/>
          <w:sz w:val="24"/>
          <w:szCs w:val="24"/>
        </w:rPr>
        <w:t>北京大学</w:t>
      </w:r>
      <w:r>
        <w:rPr>
          <w:rFonts w:hint="default" w:ascii="宋体" w:hAnsi="宋体" w:cs="宋体"/>
          <w:bCs/>
          <w:sz w:val="24"/>
          <w:szCs w:val="24"/>
        </w:rPr>
        <w:fldChar w:fldCharType="end"/>
      </w:r>
      <w:r>
        <w:rPr>
          <w:rFonts w:hint="default" w:ascii="宋体" w:hAnsi="宋体" w:cs="宋体"/>
          <w:bCs/>
          <w:sz w:val="24"/>
          <w:szCs w:val="24"/>
        </w:rPr>
        <w:t>总裁班特聘培训师、清华大学总裁班特聘培训师、新希望集团特聘首席企业文化顾问</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Cs/>
          <w:sz w:val="24"/>
          <w:szCs w:val="24"/>
          <w:lang w:val="en-US" w:eastAsia="zh-CN"/>
        </w:rPr>
      </w:pPr>
      <w:r>
        <w:rPr>
          <w:rFonts w:hint="eastAsia" w:ascii="宋体" w:hAnsi="宋体" w:cs="宋体"/>
          <w:b/>
          <w:sz w:val="24"/>
          <w:szCs w:val="24"/>
          <w:lang w:val="en-US" w:eastAsia="zh-CN"/>
        </w:rPr>
        <w:t>董晓明</w:t>
      </w:r>
      <w:r>
        <w:rPr>
          <w:rFonts w:hint="eastAsia" w:ascii="宋体" w:hAnsi="宋体" w:cs="Times New Roman"/>
          <w:kern w:val="0"/>
          <w:sz w:val="21"/>
          <w:szCs w:val="21"/>
          <w:lang w:val="en-US" w:eastAsia="zh-CN" w:bidi="ar-SA"/>
        </w:rPr>
        <w:t>：</w:t>
      </w:r>
      <w:r>
        <w:rPr>
          <w:rFonts w:hint="eastAsia" w:ascii="宋体" w:hAnsi="宋体" w:cs="宋体"/>
          <w:bCs/>
          <w:sz w:val="24"/>
          <w:szCs w:val="24"/>
        </w:rPr>
        <w:t>湖南大学专业学位硕士研究生校外导师、湖南大学工商管理学院EDP中心领导力系列课程高级职业讲师，湖南大学工商管理硕士，电子科技大学管理学博士研究生</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4"/>
          <w:szCs w:val="24"/>
          <w:lang w:val="en-US" w:eastAsia="zh-CN"/>
        </w:rPr>
      </w:pPr>
      <w:r>
        <w:rPr>
          <w:rFonts w:hint="eastAsia" w:ascii="宋体" w:hAnsi="宋体" w:cs="Times New Roman"/>
          <w:kern w:val="0"/>
          <w:sz w:val="21"/>
          <w:szCs w:val="21"/>
          <w:lang w:val="en-US" w:eastAsia="zh-CN" w:bidi="ar-SA"/>
        </w:rPr>
        <w:t xml:space="preserve"> </w:t>
      </w:r>
      <w:r>
        <w:rPr>
          <w:rFonts w:hint="eastAsia" w:ascii="宋体" w:hAnsi="宋体" w:cs="宋体"/>
          <w:b/>
          <w:sz w:val="24"/>
          <w:szCs w:val="24"/>
          <w:lang w:val="en-US" w:eastAsia="zh-CN"/>
        </w:rPr>
        <w:t>高长勇</w:t>
      </w:r>
      <w:r>
        <w:rPr>
          <w:rFonts w:hint="eastAsia" w:ascii="宋体" w:hAnsi="宋体" w:cs="宋体"/>
          <w:bCs/>
          <w:sz w:val="24"/>
          <w:szCs w:val="24"/>
          <w:lang w:val="en-US" w:eastAsia="zh-CN"/>
        </w:rPr>
        <w:t>：</w:t>
      </w:r>
      <w:r>
        <w:rPr>
          <w:rFonts w:hint="eastAsia" w:ascii="宋体" w:hAnsi="宋体" w:cs="宋体"/>
          <w:bCs/>
          <w:sz w:val="24"/>
          <w:szCs w:val="24"/>
        </w:rPr>
        <w:t>中国人民大学特聘教授</w:t>
      </w:r>
      <w:r>
        <w:rPr>
          <w:rFonts w:hint="eastAsia" w:ascii="宋体" w:hAnsi="宋体" w:cs="宋体"/>
          <w:bCs/>
          <w:sz w:val="24"/>
          <w:szCs w:val="24"/>
          <w:lang w:eastAsia="zh-CN"/>
        </w:rPr>
        <w:t>，</w:t>
      </w:r>
      <w:r>
        <w:rPr>
          <w:rFonts w:hint="eastAsia" w:ascii="宋体" w:hAnsi="宋体" w:cs="宋体"/>
          <w:bCs/>
          <w:sz w:val="24"/>
          <w:szCs w:val="24"/>
        </w:rPr>
        <w:t>清华大学、北京大学总裁班特聘讲</w:t>
      </w:r>
      <w:r>
        <w:rPr>
          <w:rFonts w:hint="eastAsia" w:ascii="宋体" w:hAnsi="宋体" w:cs="宋体"/>
          <w:bCs/>
          <w:sz w:val="24"/>
          <w:szCs w:val="24"/>
          <w:lang w:eastAsia="zh-CN"/>
        </w:rPr>
        <w:t>，</w:t>
      </w:r>
      <w:r>
        <w:rPr>
          <w:rFonts w:hint="eastAsia" w:ascii="宋体" w:hAnsi="宋体" w:cs="宋体"/>
          <w:bCs/>
          <w:sz w:val="24"/>
          <w:szCs w:val="24"/>
        </w:rPr>
        <w:t>企业五行系统创始人</w:t>
      </w:r>
      <w:r>
        <w:rPr>
          <w:rFonts w:hint="eastAsia" w:ascii="宋体" w:hAnsi="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kern w:val="0"/>
          <w:lang w:val="en-US" w:eastAsia="zh-CN"/>
        </w:rPr>
      </w:pPr>
      <w:r>
        <w:rPr>
          <w:rFonts w:hint="eastAsia" w:ascii="宋体" w:hAnsi="宋体" w:cs="宋体"/>
          <w:b/>
          <w:sz w:val="24"/>
          <w:szCs w:val="24"/>
          <w:lang w:val="en-US" w:eastAsia="zh-CN"/>
        </w:rPr>
        <w:t>艾学姣</w:t>
      </w:r>
      <w:r>
        <w:rPr>
          <w:rFonts w:hint="eastAsia" w:ascii="宋体" w:hAnsi="宋体"/>
          <w:kern w:val="0"/>
          <w:lang w:val="en-US" w:eastAsia="zh-CN"/>
        </w:rPr>
        <w:t>：</w:t>
      </w:r>
      <w:r>
        <w:rPr>
          <w:rFonts w:hint="eastAsia" w:ascii="宋体" w:hAnsi="宋体" w:cs="宋体"/>
          <w:bCs/>
          <w:sz w:val="24"/>
          <w:szCs w:val="24"/>
        </w:rPr>
        <w:t>管理学博士、著名危机管理专家，中国危机管理切割理论与以危化危理论创始人、北京大学、清华大学、中国人民大学等国内多所著名大学EMBA班主讲教授，被国内十余所院校评为最受欢迎的老师之一，多家中央媒体特邀评论员，多年来担任多家央企、大型商业银行和</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"https://baike.so.com/doc/1144062-1210286.html" \t "https://baike.so.com/doc/_blank" </w:instrText>
      </w:r>
      <w:r>
        <w:rPr>
          <w:rFonts w:hint="default" w:ascii="宋体" w:hAnsi="宋体" w:cs="宋体"/>
          <w:bCs/>
          <w:sz w:val="24"/>
          <w:szCs w:val="24"/>
        </w:rPr>
        <w:fldChar w:fldCharType="separate"/>
      </w:r>
      <w:r>
        <w:rPr>
          <w:rFonts w:hint="default" w:ascii="宋体" w:hAnsi="宋体" w:cs="宋体"/>
          <w:bCs/>
          <w:sz w:val="24"/>
          <w:szCs w:val="24"/>
        </w:rPr>
        <w:t>政府危机管理</w:t>
      </w:r>
      <w:r>
        <w:rPr>
          <w:rFonts w:hint="default" w:ascii="宋体" w:hAnsi="宋体" w:cs="宋体"/>
          <w:bCs/>
          <w:sz w:val="24"/>
          <w:szCs w:val="24"/>
        </w:rPr>
        <w:fldChar w:fldCharType="end"/>
      </w:r>
      <w:r>
        <w:rPr>
          <w:rFonts w:hint="default" w:ascii="宋体" w:hAnsi="宋体" w:cs="宋体"/>
          <w:bCs/>
          <w:sz w:val="24"/>
          <w:szCs w:val="24"/>
        </w:rPr>
        <w:t>顾问，</w:t>
      </w:r>
      <w:r>
        <w:rPr>
          <w:rFonts w:hint="default" w:ascii="宋体" w:hAnsi="宋体" w:cs="宋体"/>
          <w:bCs/>
          <w:sz w:val="24"/>
          <w:szCs w:val="24"/>
        </w:rPr>
        <w:fldChar w:fldCharType="begin"/>
      </w:r>
      <w:r>
        <w:rPr>
          <w:rFonts w:hint="default" w:ascii="宋体" w:hAnsi="宋体" w:cs="宋体"/>
          <w:bCs/>
          <w:sz w:val="24"/>
          <w:szCs w:val="24"/>
        </w:rPr>
        <w:instrText xml:space="preserve"> HYPERLINK "https://baike.so.com/doc/282681-299283.html" \t "https://baike.so.com/doc/_blank" </w:instrText>
      </w:r>
      <w:r>
        <w:rPr>
          <w:rFonts w:hint="default" w:ascii="宋体" w:hAnsi="宋体" w:cs="宋体"/>
          <w:bCs/>
          <w:sz w:val="24"/>
          <w:szCs w:val="24"/>
        </w:rPr>
        <w:fldChar w:fldCharType="separate"/>
      </w:r>
      <w:r>
        <w:rPr>
          <w:rFonts w:hint="default" w:ascii="宋体" w:hAnsi="宋体" w:cs="宋体"/>
          <w:bCs/>
          <w:sz w:val="24"/>
          <w:szCs w:val="24"/>
        </w:rPr>
        <w:t>中国摄影家协会</w:t>
      </w:r>
      <w:r>
        <w:rPr>
          <w:rFonts w:hint="default" w:ascii="宋体" w:hAnsi="宋体" w:cs="宋体"/>
          <w:bCs/>
          <w:sz w:val="24"/>
          <w:szCs w:val="24"/>
        </w:rPr>
        <w:fldChar w:fldCharType="end"/>
      </w:r>
      <w:r>
        <w:rPr>
          <w:rFonts w:hint="default" w:ascii="宋体" w:hAnsi="宋体" w:cs="宋体"/>
          <w:bCs/>
          <w:sz w:val="24"/>
          <w:szCs w:val="24"/>
        </w:rPr>
        <w:t>会员。</w:t>
      </w:r>
    </w:p>
    <w:p>
      <w:pPr>
        <w:pStyle w:val="5"/>
        <w:keepNext w:val="0"/>
        <w:keepLines w:val="0"/>
        <w:widowControl/>
        <w:suppressLineNumbers w:val="0"/>
        <w:shd w:val="clear" w:fill="FFFFFF"/>
        <w:spacing w:before="0" w:beforeAutospacing="0" w:after="120" w:afterAutospacing="0"/>
        <w:ind w:left="0" w:right="0" w:firstLine="482" w:firstLineChars="200"/>
        <w:rPr>
          <w:rFonts w:hint="default" w:ascii="Arial" w:hAnsi="Arial" w:eastAsia="宋体" w:cs="Arial"/>
          <w:kern w:val="2"/>
          <w:sz w:val="24"/>
          <w:szCs w:val="24"/>
          <w:shd w:val="clear" w:color="auto" w:fill="FFFFFF"/>
          <w:lang w:val="en-US" w:eastAsia="zh-CN" w:bidi="ar-SA"/>
        </w:rPr>
      </w:pPr>
      <w:r>
        <w:rPr>
          <w:rFonts w:hint="eastAsia" w:ascii="宋体" w:hAnsi="宋体" w:cs="宋体"/>
          <w:b/>
          <w:bCs w:val="0"/>
          <w:sz w:val="24"/>
          <w:szCs w:val="24"/>
          <w:lang w:val="en-US" w:eastAsia="zh-CN"/>
        </w:rPr>
        <w:t xml:space="preserve"> </w:t>
      </w:r>
      <w:r>
        <w:rPr>
          <w:rFonts w:hint="eastAsia" w:ascii="宋体" w:hAnsi="宋体" w:cs="宋体"/>
          <w:b/>
          <w:sz w:val="24"/>
          <w:szCs w:val="24"/>
          <w:lang w:val="en-US" w:eastAsia="zh-CN"/>
        </w:rPr>
        <w:t>吴梓境</w:t>
      </w:r>
      <w:r>
        <w:rPr>
          <w:rFonts w:hint="eastAsia" w:ascii="宋体" w:hAnsi="宋体" w:cs="宋体"/>
          <w:b/>
          <w:kern w:val="2"/>
          <w:sz w:val="24"/>
          <w:szCs w:val="24"/>
          <w:lang w:val="en-US" w:eastAsia="zh-CN" w:bidi="ar-SA"/>
        </w:rPr>
        <w:t>：</w:t>
      </w:r>
      <w:r>
        <w:rPr>
          <w:rFonts w:hint="eastAsia" w:ascii="Arial" w:hAnsi="Arial" w:eastAsia="宋体" w:cs="Arial"/>
          <w:kern w:val="2"/>
          <w:sz w:val="24"/>
          <w:szCs w:val="24"/>
          <w:shd w:val="clear" w:color="auto" w:fill="FFFFFF"/>
          <w:lang w:val="en-US" w:eastAsia="zh-CN" w:bidi="ar-SA"/>
        </w:rPr>
        <w:t>资本运营实战专家</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北京师范大学博士</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北京大学总裁班高级讲师</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共享资本高级合伙人</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资本模式理论（CMT）创始人</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十多年金融行业经验、实操近百个资本运营项目</w:t>
      </w:r>
      <w:r>
        <w:rPr>
          <w:rFonts w:hint="eastAsia" w:ascii="Arial" w:hAnsi="Arial" w:cs="Arial"/>
          <w:kern w:val="2"/>
          <w:sz w:val="24"/>
          <w:szCs w:val="24"/>
          <w:shd w:val="clear" w:color="auto" w:fill="FFFFFF"/>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Arial" w:hAnsi="Arial" w:eastAsia="宋体" w:cs="Arial"/>
          <w:kern w:val="2"/>
          <w:sz w:val="24"/>
          <w:szCs w:val="24"/>
          <w:shd w:val="clear" w:color="auto" w:fill="FFFFFF"/>
          <w:lang w:val="en-US" w:eastAsia="zh-CN" w:bidi="ar-SA"/>
        </w:rPr>
      </w:pPr>
      <w:r>
        <w:rPr>
          <w:rFonts w:hint="eastAsia" w:ascii="宋体" w:hAnsi="宋体" w:cs="宋体"/>
          <w:b/>
          <w:sz w:val="24"/>
          <w:szCs w:val="24"/>
          <w:lang w:val="en-US" w:eastAsia="zh-CN"/>
        </w:rPr>
        <w:t>庞  红：</w:t>
      </w:r>
      <w:r>
        <w:rPr>
          <w:rFonts w:hint="eastAsia" w:ascii="Arial" w:hAnsi="Arial" w:eastAsia="宋体" w:cs="Arial"/>
          <w:kern w:val="2"/>
          <w:sz w:val="24"/>
          <w:szCs w:val="24"/>
          <w:shd w:val="clear" w:color="auto" w:fill="FFFFFF"/>
          <w:lang w:val="en-US" w:eastAsia="zh-CN" w:bidi="ar-SA"/>
        </w:rPr>
        <w:t>中国人大财政金融学院教授</w:t>
      </w:r>
      <w:r>
        <w:rPr>
          <w:rFonts w:hint="eastAsia" w:ascii="Arial" w:hAnsi="Arial" w:cs="Arial"/>
          <w:kern w:val="2"/>
          <w:sz w:val="24"/>
          <w:szCs w:val="24"/>
          <w:shd w:val="clear" w:color="auto" w:fill="FFFFFF"/>
          <w:lang w:val="en-US" w:eastAsia="zh-CN" w:bidi="ar-SA"/>
        </w:rPr>
        <w:t>，</w:t>
      </w:r>
      <w:r>
        <w:rPr>
          <w:rFonts w:hint="eastAsia" w:ascii="Arial" w:hAnsi="Arial" w:eastAsia="宋体" w:cs="Arial"/>
          <w:kern w:val="2"/>
          <w:sz w:val="24"/>
          <w:szCs w:val="24"/>
          <w:shd w:val="clear" w:color="auto" w:fill="FFFFFF"/>
          <w:lang w:val="en-US" w:eastAsia="zh-CN" w:bidi="ar-SA"/>
        </w:rPr>
        <w:t>清华金融MBA特聘教授，北京经济学院金融高管培训特聘教授，西交大EMBA特聘教授，中原银行独立董事，国家职业技能鉴定专家委员会理财规划师专业委员会专家委员。</w:t>
      </w:r>
    </w:p>
    <w:p>
      <w:pPr>
        <w:ind w:left="141" w:hanging="161" w:hangingChars="50"/>
        <w:rPr>
          <w:rStyle w:val="9"/>
          <w:rFonts w:hint="eastAsia" w:ascii="Calibri" w:hAnsi="Calibri" w:eastAsia="楷体" w:cs="Calibri"/>
          <w:color w:val="9C0000"/>
          <w:sz w:val="32"/>
          <w:szCs w:val="32"/>
          <w:shd w:val="clear" w:color="auto" w:fill="FFFFFF"/>
          <w:lang w:val="en-US" w:eastAsia="zh-CN"/>
        </w:rPr>
      </w:pPr>
      <w:r>
        <w:rPr>
          <w:rStyle w:val="9"/>
          <w:rFonts w:hint="eastAsia" w:ascii="Calibri" w:hAnsi="Calibri" w:eastAsia="楷体" w:cs="Calibri"/>
          <w:color w:val="9C0000"/>
          <w:sz w:val="32"/>
          <w:szCs w:val="32"/>
          <w:shd w:val="clear" w:color="auto" w:fill="FFFFFF"/>
          <w:lang w:val="en-US" w:eastAsia="zh-CN"/>
        </w:rPr>
        <w:t>【招生报名】</w:t>
      </w:r>
    </w:p>
    <w:p>
      <w:pPr>
        <w:ind w:left="141" w:hanging="161" w:hangingChars="50"/>
        <w:rPr>
          <w:rStyle w:val="9"/>
          <w:rFonts w:hint="eastAsia" w:ascii="Calibri" w:hAnsi="Calibri" w:eastAsia="楷体" w:cs="Calibri"/>
          <w:color w:val="9C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Style w:val="9"/>
          <w:rFonts w:hint="eastAsia" w:ascii="仿宋" w:hAnsi="仿宋" w:eastAsia="仿宋" w:cs="仿宋"/>
          <w:color w:val="000000"/>
          <w:sz w:val="28"/>
          <w:szCs w:val="28"/>
        </w:rPr>
      </w:pPr>
      <w:r>
        <w:rPr>
          <w:rStyle w:val="9"/>
          <w:rFonts w:hint="eastAsia" w:ascii="仿宋" w:hAnsi="仿宋" w:eastAsia="仿宋" w:cs="仿宋"/>
          <w:color w:val="000000"/>
          <w:sz w:val="28"/>
          <w:szCs w:val="28"/>
        </w:rPr>
        <w:t>招生对象：</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eastAsia="zh-CN"/>
        </w:rPr>
      </w:pPr>
      <w:r>
        <w:rPr>
          <w:rFonts w:hint="eastAsia" w:ascii="宋体" w:hAnsi="宋体" w:cs="宋体"/>
          <w:kern w:val="2"/>
          <w:sz w:val="24"/>
          <w:szCs w:val="24"/>
          <w:lang w:val="en-US" w:eastAsia="zh-CN"/>
        </w:rPr>
        <w:t>个人</w:t>
      </w:r>
      <w:r>
        <w:rPr>
          <w:rFonts w:hint="eastAsia" w:ascii="宋体" w:hAnsi="宋体" w:cs="宋体"/>
          <w:kern w:val="2"/>
          <w:sz w:val="24"/>
          <w:szCs w:val="24"/>
        </w:rPr>
        <w:t>投资者、公司董事长、执行董事、控股股东、成长型企业负责人等</w:t>
      </w:r>
      <w:r>
        <w:rPr>
          <w:rFonts w:hint="eastAsia" w:ascii="宋体" w:hAnsi="宋体" w:cs="宋体"/>
          <w:kern w:val="2"/>
          <w:sz w:val="24"/>
          <w:szCs w:val="24"/>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企业年营业2000万以上，总资产5000万以上；</w:t>
      </w: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kern w:val="2"/>
          <w:sz w:val="24"/>
          <w:szCs w:val="24"/>
          <w:lang w:val="en-US" w:eastAsia="zh-CN"/>
        </w:rPr>
      </w:pPr>
      <w:r>
        <w:rPr>
          <w:rFonts w:hint="eastAsia" w:ascii="宋体" w:hAnsi="宋体" w:cs="宋体"/>
          <w:kern w:val="2"/>
          <w:sz w:val="24"/>
          <w:szCs w:val="24"/>
          <w:lang w:val="en-US" w:eastAsia="zh-CN"/>
        </w:rPr>
        <w:t>管理经验3年及以上。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学制学时</w:t>
      </w:r>
      <w:r>
        <w:rPr>
          <w:rStyle w:val="9"/>
          <w:rFonts w:hint="eastAsia" w:ascii="仿宋" w:hAnsi="仿宋" w:eastAsia="仿宋" w:cs="仿宋"/>
          <w:color w:val="000000"/>
        </w:rPr>
        <w:t>：</w:t>
      </w:r>
      <w:r>
        <w:rPr>
          <w:rFonts w:hint="eastAsia" w:ascii="宋体" w:hAnsi="宋体" w:eastAsia="宋体" w:cs="宋体"/>
          <w:kern w:val="2"/>
          <w:sz w:val="24"/>
          <w:szCs w:val="24"/>
          <w:lang w:val="en-US" w:eastAsia="zh-CN" w:bidi="ar-SA"/>
        </w:rPr>
        <w:t>学制1</w:t>
      </w: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个月</w:t>
      </w:r>
      <w:r>
        <w:rPr>
          <w:rFonts w:hint="eastAsia" w:ascii="宋体" w:hAnsi="宋体" w:cs="宋体"/>
          <w:kern w:val="2"/>
          <w:sz w:val="24"/>
          <w:szCs w:val="24"/>
          <w:lang w:val="en-US" w:eastAsia="zh-CN" w:bidi="ar-SA"/>
        </w:rPr>
        <w:t xml:space="preserve"> </w:t>
      </w:r>
      <w:r>
        <w:rPr>
          <w:rFonts w:hint="eastAsia" w:ascii="宋体" w:hAnsi="宋体" w:eastAsia="宋体" w:cs="宋体"/>
          <w:kern w:val="2"/>
          <w:sz w:val="24"/>
          <w:szCs w:val="24"/>
          <w:lang w:val="en-US" w:eastAsia="zh-CN" w:bidi="ar-SA"/>
        </w:rPr>
        <w:t>，每月集中2天(周六、周日)授课，12门核心课程，循环上课。</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课程时间</w:t>
      </w:r>
      <w:r>
        <w:rPr>
          <w:rFonts w:hint="eastAsia" w:ascii="仿宋" w:hAnsi="仿宋" w:eastAsia="仿宋" w:cs="仿宋"/>
          <w:color w:val="000000"/>
          <w:lang w:val="en-US" w:eastAsia="zh-CN"/>
        </w:rPr>
        <w:t>：</w:t>
      </w:r>
      <w:r>
        <w:rPr>
          <w:rFonts w:hint="eastAsia" w:ascii="宋体" w:hAnsi="宋体" w:eastAsia="宋体" w:cs="宋体"/>
          <w:kern w:val="2"/>
          <w:sz w:val="24"/>
          <w:szCs w:val="24"/>
          <w:lang w:val="en-US" w:eastAsia="zh-CN" w:bidi="ar-SA"/>
        </w:rPr>
        <w:t>上午：09：00—12：00、下午：14：00—17：00。</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kern w:val="2"/>
          <w:sz w:val="24"/>
          <w:szCs w:val="24"/>
          <w:lang w:val="en-US" w:eastAsia="zh-CN" w:bidi="ar-SA"/>
        </w:rPr>
      </w:pPr>
      <w:r>
        <w:rPr>
          <w:rStyle w:val="9"/>
          <w:rFonts w:hint="eastAsia" w:ascii="仿宋" w:hAnsi="仿宋" w:eastAsia="仿宋" w:cs="仿宋"/>
          <w:color w:val="000000"/>
          <w:kern w:val="2"/>
          <w:sz w:val="28"/>
          <w:szCs w:val="28"/>
          <w:lang w:val="en-US" w:eastAsia="zh-CN" w:bidi="ar-SA"/>
        </w:rPr>
        <w:t xml:space="preserve"> 授课地点</w:t>
      </w:r>
      <w:r>
        <w:rPr>
          <w:rFonts w:hint="eastAsia" w:ascii="仿宋" w:hAnsi="仿宋" w:eastAsia="仿宋" w:cs="仿宋"/>
          <w:color w:val="000000"/>
        </w:rPr>
        <w:t>：</w:t>
      </w:r>
      <w:r>
        <w:rPr>
          <w:rFonts w:hint="eastAsia" w:ascii="宋体" w:hAnsi="宋体" w:eastAsia="宋体" w:cs="宋体"/>
          <w:kern w:val="2"/>
          <w:sz w:val="24"/>
          <w:szCs w:val="24"/>
          <w:lang w:val="en-US" w:eastAsia="zh-CN" w:bidi="ar-SA"/>
        </w:rPr>
        <w:t>郑州</w:t>
      </w:r>
    </w:p>
    <w:p>
      <w:pPr>
        <w:pStyle w:val="5"/>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sz w:val="24"/>
          <w:szCs w:val="24"/>
          <w:lang w:val="en-US" w:eastAsia="zh-CN"/>
        </w:rPr>
      </w:pPr>
      <w:r>
        <w:rPr>
          <w:rStyle w:val="9"/>
          <w:rFonts w:hint="eastAsia" w:ascii="仿宋" w:hAnsi="仿宋" w:eastAsia="仿宋" w:cs="仿宋"/>
          <w:color w:val="000000"/>
          <w:kern w:val="2"/>
          <w:sz w:val="28"/>
          <w:szCs w:val="28"/>
          <w:lang w:val="en-US" w:eastAsia="zh-CN" w:bidi="ar-SA"/>
        </w:rPr>
        <w:t>学   费</w:t>
      </w:r>
      <w:r>
        <w:rPr>
          <w:rFonts w:hint="eastAsia" w:ascii="仿宋" w:hAnsi="仿宋" w:eastAsia="仿宋" w:cs="仿宋"/>
          <w:color w:val="000000"/>
        </w:rPr>
        <w:t>：</w:t>
      </w:r>
      <w:bookmarkStart w:id="0" w:name="_GoBack"/>
      <w:r>
        <w:rPr>
          <w:rFonts w:hint="eastAsia" w:ascii="宋体" w:hAnsi="宋体" w:cs="宋体"/>
          <w:kern w:val="2"/>
          <w:sz w:val="24"/>
          <w:szCs w:val="24"/>
          <w:lang w:val="en-US" w:eastAsia="zh-CN" w:bidi="ar-SA"/>
        </w:rPr>
        <w:t>42</w:t>
      </w:r>
      <w:r>
        <w:rPr>
          <w:rFonts w:hint="eastAsia" w:ascii="宋体" w:hAnsi="宋体" w:eastAsia="宋体" w:cs="宋体"/>
          <w:kern w:val="2"/>
          <w:sz w:val="24"/>
          <w:szCs w:val="24"/>
          <w:lang w:val="en-US" w:eastAsia="zh-CN" w:bidi="ar-SA"/>
        </w:rPr>
        <w:t>800</w:t>
      </w:r>
      <w:bookmarkEnd w:id="0"/>
      <w:r>
        <w:rPr>
          <w:rFonts w:hint="eastAsia" w:ascii="宋体" w:hAnsi="宋体" w:eastAsia="宋体" w:cs="宋体"/>
          <w:kern w:val="2"/>
          <w:sz w:val="24"/>
          <w:szCs w:val="24"/>
          <w:lang w:val="en-US" w:eastAsia="zh-CN" w:bidi="ar-SA"/>
        </w:rPr>
        <w:t>元/人，包括授课费、讲义资料费、茶点费用等（餐费、住宿费、交通费及游学期间的其他费用自理）</w:t>
      </w:r>
    </w:p>
    <w:sectPr>
      <w:head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正中黑简体">
    <w:altName w:val="黑体"/>
    <w:panose1 w:val="02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97990"/>
    <w:multiLevelType w:val="singleLevel"/>
    <w:tmpl w:val="0BE9799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0OTE2MDYzMjExNWM2ODljMDE1ZjA2OGRkMDZlYzMifQ=="/>
  </w:docVars>
  <w:rsids>
    <w:rsidRoot w:val="00CD3632"/>
    <w:rsid w:val="00005BCC"/>
    <w:rsid w:val="00020299"/>
    <w:rsid w:val="00035422"/>
    <w:rsid w:val="00041B53"/>
    <w:rsid w:val="000A0132"/>
    <w:rsid w:val="000A0FE3"/>
    <w:rsid w:val="000A43F6"/>
    <w:rsid w:val="000D2258"/>
    <w:rsid w:val="000E6DA9"/>
    <w:rsid w:val="00171AE3"/>
    <w:rsid w:val="0019063D"/>
    <w:rsid w:val="001A0577"/>
    <w:rsid w:val="00216139"/>
    <w:rsid w:val="00223B11"/>
    <w:rsid w:val="0022611A"/>
    <w:rsid w:val="00294B46"/>
    <w:rsid w:val="0037144E"/>
    <w:rsid w:val="00417C96"/>
    <w:rsid w:val="00457845"/>
    <w:rsid w:val="00475E7B"/>
    <w:rsid w:val="00490156"/>
    <w:rsid w:val="004E4FF8"/>
    <w:rsid w:val="004F4A2E"/>
    <w:rsid w:val="00527DA5"/>
    <w:rsid w:val="005437F0"/>
    <w:rsid w:val="00544738"/>
    <w:rsid w:val="00571445"/>
    <w:rsid w:val="00582147"/>
    <w:rsid w:val="005B0ACE"/>
    <w:rsid w:val="005C2079"/>
    <w:rsid w:val="00623558"/>
    <w:rsid w:val="0068355B"/>
    <w:rsid w:val="0069419E"/>
    <w:rsid w:val="006A19A9"/>
    <w:rsid w:val="006A32C1"/>
    <w:rsid w:val="006C35E2"/>
    <w:rsid w:val="00731778"/>
    <w:rsid w:val="00741261"/>
    <w:rsid w:val="00750FA1"/>
    <w:rsid w:val="0078426B"/>
    <w:rsid w:val="007E1927"/>
    <w:rsid w:val="00814301"/>
    <w:rsid w:val="008171F1"/>
    <w:rsid w:val="008203F2"/>
    <w:rsid w:val="008C7001"/>
    <w:rsid w:val="00937A2A"/>
    <w:rsid w:val="00990429"/>
    <w:rsid w:val="009E2C53"/>
    <w:rsid w:val="00A1305F"/>
    <w:rsid w:val="00A258FE"/>
    <w:rsid w:val="00A32DA7"/>
    <w:rsid w:val="00A43700"/>
    <w:rsid w:val="00B11B40"/>
    <w:rsid w:val="00BE7740"/>
    <w:rsid w:val="00C56BB6"/>
    <w:rsid w:val="00C716D0"/>
    <w:rsid w:val="00C9492E"/>
    <w:rsid w:val="00CA0378"/>
    <w:rsid w:val="00CA3632"/>
    <w:rsid w:val="00CD02D0"/>
    <w:rsid w:val="00CD3632"/>
    <w:rsid w:val="00CF4041"/>
    <w:rsid w:val="00D22501"/>
    <w:rsid w:val="00D33F8A"/>
    <w:rsid w:val="00D651DF"/>
    <w:rsid w:val="00D81CEB"/>
    <w:rsid w:val="00DC4674"/>
    <w:rsid w:val="00DE1D98"/>
    <w:rsid w:val="00E066B3"/>
    <w:rsid w:val="00E155D9"/>
    <w:rsid w:val="00E765CD"/>
    <w:rsid w:val="00E805A5"/>
    <w:rsid w:val="00E9696A"/>
    <w:rsid w:val="00EC1333"/>
    <w:rsid w:val="00EE7912"/>
    <w:rsid w:val="00F00C38"/>
    <w:rsid w:val="00F52AE9"/>
    <w:rsid w:val="00FA2CD4"/>
    <w:rsid w:val="00FB197C"/>
    <w:rsid w:val="00FC3A43"/>
    <w:rsid w:val="01170FC1"/>
    <w:rsid w:val="016A1030"/>
    <w:rsid w:val="01CA5E71"/>
    <w:rsid w:val="033943CF"/>
    <w:rsid w:val="034E54DA"/>
    <w:rsid w:val="03F325EA"/>
    <w:rsid w:val="05C50DC4"/>
    <w:rsid w:val="062067FE"/>
    <w:rsid w:val="06CF515C"/>
    <w:rsid w:val="09237387"/>
    <w:rsid w:val="09AB14FD"/>
    <w:rsid w:val="0A093E11"/>
    <w:rsid w:val="0A184D0A"/>
    <w:rsid w:val="0A766F3D"/>
    <w:rsid w:val="0A9C7448"/>
    <w:rsid w:val="0AB91F23"/>
    <w:rsid w:val="0B425E44"/>
    <w:rsid w:val="0BD20CDE"/>
    <w:rsid w:val="0BE275C5"/>
    <w:rsid w:val="0CAA5073"/>
    <w:rsid w:val="0D29648F"/>
    <w:rsid w:val="0D2D298E"/>
    <w:rsid w:val="0D575867"/>
    <w:rsid w:val="0D735301"/>
    <w:rsid w:val="0EC875A7"/>
    <w:rsid w:val="0EFC1F90"/>
    <w:rsid w:val="0F672675"/>
    <w:rsid w:val="0FEF43D3"/>
    <w:rsid w:val="10FE1E1E"/>
    <w:rsid w:val="110B75D2"/>
    <w:rsid w:val="118D219F"/>
    <w:rsid w:val="11FD2289"/>
    <w:rsid w:val="12123010"/>
    <w:rsid w:val="125A04DF"/>
    <w:rsid w:val="12650C6F"/>
    <w:rsid w:val="131A299F"/>
    <w:rsid w:val="140A78B5"/>
    <w:rsid w:val="146A1656"/>
    <w:rsid w:val="14B63009"/>
    <w:rsid w:val="14D3081F"/>
    <w:rsid w:val="15C01502"/>
    <w:rsid w:val="15C51EE4"/>
    <w:rsid w:val="16243845"/>
    <w:rsid w:val="16A4440B"/>
    <w:rsid w:val="16CB3564"/>
    <w:rsid w:val="16D830CA"/>
    <w:rsid w:val="17542269"/>
    <w:rsid w:val="17D55D06"/>
    <w:rsid w:val="17E452AF"/>
    <w:rsid w:val="180E08C4"/>
    <w:rsid w:val="1899415F"/>
    <w:rsid w:val="18E3364D"/>
    <w:rsid w:val="19F937FA"/>
    <w:rsid w:val="1A4247B5"/>
    <w:rsid w:val="1A500FCE"/>
    <w:rsid w:val="1B640804"/>
    <w:rsid w:val="1BC1315D"/>
    <w:rsid w:val="1BFA3C23"/>
    <w:rsid w:val="1C5E6583"/>
    <w:rsid w:val="1D1B2F15"/>
    <w:rsid w:val="1D7276AC"/>
    <w:rsid w:val="1DE34AAE"/>
    <w:rsid w:val="1DFD14A7"/>
    <w:rsid w:val="1EC3753B"/>
    <w:rsid w:val="1ED836E7"/>
    <w:rsid w:val="1F8C1DB8"/>
    <w:rsid w:val="1FB750B4"/>
    <w:rsid w:val="1FCE2CB7"/>
    <w:rsid w:val="200610F6"/>
    <w:rsid w:val="205974FD"/>
    <w:rsid w:val="20704DA0"/>
    <w:rsid w:val="212200F5"/>
    <w:rsid w:val="22364F74"/>
    <w:rsid w:val="22BB790F"/>
    <w:rsid w:val="22E64EFB"/>
    <w:rsid w:val="23704753"/>
    <w:rsid w:val="23D50D0E"/>
    <w:rsid w:val="23EE4D4A"/>
    <w:rsid w:val="2402653F"/>
    <w:rsid w:val="24200541"/>
    <w:rsid w:val="24BC760E"/>
    <w:rsid w:val="2622747B"/>
    <w:rsid w:val="262F4611"/>
    <w:rsid w:val="26596479"/>
    <w:rsid w:val="26993D37"/>
    <w:rsid w:val="27242051"/>
    <w:rsid w:val="279C4930"/>
    <w:rsid w:val="280C4BB3"/>
    <w:rsid w:val="290D718E"/>
    <w:rsid w:val="2934192F"/>
    <w:rsid w:val="294F609D"/>
    <w:rsid w:val="299B2E22"/>
    <w:rsid w:val="29E31CCD"/>
    <w:rsid w:val="2A151327"/>
    <w:rsid w:val="2A501E01"/>
    <w:rsid w:val="2AD03B96"/>
    <w:rsid w:val="2AE768A4"/>
    <w:rsid w:val="2B491A9D"/>
    <w:rsid w:val="2BAA35F1"/>
    <w:rsid w:val="2C937A82"/>
    <w:rsid w:val="2D267053"/>
    <w:rsid w:val="2E2F5B74"/>
    <w:rsid w:val="2F0354A4"/>
    <w:rsid w:val="2F8F52A6"/>
    <w:rsid w:val="30207D87"/>
    <w:rsid w:val="30586F29"/>
    <w:rsid w:val="305A1587"/>
    <w:rsid w:val="3075122C"/>
    <w:rsid w:val="32B13C30"/>
    <w:rsid w:val="337D4779"/>
    <w:rsid w:val="33A45611"/>
    <w:rsid w:val="33F77605"/>
    <w:rsid w:val="34075E0A"/>
    <w:rsid w:val="35594870"/>
    <w:rsid w:val="357550F1"/>
    <w:rsid w:val="36394BB0"/>
    <w:rsid w:val="36D34A4D"/>
    <w:rsid w:val="381B337B"/>
    <w:rsid w:val="382B717B"/>
    <w:rsid w:val="38B308D0"/>
    <w:rsid w:val="3A2A5879"/>
    <w:rsid w:val="3B4535D6"/>
    <w:rsid w:val="3B5E227E"/>
    <w:rsid w:val="3B9D3A3A"/>
    <w:rsid w:val="3BBA2568"/>
    <w:rsid w:val="3C1E412F"/>
    <w:rsid w:val="3C5F2F61"/>
    <w:rsid w:val="3C890A6D"/>
    <w:rsid w:val="3C905D61"/>
    <w:rsid w:val="3D106C9B"/>
    <w:rsid w:val="3E5D18BF"/>
    <w:rsid w:val="3F515A62"/>
    <w:rsid w:val="4003196A"/>
    <w:rsid w:val="40360B11"/>
    <w:rsid w:val="404325FD"/>
    <w:rsid w:val="40695BAC"/>
    <w:rsid w:val="40B81294"/>
    <w:rsid w:val="40C70592"/>
    <w:rsid w:val="415E0A24"/>
    <w:rsid w:val="41636D5D"/>
    <w:rsid w:val="417F2E7E"/>
    <w:rsid w:val="41D2264F"/>
    <w:rsid w:val="42663D04"/>
    <w:rsid w:val="42BE3AFA"/>
    <w:rsid w:val="4324295A"/>
    <w:rsid w:val="43F93868"/>
    <w:rsid w:val="4413082D"/>
    <w:rsid w:val="44552876"/>
    <w:rsid w:val="44CC3718"/>
    <w:rsid w:val="45143326"/>
    <w:rsid w:val="45AE4A55"/>
    <w:rsid w:val="45EF4201"/>
    <w:rsid w:val="46A9191C"/>
    <w:rsid w:val="46EC1CAF"/>
    <w:rsid w:val="4761223A"/>
    <w:rsid w:val="47660933"/>
    <w:rsid w:val="47922B8D"/>
    <w:rsid w:val="47B313F1"/>
    <w:rsid w:val="48E43EF9"/>
    <w:rsid w:val="49376EFC"/>
    <w:rsid w:val="49651FE1"/>
    <w:rsid w:val="498158FF"/>
    <w:rsid w:val="4A0548B3"/>
    <w:rsid w:val="4A542D00"/>
    <w:rsid w:val="4AC64F92"/>
    <w:rsid w:val="4AE0080E"/>
    <w:rsid w:val="4B2F76E5"/>
    <w:rsid w:val="4B383024"/>
    <w:rsid w:val="4B512F56"/>
    <w:rsid w:val="4B9117A8"/>
    <w:rsid w:val="4B9E7576"/>
    <w:rsid w:val="4C073C42"/>
    <w:rsid w:val="4C356E5C"/>
    <w:rsid w:val="4CE07A8F"/>
    <w:rsid w:val="4D344B3A"/>
    <w:rsid w:val="4D7E42C7"/>
    <w:rsid w:val="4E4E11C6"/>
    <w:rsid w:val="4E712616"/>
    <w:rsid w:val="4E954D1E"/>
    <w:rsid w:val="4EA47494"/>
    <w:rsid w:val="4ED35A01"/>
    <w:rsid w:val="4EF96A6A"/>
    <w:rsid w:val="4F236FCD"/>
    <w:rsid w:val="4F350A8B"/>
    <w:rsid w:val="4F367123"/>
    <w:rsid w:val="4FC150CE"/>
    <w:rsid w:val="4FD2411A"/>
    <w:rsid w:val="50D72B75"/>
    <w:rsid w:val="51AE4770"/>
    <w:rsid w:val="52AC37C4"/>
    <w:rsid w:val="52FF5B94"/>
    <w:rsid w:val="535D221A"/>
    <w:rsid w:val="544A5C39"/>
    <w:rsid w:val="548F7946"/>
    <w:rsid w:val="54A0080A"/>
    <w:rsid w:val="554A6151"/>
    <w:rsid w:val="558A1144"/>
    <w:rsid w:val="55B56F51"/>
    <w:rsid w:val="564377A9"/>
    <w:rsid w:val="56A22302"/>
    <w:rsid w:val="56C66358"/>
    <w:rsid w:val="56D124F6"/>
    <w:rsid w:val="57452A50"/>
    <w:rsid w:val="575F0112"/>
    <w:rsid w:val="57AA4733"/>
    <w:rsid w:val="57C217FF"/>
    <w:rsid w:val="58447F22"/>
    <w:rsid w:val="58D42C1A"/>
    <w:rsid w:val="58EB0B2E"/>
    <w:rsid w:val="591E1CF6"/>
    <w:rsid w:val="59202F95"/>
    <w:rsid w:val="594A1013"/>
    <w:rsid w:val="59761DE6"/>
    <w:rsid w:val="5A8950E2"/>
    <w:rsid w:val="5AA96559"/>
    <w:rsid w:val="5AC86799"/>
    <w:rsid w:val="5B903CB4"/>
    <w:rsid w:val="5BA61C56"/>
    <w:rsid w:val="5CF742A2"/>
    <w:rsid w:val="5D235E87"/>
    <w:rsid w:val="5D317C34"/>
    <w:rsid w:val="5D3732EA"/>
    <w:rsid w:val="5D40028F"/>
    <w:rsid w:val="5E010FA3"/>
    <w:rsid w:val="5ED5707C"/>
    <w:rsid w:val="5FE854B9"/>
    <w:rsid w:val="61C86514"/>
    <w:rsid w:val="62184F63"/>
    <w:rsid w:val="62D976A2"/>
    <w:rsid w:val="63E07021"/>
    <w:rsid w:val="649A74F1"/>
    <w:rsid w:val="64C26512"/>
    <w:rsid w:val="64D640C4"/>
    <w:rsid w:val="651F65A6"/>
    <w:rsid w:val="65206DF6"/>
    <w:rsid w:val="6529617C"/>
    <w:rsid w:val="652F752A"/>
    <w:rsid w:val="65B754E3"/>
    <w:rsid w:val="65EA74AB"/>
    <w:rsid w:val="666E4079"/>
    <w:rsid w:val="67032235"/>
    <w:rsid w:val="67327C6C"/>
    <w:rsid w:val="67F60EBD"/>
    <w:rsid w:val="681356EC"/>
    <w:rsid w:val="68BD080C"/>
    <w:rsid w:val="68FF6520"/>
    <w:rsid w:val="6968114D"/>
    <w:rsid w:val="6990454A"/>
    <w:rsid w:val="6A707AC7"/>
    <w:rsid w:val="6B29666B"/>
    <w:rsid w:val="6B2E77A4"/>
    <w:rsid w:val="6B6A520E"/>
    <w:rsid w:val="6B9A5E39"/>
    <w:rsid w:val="6BDD77EF"/>
    <w:rsid w:val="6C162B36"/>
    <w:rsid w:val="6C552C24"/>
    <w:rsid w:val="6D632337"/>
    <w:rsid w:val="6D6A4D36"/>
    <w:rsid w:val="6E1F0D1C"/>
    <w:rsid w:val="6EA60BA4"/>
    <w:rsid w:val="6EDB7195"/>
    <w:rsid w:val="70AE6511"/>
    <w:rsid w:val="710C334B"/>
    <w:rsid w:val="71193B3C"/>
    <w:rsid w:val="71920F77"/>
    <w:rsid w:val="72BD2204"/>
    <w:rsid w:val="740D53AB"/>
    <w:rsid w:val="74363F40"/>
    <w:rsid w:val="74AF20EC"/>
    <w:rsid w:val="74FB0687"/>
    <w:rsid w:val="757D0EAB"/>
    <w:rsid w:val="75BB031F"/>
    <w:rsid w:val="761338D4"/>
    <w:rsid w:val="76966639"/>
    <w:rsid w:val="76C9305C"/>
    <w:rsid w:val="76E76904"/>
    <w:rsid w:val="77820311"/>
    <w:rsid w:val="77A42B95"/>
    <w:rsid w:val="77D21369"/>
    <w:rsid w:val="784F316E"/>
    <w:rsid w:val="78B20D7A"/>
    <w:rsid w:val="792A49DD"/>
    <w:rsid w:val="7A411C87"/>
    <w:rsid w:val="7A8C430B"/>
    <w:rsid w:val="7A9E556E"/>
    <w:rsid w:val="7AEE7B12"/>
    <w:rsid w:val="7B8A7D90"/>
    <w:rsid w:val="7C165BF2"/>
    <w:rsid w:val="7C616AA2"/>
    <w:rsid w:val="7CEF697A"/>
    <w:rsid w:val="7D1264F1"/>
    <w:rsid w:val="7D4B106F"/>
    <w:rsid w:val="7D5F1814"/>
    <w:rsid w:val="7D6B3ABA"/>
    <w:rsid w:val="7D8D47D8"/>
    <w:rsid w:val="7DE16984"/>
    <w:rsid w:val="7F2627C9"/>
    <w:rsid w:val="7F9E311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spacing w:before="100" w:beforeAutospacing="1" w:after="100" w:afterAutospacing="1"/>
      <w:jc w:val="left"/>
    </w:pPr>
    <w:rPr>
      <w:rFonts w:ascii="Calibri" w:hAnsi="Calibri"/>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rFonts w:ascii="微软雅黑" w:hAnsi="微软雅黑" w:eastAsia="微软雅黑" w:cs="微软雅黑"/>
      <w:b/>
    </w:rPr>
  </w:style>
  <w:style w:type="character" w:styleId="10">
    <w:name w:val="FollowedHyperlink"/>
    <w:basedOn w:val="8"/>
    <w:semiHidden/>
    <w:unhideWhenUsed/>
    <w:qFormat/>
    <w:uiPriority w:val="99"/>
    <w:rPr>
      <w:color w:val="333333"/>
      <w:u w:val="none"/>
    </w:rPr>
  </w:style>
  <w:style w:type="character" w:styleId="11">
    <w:name w:val="Emphasis"/>
    <w:basedOn w:val="8"/>
    <w:qFormat/>
    <w:uiPriority w:val="20"/>
    <w:rPr>
      <w:i/>
    </w:rPr>
  </w:style>
  <w:style w:type="character" w:styleId="12">
    <w:name w:val="HTML Definition"/>
    <w:basedOn w:val="8"/>
    <w:semiHidden/>
    <w:unhideWhenUsed/>
    <w:qFormat/>
    <w:uiPriority w:val="99"/>
    <w:rPr>
      <w:i/>
    </w:rPr>
  </w:style>
  <w:style w:type="character" w:styleId="13">
    <w:name w:val="Hyperlink"/>
    <w:basedOn w:val="8"/>
    <w:unhideWhenUsed/>
    <w:qFormat/>
    <w:uiPriority w:val="99"/>
    <w:rPr>
      <w:color w:val="0563C1" w:themeColor="hyperlink"/>
      <w:u w:val="single"/>
      <w14:textFill>
        <w14:solidFill>
          <w14:schemeClr w14:val="hlink"/>
        </w14:solidFill>
      </w14:textFill>
    </w:rPr>
  </w:style>
  <w:style w:type="character" w:styleId="14">
    <w:name w:val="HTML Code"/>
    <w:basedOn w:val="8"/>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8"/>
    <w:semiHidden/>
    <w:unhideWhenUsed/>
    <w:qFormat/>
    <w:uiPriority w:val="99"/>
    <w:rPr>
      <w:rFonts w:ascii="Consolas" w:hAnsi="Consolas" w:eastAsia="Consolas" w:cs="Consolas"/>
      <w:color w:val="FFFFFF"/>
      <w:sz w:val="21"/>
      <w:szCs w:val="21"/>
      <w:shd w:val="clear" w:color="auto" w:fill="333333"/>
    </w:rPr>
  </w:style>
  <w:style w:type="character" w:styleId="16">
    <w:name w:val="HTML Sample"/>
    <w:basedOn w:val="8"/>
    <w:semiHidden/>
    <w:unhideWhenUsed/>
    <w:qFormat/>
    <w:uiPriority w:val="99"/>
    <w:rPr>
      <w:rFonts w:hint="default" w:ascii="Consolas" w:hAnsi="Consolas" w:eastAsia="Consolas" w:cs="Consolas"/>
      <w:sz w:val="21"/>
      <w:szCs w:val="21"/>
    </w:rPr>
  </w:style>
  <w:style w:type="character" w:customStyle="1" w:styleId="17">
    <w:name w:val="font01"/>
    <w:basedOn w:val="8"/>
    <w:qFormat/>
    <w:uiPriority w:val="0"/>
    <w:rPr>
      <w:rFonts w:hint="eastAsia" w:ascii="宋体" w:hAnsi="宋体" w:eastAsia="宋体"/>
      <w:color w:val="000000"/>
      <w:sz w:val="28"/>
      <w:szCs w:val="28"/>
      <w:u w:val="none"/>
    </w:rPr>
  </w:style>
  <w:style w:type="character" w:customStyle="1" w:styleId="18">
    <w:name w:val="newsdate"/>
    <w:basedOn w:val="8"/>
    <w:qFormat/>
    <w:uiPriority w:val="0"/>
    <w:rPr>
      <w:rFonts w:hint="eastAsia" w:ascii="宋体" w:hAnsi="宋体" w:eastAsia="宋体" w:cs="宋体"/>
      <w:sz w:val="14"/>
      <w:szCs w:val="14"/>
    </w:rPr>
  </w:style>
  <w:style w:type="character" w:customStyle="1" w:styleId="19">
    <w:name w:val="right"/>
    <w:basedOn w:val="8"/>
    <w:qFormat/>
    <w:uiPriority w:val="0"/>
  </w:style>
  <w:style w:type="character" w:customStyle="1" w:styleId="20">
    <w:name w:val="left4"/>
    <w:basedOn w:val="8"/>
    <w:qFormat/>
    <w:uiPriority w:val="0"/>
  </w:style>
  <w:style w:type="character" w:customStyle="1" w:styleId="21">
    <w:name w:val="more"/>
    <w:basedOn w:val="8"/>
    <w:qFormat/>
    <w:uiPriority w:val="0"/>
  </w:style>
  <w:style w:type="character" w:customStyle="1" w:styleId="22">
    <w:name w:val="right4"/>
    <w:basedOn w:val="8"/>
    <w:qFormat/>
    <w:uiPriority w:val="0"/>
  </w:style>
  <w:style w:type="character" w:customStyle="1" w:styleId="23">
    <w:name w:val="left6"/>
    <w:basedOn w:val="8"/>
    <w:qFormat/>
    <w:uiPriority w:val="0"/>
  </w:style>
  <w:style w:type="character" w:customStyle="1" w:styleId="24">
    <w:name w:val="first-child"/>
    <w:basedOn w:val="8"/>
    <w:qFormat/>
    <w:uiPriority w:val="0"/>
  </w:style>
  <w:style w:type="character" w:customStyle="1" w:styleId="25">
    <w:name w:val="hover2"/>
    <w:basedOn w:val="8"/>
    <w:qFormat/>
    <w:uiPriority w:val="0"/>
    <w:rPr>
      <w:color w:val="5FB878"/>
    </w:rPr>
  </w:style>
  <w:style w:type="character" w:customStyle="1" w:styleId="26">
    <w:name w:val="hover3"/>
    <w:basedOn w:val="8"/>
    <w:qFormat/>
    <w:uiPriority w:val="0"/>
    <w:rPr>
      <w:color w:val="5FB878"/>
    </w:rPr>
  </w:style>
  <w:style w:type="character" w:customStyle="1" w:styleId="27">
    <w:name w:val="hover4"/>
    <w:basedOn w:val="8"/>
    <w:qFormat/>
    <w:uiPriority w:val="0"/>
    <w:rPr>
      <w:color w:val="FFFFFF"/>
    </w:rPr>
  </w:style>
  <w:style w:type="character" w:customStyle="1" w:styleId="28">
    <w:name w:val="layui-this"/>
    <w:basedOn w:val="8"/>
    <w:qFormat/>
    <w:uiPriority w:val="0"/>
    <w:rPr>
      <w:bdr w:val="single" w:color="EEEEEE" w:sz="4" w:space="0"/>
      <w:shd w:val="clear" w:color="auto" w:fill="FFFFFF"/>
    </w:rPr>
  </w:style>
  <w:style w:type="character" w:customStyle="1" w:styleId="29">
    <w:name w:val="layui-this2"/>
    <w:basedOn w:val="8"/>
    <w:qFormat/>
    <w:uiPriority w:val="0"/>
    <w:rPr>
      <w:bdr w:val="single" w:color="EEEEEE" w:sz="4" w:space="0"/>
      <w:shd w:val="clear" w:color="auto" w:fill="FFFFFF"/>
    </w:rPr>
  </w:style>
  <w:style w:type="character" w:customStyle="1" w:styleId="30">
    <w:name w:val="bds_more2"/>
    <w:basedOn w:val="8"/>
    <w:qFormat/>
    <w:uiPriority w:val="0"/>
  </w:style>
  <w:style w:type="character" w:customStyle="1" w:styleId="31">
    <w:name w:val="bds_more3"/>
    <w:basedOn w:val="8"/>
    <w:qFormat/>
    <w:uiPriority w:val="0"/>
    <w:rPr>
      <w:rFonts w:hint="eastAsia" w:ascii="宋体" w:hAnsi="宋体" w:eastAsia="宋体" w:cs="宋体"/>
    </w:rPr>
  </w:style>
  <w:style w:type="character" w:customStyle="1" w:styleId="32">
    <w:name w:val="bds_more4"/>
    <w:basedOn w:val="8"/>
    <w:qFormat/>
    <w:uiPriority w:val="0"/>
  </w:style>
  <w:style w:type="character" w:customStyle="1" w:styleId="33">
    <w:name w:val="bds_nopic"/>
    <w:basedOn w:val="8"/>
    <w:qFormat/>
    <w:uiPriority w:val="0"/>
  </w:style>
  <w:style w:type="character" w:customStyle="1" w:styleId="34">
    <w:name w:val="bds_nopic1"/>
    <w:basedOn w:val="8"/>
    <w:qFormat/>
    <w:uiPriority w:val="0"/>
  </w:style>
  <w:style w:type="character" w:customStyle="1" w:styleId="35">
    <w:name w:val="bds_nopic2"/>
    <w:basedOn w:val="8"/>
    <w:qFormat/>
    <w:uiPriority w:val="0"/>
  </w:style>
  <w:style w:type="character" w:customStyle="1" w:styleId="36">
    <w:name w:val="bds_more"/>
    <w:basedOn w:val="8"/>
    <w:qFormat/>
    <w:uiPriority w:val="0"/>
    <w:rPr>
      <w:rFonts w:hint="eastAsia" w:ascii="宋体" w:hAnsi="宋体" w:eastAsia="宋体" w:cs="宋体"/>
    </w:rPr>
  </w:style>
  <w:style w:type="character" w:customStyle="1" w:styleId="37">
    <w:name w:val="bds_more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4088</Words>
  <Characters>4155</Characters>
  <Lines>46</Lines>
  <Paragraphs>12</Paragraphs>
  <TotalTime>18</TotalTime>
  <ScaleCrop>false</ScaleCrop>
  <LinksUpToDate>false</LinksUpToDate>
  <CharactersWithSpaces>4238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2020-07-17T02:52:00Z</dcterms:created>
  <dc:creator>Microsoft Office 用户</dc:creator>
  <cp:lastModifiedBy>冰冰⊙▽⊙＊</cp:lastModifiedBy>
  <cp:lastPrinted>2020-07-28T01:46:00Z</cp:lastPrinted>
  <dcterms:modified xsi:type="dcterms:W3CDTF">2023-09-22T03:33:21Z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E48280136E6D42BDAFBA3C2B9A0F308E_13</vt:lpwstr>
  </property>
</Properties>
</file>