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0"/>
          <w:lang w:val="en-US" w:eastAsia="zh-CN"/>
        </w:rPr>
      </w:pPr>
      <w:r>
        <w:rPr>
          <w:rFonts w:hint="eastAsia"/>
          <w:b/>
          <w:bCs/>
          <w:sz w:val="40"/>
          <w:szCs w:val="40"/>
          <w:lang w:val="en-US" w:eastAsia="zh-CN"/>
        </w:rPr>
        <w:t>郑州大学金融与资本高级总裁研修班</w:t>
      </w:r>
    </w:p>
    <w:p>
      <w:pPr>
        <w:jc w:val="center"/>
        <w:rPr>
          <w:rFonts w:hint="eastAsia"/>
          <w:b/>
          <w:bCs/>
          <w:sz w:val="40"/>
          <w:szCs w:val="40"/>
          <w:lang w:val="en-US" w:eastAsia="zh-CN"/>
        </w:rPr>
      </w:pPr>
      <w:r>
        <w:rPr>
          <w:rFonts w:hint="eastAsia"/>
          <w:b/>
          <w:bCs/>
          <w:sz w:val="40"/>
          <w:szCs w:val="40"/>
          <w:lang w:val="en-US" w:eastAsia="zh-CN"/>
        </w:rPr>
        <w:t>招生简章</w:t>
      </w:r>
    </w:p>
    <w:p>
      <w:pPr>
        <w:jc w:val="center"/>
        <w:rPr>
          <w:rFonts w:hint="eastAsia"/>
          <w:sz w:val="40"/>
          <w:szCs w:val="40"/>
          <w:lang w:val="en-US" w:eastAsia="zh-CN"/>
        </w:rPr>
      </w:pPr>
    </w:p>
    <w:p>
      <w:pPr>
        <w:keepNext w:val="0"/>
        <w:keepLines w:val="0"/>
        <w:widowControl/>
        <w:suppressLineNumbers w:val="0"/>
        <w:ind w:firstLine="480" w:firstLineChars="200"/>
        <w:jc w:val="left"/>
        <w:rPr>
          <w:sz w:val="24"/>
          <w:szCs w:val="24"/>
        </w:rPr>
      </w:pPr>
      <w:r>
        <w:rPr>
          <w:rFonts w:ascii="宋体" w:hAnsi="宋体" w:eastAsia="宋体" w:cs="宋体"/>
          <w:kern w:val="0"/>
          <w:sz w:val="24"/>
          <w:szCs w:val="24"/>
          <w:lang w:val="en-US" w:eastAsia="zh-CN" w:bidi="ar"/>
        </w:rPr>
        <w:t>“纵观世界上著名的大企业、大集团，几乎没有哪一家不是在某种程度上通过收购兼并等资本运营手段而发展起来的，也几乎没有哪一家是完全通过内部积累发展起来的。”​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——诺贝尔经济学奖得主、美国著名经济学家乔治·斯蒂格勒</w:t>
      </w:r>
    </w:p>
    <w:p>
      <w:pPr>
        <w:jc w:val="center"/>
        <w:rPr>
          <w:rFonts w:hint="default"/>
          <w:sz w:val="24"/>
          <w:szCs w:val="24"/>
          <w:lang w:val="en-US" w:eastAsia="zh-CN"/>
        </w:rPr>
      </w:pPr>
    </w:p>
    <w:p>
      <w:pPr>
        <w:jc w:val="both"/>
        <w:rPr>
          <w:rFonts w:hint="eastAsia"/>
          <w:b/>
          <w:bCs/>
          <w:sz w:val="30"/>
          <w:szCs w:val="30"/>
          <w:lang w:val="en-US" w:eastAsia="zh-CN"/>
        </w:rPr>
      </w:pPr>
      <w:r>
        <w:rPr>
          <w:rFonts w:hint="eastAsia"/>
          <w:b/>
          <w:bCs/>
          <w:sz w:val="30"/>
          <w:szCs w:val="30"/>
          <w:lang w:val="en-US" w:eastAsia="zh-CN"/>
        </w:rPr>
        <w:t>【项目背景】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both"/>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后疫情时代，全球经济金融格局发生重大调整，在复杂多变的国际形势和充满不确定性的金融环境下，中国以及全球的金融体系都面临着创新变革的新挑战。尽管短期“寒冬出现”，但中国经济中长期前景向好也是各方共识之一。金融市场结构、产业结构和经济结构出现的显著变化，企业家该如何通过金融方式实现“破局”或新增长。</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凝聚全球金融智慧，培养未来世界商界领袖，深入研判疫情对全球经济格局的影响，把脉新经济发展机遇，解惑企业在不确定经济环境中面临的挑战，在防范化解金融风险的同时，实现企业财富与个人财富的保值与增值。深度落地企业及企业家个人关心的热点难点，实现新的发展阶段。</w:t>
      </w:r>
    </w:p>
    <w:p>
      <w:pPr>
        <w:jc w:val="both"/>
        <w:rPr>
          <w:rFonts w:hint="eastAsia"/>
          <w:b/>
          <w:bCs/>
          <w:sz w:val="30"/>
          <w:szCs w:val="30"/>
          <w:lang w:val="en-US" w:eastAsia="zh-CN"/>
        </w:rPr>
      </w:pPr>
      <w:r>
        <w:rPr>
          <w:rFonts w:hint="eastAsia"/>
          <w:b/>
          <w:bCs/>
          <w:sz w:val="30"/>
          <w:szCs w:val="30"/>
          <w:lang w:val="en-US" w:eastAsia="zh-CN"/>
        </w:rPr>
        <w:t>【课程优势】</w:t>
      </w:r>
    </w:p>
    <w:p>
      <w:pPr>
        <w:numPr>
          <w:ilvl w:val="0"/>
          <w:numId w:val="1"/>
        </w:numPr>
        <w:jc w:val="both"/>
        <w:rPr>
          <w:rFonts w:hint="eastAsia"/>
          <w:sz w:val="24"/>
          <w:szCs w:val="24"/>
          <w:lang w:val="en-US" w:eastAsia="zh-CN"/>
        </w:rPr>
      </w:pPr>
      <w:r>
        <w:rPr>
          <w:rFonts w:hint="eastAsia"/>
          <w:sz w:val="24"/>
          <w:szCs w:val="24"/>
          <w:lang w:val="en-US" w:eastAsia="zh-CN"/>
        </w:rPr>
        <w:t>专业学习平台：河南唯一“211工程”重点高校；汇聚全国顶尖师资；郑州大学丰富的学习资源。</w:t>
      </w:r>
    </w:p>
    <w:p>
      <w:pPr>
        <w:numPr>
          <w:ilvl w:val="0"/>
          <w:numId w:val="1"/>
        </w:numPr>
        <w:jc w:val="both"/>
        <w:rPr>
          <w:rFonts w:hint="default"/>
          <w:sz w:val="24"/>
          <w:szCs w:val="24"/>
          <w:lang w:val="en-US" w:eastAsia="zh-CN"/>
        </w:rPr>
      </w:pPr>
      <w:r>
        <w:rPr>
          <w:rFonts w:hint="eastAsia"/>
          <w:sz w:val="24"/>
          <w:szCs w:val="24"/>
          <w:lang w:val="en-US" w:eastAsia="zh-CN"/>
        </w:rPr>
        <w:t>高端圈层资源：8000+实战董事长及高管精英、400+专业导师、全国各地校友联动。</w:t>
      </w:r>
    </w:p>
    <w:p>
      <w:pPr>
        <w:numPr>
          <w:ilvl w:val="0"/>
          <w:numId w:val="1"/>
        </w:numPr>
        <w:jc w:val="both"/>
        <w:rPr>
          <w:rFonts w:hint="default"/>
          <w:sz w:val="30"/>
          <w:szCs w:val="30"/>
          <w:lang w:val="en-US" w:eastAsia="zh-CN"/>
        </w:rPr>
      </w:pPr>
      <w:r>
        <w:rPr>
          <w:rFonts w:hint="eastAsia"/>
          <w:sz w:val="24"/>
          <w:szCs w:val="24"/>
          <w:lang w:val="en-US" w:eastAsia="zh-CN"/>
        </w:rPr>
        <w:t>全方位系统课程：第一课堂：构筑金融知识地基；第二课堂：走进金融机构实战实操。</w:t>
      </w:r>
    </w:p>
    <w:p>
      <w:pPr>
        <w:numPr>
          <w:ilvl w:val="0"/>
          <w:numId w:val="0"/>
        </w:numPr>
        <w:jc w:val="both"/>
        <w:rPr>
          <w:rFonts w:hint="eastAsia"/>
          <w:sz w:val="30"/>
          <w:szCs w:val="30"/>
          <w:lang w:val="en-US" w:eastAsia="zh-CN"/>
        </w:rPr>
      </w:pPr>
      <w:r>
        <w:rPr>
          <w:rFonts w:hint="eastAsia"/>
          <w:sz w:val="30"/>
          <w:szCs w:val="30"/>
          <w:lang w:val="en-US" w:eastAsia="zh-CN"/>
        </w:rPr>
        <w:t>【课程价值】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Style w:val="6"/>
          <w:color w:val="000000"/>
          <w:sz w:val="24"/>
          <w:szCs w:val="24"/>
        </w:rPr>
        <w:t>第一课堂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color w:val="000000"/>
          <w:sz w:val="24"/>
          <w:szCs w:val="24"/>
        </w:rPr>
        <w:t>传统金融+创新金融融合；公司金融+个人财富兼顾；理论+实操结合；层层深入，系统全面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Style w:val="6"/>
          <w:color w:val="000000"/>
          <w:sz w:val="24"/>
          <w:szCs w:val="24"/>
        </w:rPr>
        <w:t>第二课堂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000000"/>
          <w:sz w:val="24"/>
          <w:szCs w:val="24"/>
        </w:rPr>
      </w:pPr>
      <w:r>
        <w:rPr>
          <w:color w:val="000000"/>
          <w:sz w:val="24"/>
          <w:szCs w:val="24"/>
        </w:rPr>
        <w:t>国内股权交易中心、证券机构、基金公司等金融机构实地学习现场实践课程内容， 专业导师现场点评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color w:val="00000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Style w:val="6"/>
          <w:color w:val="000000"/>
          <w:sz w:val="24"/>
          <w:szCs w:val="24"/>
        </w:rPr>
        <w:t>学习衔接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color w:val="000000"/>
          <w:sz w:val="24"/>
          <w:szCs w:val="24"/>
        </w:rPr>
        <w:t>课程学习+实践提升：赋能自身成长，实现金融学识交流，智慧交锋，顺势而上</w:t>
      </w:r>
    </w:p>
    <w:p>
      <w:pPr>
        <w:numPr>
          <w:ilvl w:val="0"/>
          <w:numId w:val="0"/>
        </w:numPr>
        <w:jc w:val="both"/>
        <w:rPr>
          <w:rFonts w:hint="eastAsia"/>
          <w:b/>
          <w:bCs/>
          <w:sz w:val="30"/>
          <w:szCs w:val="30"/>
          <w:lang w:val="en-US" w:eastAsia="zh-CN"/>
        </w:rPr>
      </w:pPr>
      <w:r>
        <w:rPr>
          <w:rFonts w:hint="eastAsia"/>
          <w:b/>
          <w:bCs/>
          <w:sz w:val="30"/>
          <w:szCs w:val="30"/>
          <w:lang w:val="en-US" w:eastAsia="zh-CN"/>
        </w:rPr>
        <w:t>【课程设置】</w:t>
      </w:r>
    </w:p>
    <w:tbl>
      <w:tblPr>
        <w:tblStyle w:val="4"/>
        <w:tblW w:w="9480"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numPr>
                <w:ilvl w:val="0"/>
                <w:numId w:val="0"/>
              </w:numPr>
              <w:jc w:val="both"/>
              <w:rPr>
                <w:rFonts w:hint="eastAsia" w:eastAsia="宋体"/>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模块一 宏观经济</w:t>
            </w:r>
            <w:r>
              <w:rPr>
                <w:rFonts w:hint="eastAsia" w:ascii="-apple-system-font" w:hAnsi="-apple-system-font" w:eastAsia="宋体" w:cs="-apple-system-font"/>
                <w:color w:val="FFFFFF"/>
                <w:spacing w:val="40"/>
                <w:sz w:val="21"/>
                <w:szCs w:val="21"/>
                <w:shd w:val="clear" w:fill="D6A841"/>
                <w:lang w:val="en-US" w:eastAsia="zh-CN"/>
              </w:rPr>
              <w:t xml:space="preserve"> </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1"/>
                <w:szCs w:val="21"/>
                <w:vertAlign w:val="baseline"/>
                <w:lang w:val="en-US" w:eastAsia="zh-CN"/>
              </w:rPr>
            </w:pPr>
            <w:r>
              <w:rPr>
                <w:rFonts w:hint="default" w:ascii="-apple-system-font" w:hAnsi="-apple-system-font" w:eastAsia="-apple-system-font" w:cs="-apple-system-font"/>
                <w:spacing w:val="40"/>
                <w:sz w:val="21"/>
                <w:szCs w:val="21"/>
                <w:shd w:val="clear" w:fill="D6A841"/>
              </w:rPr>
              <w:t> </w:t>
            </w:r>
            <w:r>
              <w:rPr>
                <w:rFonts w:hint="default" w:ascii="-apple-system-font" w:hAnsi="-apple-system-font" w:eastAsia="-apple-system-font" w:cs="-apple-system-font"/>
                <w:color w:val="FFFFFF"/>
                <w:spacing w:val="40"/>
                <w:sz w:val="21"/>
                <w:szCs w:val="21"/>
                <w:shd w:val="clear" w:fill="D6A841"/>
              </w:rPr>
              <w:t>模块二 股权</w:t>
            </w:r>
            <w:r>
              <w:rPr>
                <w:rFonts w:hint="eastAsia" w:ascii="-apple-system-font" w:hAnsi="-apple-system-font" w:eastAsia="宋体" w:cs="-apple-system-font"/>
                <w:color w:val="FFFFFF"/>
                <w:spacing w:val="40"/>
                <w:sz w:val="21"/>
                <w:szCs w:val="21"/>
                <w:shd w:val="clear" w:fill="D6A841"/>
                <w:lang w:val="en-US" w:eastAsia="zh-CN"/>
              </w:rPr>
              <w:t>结构</w:t>
            </w:r>
            <w:r>
              <w:rPr>
                <w:rFonts w:hint="default" w:ascii="-apple-system-font" w:hAnsi="-apple-system-font" w:eastAsia="-apple-system-font" w:cs="-apple-system-font"/>
                <w:color w:val="FFFFFF"/>
                <w:spacing w:val="40"/>
                <w:sz w:val="21"/>
                <w:szCs w:val="21"/>
                <w:shd w:val="clear" w:fill="D6A841"/>
              </w:rPr>
              <w:t>与</w:t>
            </w:r>
            <w:r>
              <w:rPr>
                <w:rFonts w:hint="eastAsia" w:ascii="-apple-system-font" w:hAnsi="-apple-system-font" w:eastAsia="宋体" w:cs="-apple-system-font"/>
                <w:color w:val="FFFFFF"/>
                <w:spacing w:val="40"/>
                <w:sz w:val="21"/>
                <w:szCs w:val="21"/>
                <w:shd w:val="clear" w:fill="D6A841"/>
                <w:lang w:val="en-US" w:eastAsia="zh-CN"/>
              </w:rPr>
              <w:t>股权激励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世界经济形势分析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中美贸易战的背景与逻辑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中国经济转型升级的机遇与痛点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中国宏观经济与宏观调控政策分析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apple-system-font" w:hAnsi="-apple-system-font" w:eastAsia="宋体" w:cs="-apple-system-font"/>
                <w:color w:val="000000"/>
                <w:spacing w:val="11"/>
                <w:sz w:val="21"/>
                <w:szCs w:val="21"/>
                <w:shd w:val="clear" w:fill="FFFFFF"/>
                <w:lang w:val="en-US" w:eastAsia="zh-CN"/>
              </w:rPr>
            </w:pPr>
            <w:r>
              <w:rPr>
                <w:rFonts w:hint="default" w:ascii="-apple-system-font" w:hAnsi="-apple-system-font" w:eastAsia="-apple-system-font" w:cs="-apple-system-font"/>
                <w:color w:val="000000"/>
                <w:spacing w:val="11"/>
                <w:sz w:val="21"/>
                <w:szCs w:val="21"/>
                <w:shd w:val="clear" w:fill="FFFFFF"/>
              </w:rPr>
              <w:t>热点行业解读</w:t>
            </w:r>
            <w:r>
              <w:rPr>
                <w:rFonts w:hint="eastAsia" w:ascii="-apple-system-font" w:hAnsi="-apple-system-font" w:eastAsia="宋体" w:cs="-apple-system-font"/>
                <w:color w:val="000000"/>
                <w:spacing w:val="11"/>
                <w:sz w:val="21"/>
                <w:szCs w:val="21"/>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新常态的产业机遇</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股权激励类别和适用条件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股权激励设计与案例分析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公司股权布局方式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股权分配的底线与“防火墙”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创始人保护机制与股东考核机制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以股权结构为基础的创新型融资模式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模块三  商业新赛道模式设计</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模块四  企业并购与重组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什么是商业模式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典型商业模式案例解析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设计商业模式的必备知识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商业模式设计与谋划要点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商业逻辑框架搭建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eastAsiaTheme="minorEastAsia"/>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商业模式的战略选择</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公司估值方法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并购重组的策略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并购重组需要关注的风险及应对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文化的冲突与整合应对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Style w:val="6"/>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并购重组中的估值</w:t>
            </w:r>
            <w:r>
              <w:rPr>
                <w:rStyle w:val="6"/>
                <w:rFonts w:hint="default" w:ascii="-apple-system-font" w:hAnsi="-apple-system-font" w:eastAsia="-apple-system-font" w:cs="-apple-system-font"/>
                <w:color w:val="000000"/>
                <w:spacing w:val="11"/>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重组借壳上市资本运作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eastAsiaTheme="minorEastAsia"/>
                <w:sz w:val="21"/>
                <w:szCs w:val="21"/>
                <w:vertAlign w:val="baseline"/>
                <w:lang w:val="en-US" w:eastAsia="zh-CN"/>
              </w:rPr>
            </w:pPr>
            <w:r>
              <w:rPr>
                <w:rFonts w:hint="eastAsia" w:ascii="-apple-system-font" w:hAnsi="-apple-system-font" w:eastAsia="宋体" w:cs="-apple-system-font"/>
                <w:color w:val="000000"/>
                <w:spacing w:val="11"/>
                <w:sz w:val="21"/>
                <w:szCs w:val="21"/>
                <w:shd w:val="clear"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模块五  私募股权与证券投资</w:t>
            </w:r>
          </w:p>
        </w:tc>
        <w:tc>
          <w:tcPr>
            <w:tcW w:w="477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模块六企业财务管理和税务筹划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私募股权基金行业的宏观分析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私募股权基金的运作方式及获利模式解析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资本市场私募股权基金法律与政策解析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私募股权基金的项目选择与投融资操作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私募股权投资基金的组织形式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eastAsiaTheme="minorEastAsia"/>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私募基金的投后管理与股权增值</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企业经营的本质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资产负债表、利润表、现金流量表解读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企业成本管理与企业预算管理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税务筹划体系的建立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所得税与增值税纳税的具体操作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企业兼营不同税率、应税和免税项目案例分析</w:t>
            </w:r>
          </w:p>
          <w:p>
            <w:pPr>
              <w:numPr>
                <w:ilvl w:val="0"/>
                <w:numId w:val="0"/>
              </w:numPr>
              <w:jc w:val="both"/>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1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模块七  互联网金融创新与发展</w:t>
            </w:r>
          </w:p>
        </w:tc>
        <w:tc>
          <w:tcPr>
            <w:tcW w:w="477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模块八  资本市场与上市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eastAsia" w:ascii="Arial" w:hAnsi="Arial" w:eastAsia="-apple-system-font" w:cs="Arial"/>
                <w:color w:val="000000"/>
                <w:spacing w:val="11"/>
                <w:sz w:val="21"/>
                <w:szCs w:val="21"/>
                <w:shd w:val="clear" w:fill="FFFFFF"/>
              </w:rPr>
              <w:t>新型金融业务模式</w:t>
            </w:r>
            <w:r>
              <w:rPr>
                <w:rFonts w:hint="default" w:ascii="-apple-system-font" w:hAnsi="-apple-system-font" w:eastAsia="-apple-system-font" w:cs="-apple-system-font"/>
                <w:color w:val="000000"/>
                <w:spacing w:val="11"/>
                <w:sz w:val="21"/>
                <w:szCs w:val="21"/>
                <w:shd w:val="clear" w:fill="FFFFFF"/>
              </w:rPr>
              <w:t>的发展历程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多层次金融体系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变革下的金融架构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数字货币的影响与变革</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资本市场概论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股票与上市交易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上市辅导与操作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中外资本市场差异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71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模块九 金融风险管理与商法</w:t>
            </w:r>
          </w:p>
        </w:tc>
        <w:tc>
          <w:tcPr>
            <w:tcW w:w="477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模块十</w:t>
            </w:r>
            <w:r>
              <w:rPr>
                <w:rFonts w:hint="eastAsia" w:ascii="-apple-system-font" w:hAnsi="-apple-system-font" w:eastAsia="宋体" w:cs="-apple-system-font"/>
                <w:color w:val="FFFFFF"/>
                <w:spacing w:val="40"/>
                <w:sz w:val="21"/>
                <w:szCs w:val="21"/>
                <w:shd w:val="clear" w:fill="D6A841"/>
                <w:lang w:val="en-US" w:eastAsia="zh-CN"/>
              </w:rPr>
              <w:t xml:space="preserve"> </w:t>
            </w:r>
            <w:r>
              <w:rPr>
                <w:rFonts w:hint="default" w:ascii="-apple-system-font" w:hAnsi="-apple-system-font" w:eastAsia="-apple-system-font" w:cs="-apple-system-font"/>
                <w:color w:val="FFFFFF"/>
                <w:spacing w:val="40"/>
                <w:sz w:val="21"/>
                <w:szCs w:val="21"/>
                <w:shd w:val="clear" w:fill="D6A841"/>
              </w:rPr>
              <w:t>投资心理学与投资行为</w:t>
            </w:r>
            <w:r>
              <w:rPr>
                <w:rFonts w:hint="eastAsia" w:ascii="-apple-system-font" w:hAnsi="-apple-system-font" w:eastAsia="宋体" w:cs="-apple-system-font"/>
                <w:color w:val="FFFFFF"/>
                <w:spacing w:val="40"/>
                <w:sz w:val="21"/>
                <w:szCs w:val="21"/>
                <w:shd w:val="clear" w:fill="D6A841"/>
                <w:lang w:val="en-US" w:eastAsia="zh-CN"/>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金融风险的种类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金融风险的产生与效应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金融风险管理概述及价值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sz w:val="21"/>
                <w:szCs w:val="21"/>
                <w:vertAlign w:val="baseline"/>
                <w:lang w:val="en-US" w:eastAsia="zh-CN"/>
              </w:rPr>
            </w:pPr>
            <w:r>
              <w:rPr>
                <w:rStyle w:val="6"/>
                <w:rFonts w:hint="default" w:ascii="-apple-system-font" w:hAnsi="-apple-system-font" w:eastAsia="-apple-system-font" w:cs="-apple-system-font"/>
                <w:color w:val="000000"/>
                <w:spacing w:val="11"/>
                <w:sz w:val="21"/>
                <w:szCs w:val="21"/>
                <w:shd w:val="clear" w:fill="FFFFFF"/>
              </w:rPr>
              <w:t> </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Style w:val="6"/>
                <w:rFonts w:hint="default" w:ascii="-apple-system-font" w:hAnsi="-apple-system-font" w:eastAsia="-apple-system-font" w:cs="-apple-system-font"/>
                <w:color w:val="000000"/>
                <w:spacing w:val="11"/>
                <w:sz w:val="21"/>
                <w:szCs w:val="21"/>
                <w:shd w:val="clear" w:fill="FFFFFF"/>
              </w:rPr>
              <w:t> </w:t>
            </w:r>
            <w:r>
              <w:rPr>
                <w:rFonts w:hint="default" w:ascii="-apple-system-font" w:hAnsi="-apple-system-font" w:eastAsia="-apple-system-font" w:cs="-apple-system-font"/>
                <w:color w:val="000000"/>
                <w:spacing w:val="11"/>
                <w:sz w:val="21"/>
                <w:szCs w:val="21"/>
                <w:shd w:val="clear" w:fill="FFFFFF"/>
              </w:rPr>
              <w:t>投资者非理性心理分析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color w:val="000000"/>
                <w:spacing w:val="11"/>
                <w:sz w:val="21"/>
                <w:szCs w:val="21"/>
                <w:shd w:val="clear" w:fill="FFFFFF"/>
              </w:rPr>
            </w:pPr>
            <w:r>
              <w:rPr>
                <w:rFonts w:hint="default" w:ascii="-apple-system-font" w:hAnsi="-apple-system-font" w:eastAsia="-apple-system-font" w:cs="-apple-system-font"/>
                <w:color w:val="000000"/>
                <w:spacing w:val="11"/>
                <w:sz w:val="21"/>
                <w:szCs w:val="21"/>
                <w:shd w:val="clear" w:fill="FFFFFF"/>
              </w:rPr>
              <w:t>行为金融学与传统金融理论的区别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行为金融学的主要理论模型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1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模块十一 索罗斯投资哲学与经验</w:t>
            </w:r>
          </w:p>
        </w:tc>
        <w:tc>
          <w:tcPr>
            <w:tcW w:w="4770" w:type="dxa"/>
          </w:tcPr>
          <w:p>
            <w:pPr>
              <w:numPr>
                <w:ilvl w:val="0"/>
                <w:numId w:val="0"/>
              </w:numPr>
              <w:jc w:val="both"/>
              <w:rPr>
                <w:rFonts w:hint="default"/>
                <w:sz w:val="21"/>
                <w:szCs w:val="21"/>
                <w:vertAlign w:val="baseline"/>
                <w:lang w:val="en-US" w:eastAsia="zh-CN"/>
              </w:rPr>
            </w:pPr>
            <w:r>
              <w:rPr>
                <w:rFonts w:hint="default" w:ascii="-apple-system-font" w:hAnsi="-apple-system-font" w:eastAsia="-apple-system-font" w:cs="-apple-system-font"/>
                <w:color w:val="FFFFFF"/>
                <w:spacing w:val="40"/>
                <w:sz w:val="21"/>
                <w:szCs w:val="21"/>
                <w:shd w:val="clear" w:fill="D6A841"/>
              </w:rPr>
              <w:t>模块十二  金融衍生品分析与投资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ascii="微软雅黑" w:hAnsi="微软雅黑" w:eastAsia="微软雅黑" w:cs="微软雅黑"/>
                <w:color w:val="000000"/>
                <w:spacing w:val="11"/>
                <w:sz w:val="21"/>
                <w:szCs w:val="21"/>
                <w:shd w:val="clear" w:fill="FFFFFF"/>
              </w:rPr>
              <w:t>准确把握宏观经济走势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微软雅黑" w:hAnsi="微软雅黑" w:eastAsia="微软雅黑" w:cs="微软雅黑"/>
                <w:color w:val="000000"/>
                <w:spacing w:val="11"/>
                <w:sz w:val="21"/>
                <w:szCs w:val="21"/>
                <w:shd w:val="clear" w:fill="FFFFFF"/>
              </w:rPr>
              <w:t>市场波动中实现自保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sz w:val="21"/>
                <w:szCs w:val="21"/>
                <w:vertAlign w:val="baseline"/>
                <w:lang w:val="en-US" w:eastAsia="zh-CN"/>
              </w:rPr>
            </w:pPr>
            <w:r>
              <w:rPr>
                <w:rFonts w:hint="default" w:ascii="-apple-system-font" w:hAnsi="-apple-system-font" w:eastAsia="-apple-system-font" w:cs="-apple-system-font"/>
                <w:color w:val="000000"/>
                <w:spacing w:val="11"/>
                <w:sz w:val="21"/>
                <w:szCs w:val="21"/>
                <w:shd w:val="clear" w:fill="FFFFFF"/>
              </w:rPr>
              <w:t>索罗斯“三不”投资原则</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金融衍生品概论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国际金融衍生品市场的发展现状及其影响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default" w:ascii="-apple-system-font" w:hAnsi="-apple-system-font" w:eastAsia="-apple-system-font" w:cs="-apple-system-font"/>
                <w:spacing w:val="11"/>
                <w:sz w:val="21"/>
                <w:szCs w:val="21"/>
              </w:rPr>
            </w:pPr>
            <w:r>
              <w:rPr>
                <w:rFonts w:hint="default" w:ascii="-apple-system-font" w:hAnsi="-apple-system-font" w:eastAsia="-apple-system-font" w:cs="-apple-system-font"/>
                <w:color w:val="000000"/>
                <w:spacing w:val="11"/>
                <w:sz w:val="21"/>
                <w:szCs w:val="21"/>
                <w:shd w:val="clear" w:fill="FFFFFF"/>
              </w:rPr>
              <w:t>投资配置策略</w:t>
            </w:r>
          </w:p>
          <w:p>
            <w:pPr>
              <w:tabs>
                <w:tab w:val="left" w:pos="834"/>
              </w:tabs>
              <w:bidi w:val="0"/>
              <w:jc w:val="left"/>
              <w:rPr>
                <w:rFonts w:hint="default" w:asciiTheme="minorHAnsi" w:hAnsiTheme="minorHAnsi"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480" w:type="dxa"/>
            <w:gridSpan w:val="2"/>
          </w:tcPr>
          <w:p>
            <w:pPr>
              <w:numPr>
                <w:ilvl w:val="0"/>
                <w:numId w:val="0"/>
              </w:numPr>
              <w:jc w:val="center"/>
              <w:rPr>
                <w:rFonts w:hint="default"/>
                <w:sz w:val="30"/>
                <w:szCs w:val="30"/>
                <w:vertAlign w:val="baseline"/>
                <w:lang w:val="en-US" w:eastAsia="zh-CN"/>
              </w:rPr>
            </w:pPr>
            <w:r>
              <w:rPr>
                <w:rFonts w:hint="eastAsia"/>
                <w:b/>
                <w:bCs/>
                <w:sz w:val="30"/>
                <w:szCs w:val="30"/>
                <w:vertAlign w:val="baseline"/>
                <w:lang w:val="en-US" w:eastAsia="zh-CN"/>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471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color w:val="FFFFFF"/>
                <w:spacing w:val="40"/>
                <w:sz w:val="24"/>
                <w:szCs w:val="24"/>
                <w:shd w:val="clear" w:fill="D6A841"/>
              </w:rPr>
              <w:t>从企业家到企业投资家战略</w:t>
            </w:r>
          </w:p>
        </w:tc>
        <w:tc>
          <w:tcPr>
            <w:tcW w:w="477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color w:val="FFFFFF"/>
                <w:spacing w:val="40"/>
                <w:sz w:val="24"/>
                <w:szCs w:val="24"/>
                <w:shd w:val="clear" w:fill="D6A841"/>
              </w:rPr>
              <w:t>国学智慧与企业管理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71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color w:val="FFFFFF"/>
                <w:spacing w:val="40"/>
                <w:sz w:val="24"/>
                <w:szCs w:val="24"/>
                <w:shd w:val="clear" w:fill="D6A841"/>
              </w:rPr>
              <w:t>领导力建设</w:t>
            </w:r>
          </w:p>
        </w:tc>
        <w:tc>
          <w:tcPr>
            <w:tcW w:w="477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color w:val="FFFFFF"/>
                <w:spacing w:val="40"/>
                <w:sz w:val="24"/>
                <w:szCs w:val="24"/>
                <w:shd w:val="clear" w:fill="D6A841"/>
              </w:rPr>
              <w:t>国内外投资案例解读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71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color w:val="FFFFFF"/>
                <w:spacing w:val="11"/>
                <w:sz w:val="24"/>
                <w:szCs w:val="24"/>
                <w:shd w:val="clear" w:fill="D6A841"/>
              </w:rPr>
              <w:t>多层次资本市场体系与科创板</w:t>
            </w:r>
          </w:p>
        </w:tc>
        <w:tc>
          <w:tcPr>
            <w:tcW w:w="4770" w:type="dxa"/>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color w:val="FFFFFF"/>
                <w:spacing w:val="11"/>
                <w:sz w:val="24"/>
                <w:szCs w:val="24"/>
                <w:shd w:val="clear" w:fill="D6A841"/>
              </w:rPr>
              <w:t>商务路演观摩与实战</w:t>
            </w:r>
          </w:p>
        </w:tc>
      </w:tr>
    </w:tbl>
    <w:p>
      <w:pPr>
        <w:numPr>
          <w:ilvl w:val="0"/>
          <w:numId w:val="0"/>
        </w:numPr>
        <w:jc w:val="both"/>
        <w:rPr>
          <w:rFonts w:hint="eastAsia"/>
          <w:b/>
          <w:bCs/>
          <w:sz w:val="30"/>
          <w:szCs w:val="30"/>
          <w:lang w:val="en-US" w:eastAsia="zh-CN"/>
        </w:rPr>
      </w:pPr>
      <w:r>
        <w:rPr>
          <w:rFonts w:hint="eastAsia"/>
          <w:b/>
          <w:bCs/>
          <w:sz w:val="30"/>
          <w:szCs w:val="30"/>
          <w:lang w:val="en-US" w:eastAsia="zh-CN"/>
        </w:rPr>
        <w:t>【授课老师】</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何茂春</w:t>
      </w:r>
      <w:r>
        <w:rPr>
          <w:rFonts w:hint="eastAsia"/>
          <w:sz w:val="24"/>
          <w:szCs w:val="24"/>
          <w:lang w:val="en-US" w:eastAsia="zh-CN"/>
        </w:rPr>
        <w:t>：清华大学经济外交中心主任、博导，BOSS商学院首席专家。</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刘胜军</w:t>
      </w:r>
      <w:r>
        <w:rPr>
          <w:rFonts w:hint="eastAsia"/>
          <w:sz w:val="24"/>
          <w:szCs w:val="24"/>
          <w:lang w:val="en-US" w:eastAsia="zh-CN"/>
        </w:rPr>
        <w:t>：国家金融改革研究院院长、总理座谈会专家、陆家嘴论坛创始人之一。</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张云峰</w:t>
      </w:r>
      <w:r>
        <w:rPr>
          <w:rFonts w:hint="eastAsia"/>
          <w:sz w:val="24"/>
          <w:szCs w:val="24"/>
          <w:lang w:val="en-US" w:eastAsia="zh-CN"/>
        </w:rPr>
        <w:t>：上海股权托管中心党委书记、总经理。</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陆满平</w:t>
      </w:r>
      <w:r>
        <w:rPr>
          <w:rFonts w:hint="eastAsia"/>
          <w:sz w:val="24"/>
          <w:szCs w:val="24"/>
          <w:lang w:val="en-US" w:eastAsia="zh-CN"/>
        </w:rPr>
        <w:t>：平安证券投资银行总部执行总经理。</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朱少平</w:t>
      </w:r>
      <w:r>
        <w:rPr>
          <w:rFonts w:hint="eastAsia"/>
          <w:sz w:val="24"/>
          <w:szCs w:val="24"/>
          <w:lang w:val="en-US" w:eastAsia="zh-CN"/>
        </w:rPr>
        <w:t>：全国人大财经委法案室主任、北京大学财税法研究中心教授、中国政法大学破产法研究中心研究员。</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庞红</w:t>
      </w:r>
      <w:r>
        <w:rPr>
          <w:rFonts w:hint="eastAsia"/>
          <w:sz w:val="24"/>
          <w:szCs w:val="24"/>
          <w:lang w:val="en-US" w:eastAsia="zh-CN"/>
        </w:rPr>
        <w:t>：全国人大财经委法案室主任、北京大学财税法研究中心教授、中国政法大学破产法研究中心研究员。</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刘子军</w:t>
      </w:r>
      <w:r>
        <w:rPr>
          <w:rFonts w:hint="eastAsia"/>
          <w:sz w:val="24"/>
          <w:szCs w:val="24"/>
          <w:lang w:val="en-US" w:eastAsia="zh-CN"/>
        </w:rPr>
        <w:t>：一带一路国际合作发展（深圳）研究院特约研究员、深圳市国防教育促进会副会长、国防教育授课专家。</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刘东</w:t>
      </w:r>
      <w:r>
        <w:rPr>
          <w:rFonts w:hint="eastAsia"/>
          <w:sz w:val="24"/>
          <w:szCs w:val="24"/>
          <w:lang w:val="en-US" w:eastAsia="zh-CN"/>
        </w:rPr>
        <w:t>：一带一路国际合作发展（深圳）研究院特约研究员、深圳市国防教育促进会副会长、国防教育授课专家。</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房西苑</w:t>
      </w:r>
      <w:r>
        <w:rPr>
          <w:rFonts w:hint="eastAsia"/>
          <w:sz w:val="24"/>
          <w:szCs w:val="24"/>
          <w:lang w:val="en-US" w:eastAsia="zh-CN"/>
        </w:rPr>
        <w:t>：著名国际投资融资顾问,曾任美国CAPITALHOUSE投资集团驻中国首席代表,曾服务于高盛投资银行、第一波士顿投资银行。</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eastAsia"/>
          <w:sz w:val="24"/>
          <w:szCs w:val="24"/>
          <w:lang w:val="en-US" w:eastAsia="zh-CN"/>
        </w:rPr>
      </w:pPr>
      <w:r>
        <w:rPr>
          <w:rFonts w:hint="eastAsia"/>
          <w:b/>
          <w:bCs/>
          <w:sz w:val="24"/>
          <w:szCs w:val="24"/>
          <w:lang w:val="en-US" w:eastAsia="zh-CN"/>
        </w:rPr>
        <w:t>王凯立</w:t>
      </w:r>
      <w:r>
        <w:rPr>
          <w:rFonts w:hint="eastAsia"/>
          <w:sz w:val="24"/>
          <w:szCs w:val="24"/>
          <w:lang w:val="en-US" w:eastAsia="zh-CN"/>
        </w:rPr>
        <w:t>：美国犹他州立大学经济学博士台湾经济学会财务委员、多家上市公司独立董监事暨审计委员。</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2" w:firstLineChars="200"/>
        <w:jc w:val="both"/>
        <w:textAlignment w:val="auto"/>
        <w:rPr>
          <w:rFonts w:hint="default"/>
          <w:sz w:val="24"/>
          <w:szCs w:val="24"/>
          <w:lang w:val="en-US" w:eastAsia="zh-CN"/>
        </w:rPr>
      </w:pPr>
      <w:r>
        <w:rPr>
          <w:rFonts w:hint="eastAsia"/>
          <w:b/>
          <w:bCs/>
          <w:sz w:val="24"/>
          <w:szCs w:val="24"/>
          <w:lang w:val="en-US" w:eastAsia="zh-CN"/>
        </w:rPr>
        <w:t>丁志国</w:t>
      </w:r>
      <w:r>
        <w:rPr>
          <w:rFonts w:hint="eastAsia"/>
          <w:sz w:val="24"/>
          <w:szCs w:val="24"/>
          <w:lang w:val="en-US" w:eastAsia="zh-CN"/>
        </w:rPr>
        <w:t>：吉林大学商学院金融学教授,博士生导师长春市证券投资研究会副会长兼秘书长中央电视台经济频道《理财教室》主讲人。</w:t>
      </w:r>
    </w:p>
    <w:p>
      <w:pPr>
        <w:numPr>
          <w:ilvl w:val="0"/>
          <w:numId w:val="0"/>
        </w:numPr>
        <w:jc w:val="both"/>
        <w:rPr>
          <w:rFonts w:hint="eastAsia"/>
          <w:b/>
          <w:bCs/>
          <w:sz w:val="30"/>
          <w:szCs w:val="30"/>
          <w:lang w:val="en-US" w:eastAsia="zh-CN"/>
        </w:rPr>
      </w:pPr>
      <w:r>
        <w:rPr>
          <w:rFonts w:hint="eastAsia"/>
          <w:b/>
          <w:bCs/>
          <w:sz w:val="30"/>
          <w:szCs w:val="30"/>
          <w:lang w:val="en-US" w:eastAsia="zh-CN"/>
        </w:rPr>
        <w:t>【招生对象】</w:t>
      </w:r>
    </w:p>
    <w:p>
      <w:pPr>
        <w:keepNext w:val="0"/>
        <w:keepLines w:val="0"/>
        <w:widowControl/>
        <w:suppressLineNumbers w:val="0"/>
        <w:jc w:val="left"/>
        <w:rPr>
          <w:sz w:val="24"/>
          <w:szCs w:val="24"/>
        </w:rPr>
      </w:pPr>
      <w:r>
        <w:rPr>
          <w:rFonts w:ascii="宋体" w:hAnsi="宋体" w:eastAsia="宋体" w:cs="宋体"/>
          <w:spacing w:val="10"/>
          <w:kern w:val="0"/>
          <w:sz w:val="24"/>
          <w:szCs w:val="24"/>
          <w:lang w:val="en-US" w:eastAsia="zh-CN" w:bidi="ar"/>
        </w:rPr>
        <w:t>1、上市公司、拟上市公司、高新科技创新型企业等标杆性企业的董事长、 CEO、总经理或合伙人（30%以上股权并且可以查到）； </w:t>
      </w:r>
      <w:r>
        <w:rPr>
          <w:rFonts w:ascii="宋体" w:hAnsi="宋体" w:eastAsia="宋体" w:cs="宋体"/>
          <w:kern w:val="0"/>
          <w:sz w:val="24"/>
          <w:szCs w:val="24"/>
          <w:lang w:val="en-US" w:eastAsia="zh-CN" w:bidi="ar"/>
        </w:rPr>
        <w:br w:type="textWrapping"/>
      </w:r>
      <w:r>
        <w:rPr>
          <w:rFonts w:ascii="宋体" w:hAnsi="宋体" w:eastAsia="宋体" w:cs="宋体"/>
          <w:spacing w:val="10"/>
          <w:kern w:val="0"/>
          <w:sz w:val="24"/>
          <w:szCs w:val="24"/>
          <w:lang w:val="en-US" w:eastAsia="zh-CN" w:bidi="ar"/>
        </w:rPr>
        <w:t>2、政府、事业单位和国企领导，各大高校正副教授，社会知名人士； 3、投融资项目负责人、私募股权投资基金公司的项目负责人、律师事务所及会计师事务所高级管理人员、银行、证券、担保、租赁公司及投资银行的高级管理人员。</w:t>
      </w:r>
    </w:p>
    <w:p>
      <w:pPr>
        <w:numPr>
          <w:ilvl w:val="0"/>
          <w:numId w:val="0"/>
        </w:numPr>
        <w:jc w:val="both"/>
        <w:rPr>
          <w:rFonts w:hint="eastAsia"/>
          <w:b/>
          <w:bCs/>
          <w:sz w:val="30"/>
          <w:szCs w:val="30"/>
          <w:lang w:val="en-US" w:eastAsia="zh-CN"/>
        </w:rPr>
      </w:pPr>
      <w:r>
        <w:rPr>
          <w:rFonts w:hint="eastAsia"/>
          <w:b/>
          <w:bCs/>
          <w:sz w:val="30"/>
          <w:szCs w:val="30"/>
          <w:lang w:val="en-US" w:eastAsia="zh-CN"/>
        </w:rPr>
        <w:t>【入学资料】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rPr>
          <w:rFonts w:ascii="微软雅黑" w:hAnsi="微软雅黑" w:eastAsia="微软雅黑" w:cs="微软雅黑"/>
          <w:spacing w:val="10"/>
          <w:sz w:val="21"/>
          <w:szCs w:val="21"/>
        </w:rPr>
      </w:pPr>
      <w:r>
        <w:rPr>
          <w:rFonts w:hint="default" w:ascii="微软雅黑" w:hAnsi="微软雅黑" w:eastAsia="微软雅黑" w:cs="微软雅黑"/>
          <w:spacing w:val="10"/>
          <w:sz w:val="21"/>
          <w:szCs w:val="21"/>
        </w:rPr>
        <w:t>1、填写申请表一份；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rPr>
          <w:rFonts w:hint="default" w:ascii="微软雅黑" w:hAnsi="微软雅黑" w:eastAsia="微软雅黑" w:cs="微软雅黑"/>
          <w:spacing w:val="10"/>
          <w:sz w:val="21"/>
          <w:szCs w:val="21"/>
        </w:rPr>
      </w:pPr>
      <w:r>
        <w:rPr>
          <w:rFonts w:hint="default" w:ascii="微软雅黑" w:hAnsi="微软雅黑" w:eastAsia="微软雅黑" w:cs="微软雅黑"/>
          <w:spacing w:val="10"/>
          <w:sz w:val="21"/>
          <w:szCs w:val="21"/>
        </w:rPr>
        <w:t>2、最高学历证书的复印件二份；企业营业执照复印件二份；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rPr>
          <w:rFonts w:hint="default" w:ascii="微软雅黑" w:hAnsi="微软雅黑" w:eastAsia="微软雅黑" w:cs="微软雅黑"/>
          <w:spacing w:val="10"/>
          <w:sz w:val="21"/>
          <w:szCs w:val="21"/>
        </w:rPr>
      </w:pPr>
      <w:r>
        <w:rPr>
          <w:rFonts w:hint="default" w:ascii="微软雅黑" w:hAnsi="微软雅黑" w:eastAsia="微软雅黑" w:cs="微软雅黑"/>
          <w:spacing w:val="10"/>
          <w:sz w:val="21"/>
          <w:szCs w:val="21"/>
        </w:rPr>
        <w:t>3、身份证复印件二份；蓝底免冠近照二寸 2 张。</w:t>
      </w:r>
    </w:p>
    <w:p>
      <w:pPr>
        <w:numPr>
          <w:ilvl w:val="0"/>
          <w:numId w:val="0"/>
        </w:numPr>
        <w:jc w:val="both"/>
        <w:rPr>
          <w:rFonts w:hint="eastAsia"/>
          <w:b/>
          <w:bCs/>
          <w:sz w:val="30"/>
          <w:szCs w:val="30"/>
          <w:lang w:val="en-US" w:eastAsia="zh-CN"/>
        </w:rPr>
      </w:pPr>
      <w:r>
        <w:rPr>
          <w:rFonts w:hint="eastAsia"/>
          <w:b/>
          <w:bCs/>
          <w:sz w:val="30"/>
          <w:szCs w:val="30"/>
          <w:lang w:val="en-US" w:eastAsia="zh-CN"/>
        </w:rPr>
        <w:t>【报名流程】</w:t>
      </w:r>
    </w:p>
    <w:p>
      <w:pPr>
        <w:numPr>
          <w:ilvl w:val="0"/>
          <w:numId w:val="0"/>
        </w:numPr>
        <w:jc w:val="both"/>
        <w:rPr>
          <w:sz w:val="18"/>
          <w:szCs w:val="18"/>
        </w:rPr>
      </w:pPr>
      <w:r>
        <w:rPr>
          <w:sz w:val="18"/>
          <w:szCs w:val="18"/>
        </w:rPr>
        <w:drawing>
          <wp:inline distT="0" distB="0" distL="114300" distR="114300">
            <wp:extent cx="4463415" cy="731520"/>
            <wp:effectExtent l="0" t="0" r="1905" b="0"/>
            <wp:docPr id="12"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descr="IMG_290"/>
                    <pic:cNvPicPr>
                      <a:picLocks noChangeAspect="1"/>
                    </pic:cNvPicPr>
                  </pic:nvPicPr>
                  <pic:blipFill>
                    <a:blip r:embed="rId4"/>
                    <a:stretch>
                      <a:fillRect/>
                    </a:stretch>
                  </pic:blipFill>
                  <pic:spPr>
                    <a:xfrm>
                      <a:off x="0" y="0"/>
                      <a:ext cx="4463415" cy="731520"/>
                    </a:xfrm>
                    <a:prstGeom prst="rect">
                      <a:avLst/>
                    </a:prstGeom>
                    <a:noFill/>
                    <a:ln w="9525">
                      <a:noFill/>
                    </a:ln>
                  </pic:spPr>
                </pic:pic>
              </a:graphicData>
            </a:graphic>
          </wp:inline>
        </w:drawing>
      </w:r>
    </w:p>
    <w:p>
      <w:pPr>
        <w:numPr>
          <w:ilvl w:val="0"/>
          <w:numId w:val="0"/>
        </w:numPr>
        <w:jc w:val="both"/>
        <w:rPr>
          <w:rFonts w:hint="eastAsia"/>
          <w:sz w:val="30"/>
          <w:szCs w:val="30"/>
          <w:lang w:val="en-US" w:eastAsia="zh-CN"/>
        </w:rPr>
      </w:pPr>
    </w:p>
    <w:p>
      <w:pPr>
        <w:numPr>
          <w:ilvl w:val="0"/>
          <w:numId w:val="0"/>
        </w:numPr>
        <w:jc w:val="both"/>
        <w:rPr>
          <w:rFonts w:hint="eastAsia"/>
          <w:b/>
          <w:bCs/>
          <w:sz w:val="30"/>
          <w:szCs w:val="30"/>
          <w:lang w:val="en-US" w:eastAsia="zh-CN"/>
        </w:rPr>
      </w:pPr>
      <w:r>
        <w:rPr>
          <w:rFonts w:hint="eastAsia"/>
          <w:b/>
          <w:bCs/>
          <w:sz w:val="30"/>
          <w:szCs w:val="30"/>
          <w:lang w:val="en-US" w:eastAsia="zh-CN"/>
        </w:rPr>
        <w:t>【学制学费】</w:t>
      </w:r>
    </w:p>
    <w:p>
      <w:pPr>
        <w:keepNext w:val="0"/>
        <w:keepLines w:val="0"/>
        <w:widowControl/>
        <w:suppressLineNumbers w:val="0"/>
        <w:jc w:val="left"/>
        <w:rPr>
          <w:rFonts w:hint="default" w:ascii="-apple-system-font" w:hAnsi="-apple-system-font" w:eastAsia="-apple-system-font" w:cs="-apple-system-font"/>
          <w:color w:val="auto"/>
          <w:spacing w:val="10"/>
          <w:kern w:val="0"/>
          <w:sz w:val="24"/>
          <w:szCs w:val="24"/>
          <w:lang w:val="en-US" w:eastAsia="zh-CN" w:bidi="ar"/>
        </w:rPr>
      </w:pPr>
      <w:r>
        <w:rPr>
          <w:rStyle w:val="6"/>
          <w:rFonts w:ascii="宋体" w:hAnsi="宋体" w:eastAsia="宋体" w:cs="宋体"/>
          <w:spacing w:val="10"/>
          <w:kern w:val="0"/>
          <w:sz w:val="24"/>
          <w:szCs w:val="24"/>
          <w:lang w:val="en-US" w:eastAsia="zh-CN" w:bidi="ar"/>
        </w:rPr>
        <w:t>学费：42800元/人</w:t>
      </w:r>
      <w:r>
        <w:rPr>
          <w:rFonts w:ascii="宋体" w:hAnsi="宋体" w:eastAsia="宋体" w:cs="宋体"/>
          <w:spacing w:val="10"/>
          <w:kern w:val="0"/>
          <w:sz w:val="24"/>
          <w:szCs w:val="24"/>
          <w:lang w:val="en-US" w:eastAsia="zh-CN" w:bidi="ar"/>
        </w:rPr>
        <w:t>，课程期间的食宿、游学及班级活动费用自理</w:t>
      </w:r>
      <w:r>
        <w:rPr>
          <w:rFonts w:ascii="宋体" w:hAnsi="宋体" w:eastAsia="宋体" w:cs="宋体"/>
          <w:kern w:val="0"/>
          <w:sz w:val="24"/>
          <w:szCs w:val="24"/>
          <w:lang w:val="en-US" w:eastAsia="zh-CN" w:bidi="ar"/>
        </w:rPr>
        <w:br w:type="textWrapping"/>
      </w:r>
      <w:r>
        <w:rPr>
          <w:rStyle w:val="6"/>
          <w:rFonts w:ascii="宋体" w:hAnsi="宋体" w:eastAsia="宋体" w:cs="宋体"/>
          <w:spacing w:val="10"/>
          <w:kern w:val="0"/>
          <w:sz w:val="24"/>
          <w:szCs w:val="24"/>
          <w:lang w:val="en-US" w:eastAsia="zh-CN" w:bidi="ar"/>
        </w:rPr>
        <w:t>学制：</w:t>
      </w:r>
      <w:r>
        <w:rPr>
          <w:rFonts w:ascii="宋体" w:hAnsi="宋体" w:eastAsia="宋体" w:cs="宋体"/>
          <w:spacing w:val="10"/>
          <w:kern w:val="0"/>
          <w:sz w:val="24"/>
          <w:szCs w:val="24"/>
          <w:lang w:val="en-US" w:eastAsia="zh-CN" w:bidi="ar"/>
        </w:rPr>
        <w:t>1.5年，分阶段授课。每月上课一次，每次集中授课2天（周末）</w:t>
      </w:r>
      <w:r>
        <w:rPr>
          <w:rFonts w:hint="default" w:ascii="-apple-system-font" w:hAnsi="-apple-system-font" w:eastAsia="-apple-system-font" w:cs="-apple-system-font"/>
          <w:color w:val="888888"/>
          <w:spacing w:val="10"/>
          <w:kern w:val="0"/>
          <w:sz w:val="24"/>
          <w:szCs w:val="24"/>
          <w:lang w:val="en-US" w:eastAsia="zh-CN" w:bidi="ar"/>
        </w:rPr>
        <w:t>*</w:t>
      </w:r>
      <w:r>
        <w:rPr>
          <w:rFonts w:hint="default" w:ascii="-apple-system-font" w:hAnsi="-apple-system-font" w:eastAsia="-apple-system-font" w:cs="-apple-system-font"/>
          <w:color w:val="auto"/>
          <w:spacing w:val="10"/>
          <w:kern w:val="0"/>
          <w:sz w:val="24"/>
          <w:szCs w:val="24"/>
          <w:lang w:val="en-US" w:eastAsia="zh-CN" w:bidi="ar"/>
        </w:rPr>
        <w:t>考核合格，可颁发郑州大学干部培训中心结业证书</w:t>
      </w:r>
    </w:p>
    <w:p>
      <w:pPr>
        <w:numPr>
          <w:ilvl w:val="0"/>
          <w:numId w:val="0"/>
        </w:numPr>
        <w:jc w:val="both"/>
        <w:rPr>
          <w:rFonts w:hint="eastAsia"/>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09DF2"/>
    <w:multiLevelType w:val="singleLevel"/>
    <w:tmpl w:val="13B09DF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E53F7"/>
    <w:rsid w:val="07911DEB"/>
    <w:rsid w:val="07C6318F"/>
    <w:rsid w:val="0914537E"/>
    <w:rsid w:val="100773AB"/>
    <w:rsid w:val="14EE2F97"/>
    <w:rsid w:val="156E0392"/>
    <w:rsid w:val="230F0C77"/>
    <w:rsid w:val="2B690D08"/>
    <w:rsid w:val="338C1B5A"/>
    <w:rsid w:val="36A74CCE"/>
    <w:rsid w:val="40102C5D"/>
    <w:rsid w:val="44AB43A8"/>
    <w:rsid w:val="54DA66BB"/>
    <w:rsid w:val="5C780392"/>
    <w:rsid w:val="60494A2F"/>
    <w:rsid w:val="61FD4E43"/>
    <w:rsid w:val="634B5DC1"/>
    <w:rsid w:val="64252660"/>
    <w:rsid w:val="6E564584"/>
    <w:rsid w:val="7B31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wjd</dc:creator>
  <cp:lastModifiedBy>郭朋云</cp:lastModifiedBy>
  <dcterms:modified xsi:type="dcterms:W3CDTF">2021-04-12T08:24:19Z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728CD1205F1342A5AD2A8943685C7D6F</vt:lpwstr>
  </property>
</Properties>
</file>