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雅黑" w:hAnsi="微软雅黑" w:eastAsia="微软雅黑" w:cs="微软雅黑"/>
          <w:b/>
          <w:bCs/>
          <w:sz w:val="40"/>
          <w:szCs w:val="40"/>
          <w:lang w:eastAsia="zh-CN"/>
        </w:rPr>
      </w:pPr>
      <w:r>
        <w:rPr>
          <w:rFonts w:hint="eastAsia" w:ascii="微软雅黑" w:hAnsi="微软雅黑" w:eastAsia="微软雅黑" w:cs="微软雅黑"/>
          <w:b/>
          <w:bCs/>
          <w:sz w:val="40"/>
          <w:szCs w:val="40"/>
          <w:lang w:eastAsia="zh-CN"/>
        </w:rPr>
        <w:drawing>
          <wp:inline distT="0" distB="0" distL="114300" distR="114300">
            <wp:extent cx="2786380" cy="711200"/>
            <wp:effectExtent l="0" t="0" r="2540" b="5080"/>
            <wp:docPr id="3" name="图片 3" descr="7c3d28f9486190fab09c0c912efe6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c3d28f9486190fab09c0c912efe6b8"/>
                    <pic:cNvPicPr>
                      <a:picLocks noChangeAspect="1"/>
                    </pic:cNvPicPr>
                  </pic:nvPicPr>
                  <pic:blipFill>
                    <a:blip r:embed="rId5"/>
                    <a:stretch>
                      <a:fillRect/>
                    </a:stretch>
                  </pic:blipFill>
                  <pic:spPr>
                    <a:xfrm>
                      <a:off x="0" y="0"/>
                      <a:ext cx="2786380" cy="711200"/>
                    </a:xfrm>
                    <a:prstGeom prst="rect">
                      <a:avLst/>
                    </a:prstGeom>
                  </pic:spPr>
                </pic:pic>
              </a:graphicData>
            </a:graphic>
          </wp:inline>
        </w:drawing>
      </w:r>
    </w:p>
    <w:p>
      <w:pPr>
        <w:spacing w:line="360" w:lineRule="auto"/>
        <w:jc w:val="center"/>
        <w:rPr>
          <w:rFonts w:hint="eastAsia" w:ascii="微软雅黑" w:hAnsi="微软雅黑" w:eastAsia="微软雅黑" w:cs="微软雅黑"/>
          <w:b/>
          <w:bCs/>
          <w:sz w:val="40"/>
          <w:szCs w:val="40"/>
          <w:lang w:val="en-US" w:eastAsia="zh-CN"/>
        </w:rPr>
      </w:pPr>
      <w:r>
        <w:rPr>
          <w:rFonts w:hint="default" w:ascii="微软雅黑" w:hAnsi="微软雅黑" w:eastAsia="微软雅黑" w:cs="微软雅黑"/>
          <w:b/>
          <w:bCs/>
          <w:sz w:val="40"/>
          <w:szCs w:val="40"/>
          <w:lang w:val="en-US"/>
        </w:rPr>
        <mc:AlternateContent>
          <mc:Choice Requires="wps">
            <w:drawing>
              <wp:anchor distT="0" distB="0" distL="114300" distR="114300" simplePos="0" relativeHeight="251660288" behindDoc="0" locked="0" layoutInCell="1" allowOverlap="1">
                <wp:simplePos x="0" y="0"/>
                <wp:positionH relativeFrom="column">
                  <wp:posOffset>256540</wp:posOffset>
                </wp:positionH>
                <wp:positionV relativeFrom="paragraph">
                  <wp:posOffset>472440</wp:posOffset>
                </wp:positionV>
                <wp:extent cx="4937125" cy="6985"/>
                <wp:effectExtent l="0" t="0" r="0" b="0"/>
                <wp:wrapNone/>
                <wp:docPr id="4" name="直接连接符 4"/>
                <wp:cNvGraphicFramePr/>
                <a:graphic xmlns:a="http://schemas.openxmlformats.org/drawingml/2006/main">
                  <a:graphicData uri="http://schemas.microsoft.com/office/word/2010/wordprocessingShape">
                    <wps:wsp>
                      <wps:cNvCnPr/>
                      <wps:spPr>
                        <a:xfrm>
                          <a:off x="0" y="0"/>
                          <a:ext cx="4937125" cy="6985"/>
                        </a:xfrm>
                        <a:prstGeom prst="line">
                          <a:avLst/>
                        </a:prstGeom>
                        <a:ln w="9525" cap="flat" cmpd="sng">
                          <a:solidFill>
                            <a:srgbClr val="A6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2pt;margin-top:37.2pt;height:0.55pt;width:388.75pt;z-index:251660288;mso-width-relative:page;mso-height-relative:page;" filled="f" stroked="t" coordsize="21600,21600" o:gfxdata="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fnSHfYAAAACAEAAA8AAAAAAAAAAQAgAAAAIgAAAGRycy9kb3ducmV2Lnht&#10;bFBLAQIUABQAAAAIAIdO4kDohyXp+QEAAOcDAAAOAAAAAAAAAAEAIAAAACcBAABkcnMvZTJvRG9j&#10;LnhtbFBLBQYAAAAABgAGAFkBAACSBQAAAAA=&#10;">
                <v:fill on="f" focussize="0,0"/>
                <v:stroke color="#A60000" joinstyle="round"/>
                <v:imagedata o:title=""/>
                <o:lock v:ext="edit" aspectratio="f"/>
              </v:line>
            </w:pict>
          </mc:Fallback>
        </mc:AlternateContent>
      </w:r>
      <w:r>
        <w:rPr>
          <w:rFonts w:hint="default" w:ascii="微软雅黑" w:hAnsi="微软雅黑" w:eastAsia="微软雅黑" w:cs="微软雅黑"/>
          <w:b/>
          <w:bCs/>
          <w:sz w:val="40"/>
          <w:szCs w:val="40"/>
          <w:lang w:val="en-US"/>
        </w:rPr>
        <mc:AlternateContent>
          <mc:Choice Requires="wps">
            <w:drawing>
              <wp:anchor distT="0" distB="0" distL="114300" distR="114300" simplePos="0" relativeHeight="251659264" behindDoc="0" locked="0" layoutInCell="1" allowOverlap="1">
                <wp:simplePos x="0" y="0"/>
                <wp:positionH relativeFrom="column">
                  <wp:posOffset>263525</wp:posOffset>
                </wp:positionH>
                <wp:positionV relativeFrom="paragraph">
                  <wp:posOffset>524510</wp:posOffset>
                </wp:positionV>
                <wp:extent cx="4929505" cy="76200"/>
                <wp:effectExtent l="4445" t="4445" r="19050" b="10795"/>
                <wp:wrapNone/>
                <wp:docPr id="2" name="矩形 2"/>
                <wp:cNvGraphicFramePr/>
                <a:graphic xmlns:a="http://schemas.openxmlformats.org/drawingml/2006/main">
                  <a:graphicData uri="http://schemas.microsoft.com/office/word/2010/wordprocessingShape">
                    <wps:wsp>
                      <wps:cNvSpPr/>
                      <wps:spPr>
                        <a:xfrm>
                          <a:off x="0" y="0"/>
                          <a:ext cx="4929505" cy="76200"/>
                        </a:xfrm>
                        <a:prstGeom prst="rect">
                          <a:avLst/>
                        </a:prstGeom>
                        <a:solidFill>
                          <a:srgbClr val="9C0000"/>
                        </a:solidFill>
                        <a:ln w="9525" cap="flat" cmpd="sng">
                          <a:solidFill>
                            <a:srgbClr val="A6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20.75pt;margin-top:41.3pt;height:6pt;width:388.15pt;z-index:251659264;mso-width-relative:page;mso-height-relative:page;" fillcolor="#9C0000" filled="t" stroked="t" coordsize="21600,21600" o:gfxdata="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08AyG1wAAAAgBAAAPAAAAAAAAAAEAIAAAACIAAABkcnMvZG93&#10;bnJldi54bWxQSwECFAAUAAAACACHTuJAOOHuhQECAAAoBAAADgAAAAAAAAABACAAAAAmAQAAZHJz&#10;L2Uyb0RvYy54bWxQSwUGAAAAAAYABgBZAQAAmQUAAAAA&#10;">
                <v:fill on="t" focussize="0,0"/>
                <v:stroke color="#A60000" joinstyle="miter"/>
                <v:imagedata o:title=""/>
                <o:lock v:ext="edit" aspectratio="f"/>
                <v:textbox>
                  <w:txbxContent>
                    <w:p>
                      <w:pPr>
                        <w:jc w:val="center"/>
                      </w:pPr>
                    </w:p>
                  </w:txbxContent>
                </v:textbox>
              </v:rect>
            </w:pict>
          </mc:Fallback>
        </mc:AlternateContent>
      </w:r>
      <w:r>
        <w:rPr>
          <w:rFonts w:hint="eastAsia" w:ascii="微软雅黑" w:hAnsi="微软雅黑" w:eastAsia="微软雅黑" w:cs="微软雅黑"/>
          <w:b/>
          <w:bCs/>
          <w:sz w:val="40"/>
          <w:szCs w:val="40"/>
          <w:lang w:val="en-US" w:eastAsia="zh-CN"/>
        </w:rPr>
        <w:t>高净值董事长</w:t>
      </w:r>
      <w:r>
        <w:rPr>
          <w:rFonts w:hint="eastAsia" w:ascii="微软雅黑" w:hAnsi="微软雅黑" w:eastAsia="微软雅黑" w:cs="微软雅黑"/>
          <w:b/>
          <w:bCs/>
          <w:sz w:val="40"/>
          <w:szCs w:val="40"/>
        </w:rPr>
        <w:t>实战精修班</w:t>
      </w:r>
      <w:r>
        <w:rPr>
          <w:rFonts w:hint="eastAsia" w:ascii="微软雅黑" w:hAnsi="微软雅黑" w:eastAsia="微软雅黑" w:cs="微软雅黑"/>
          <w:b/>
          <w:bCs/>
          <w:sz w:val="40"/>
          <w:szCs w:val="40"/>
          <w:lang w:val="en-US" w:eastAsia="zh-CN"/>
        </w:rPr>
        <w:t>招生简章</w:t>
      </w:r>
    </w:p>
    <w:p>
      <w:pPr>
        <w:widowControl/>
        <w:shd w:val="clear" w:color="auto" w:fill="FFFFFF"/>
        <w:spacing w:line="360" w:lineRule="atLeast"/>
        <w:jc w:val="center"/>
        <w:rPr>
          <w:rFonts w:hint="eastAsia" w:ascii="华文琥珀" w:hAnsi="华文琥珀" w:eastAsia="华文琥珀" w:cs="华文琥珀"/>
          <w:color w:val="A20000"/>
          <w:kern w:val="0"/>
          <w:sz w:val="44"/>
          <w:szCs w:val="44"/>
          <w:lang w:val="en-US" w:eastAsia="zh-CN"/>
        </w:rPr>
      </w:pPr>
      <w:r>
        <w:rPr>
          <w:rFonts w:hint="eastAsia" w:ascii="华文琥珀" w:hAnsi="华文琥珀" w:eastAsia="华文琥珀" w:cs="华文琥珀"/>
          <w:color w:val="A20000"/>
          <w:kern w:val="0"/>
          <w:sz w:val="44"/>
          <w:szCs w:val="44"/>
          <w:lang w:val="en-US" w:eastAsia="zh-CN"/>
        </w:rPr>
        <w:t xml:space="preserve">  熔炼智慧    变革创新    掌控全局</w:t>
      </w:r>
    </w:p>
    <w:p>
      <w:pPr>
        <w:widowControl/>
        <w:shd w:val="clear" w:color="auto" w:fill="FFFFFF"/>
        <w:spacing w:line="360" w:lineRule="atLeast"/>
        <w:jc w:val="center"/>
        <w:rPr>
          <w:rFonts w:hint="default" w:ascii="华文琥珀" w:hAnsi="华文琥珀" w:eastAsia="华文琥珀" w:cs="华文琥珀"/>
          <w:color w:val="A2000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Style w:val="9"/>
          <w:rFonts w:hint="eastAsia" w:ascii="Calibri" w:hAnsi="Calibri" w:eastAsia="楷体" w:cs="Calibri"/>
          <w:color w:val="9C0000"/>
          <w:sz w:val="32"/>
          <w:szCs w:val="32"/>
          <w:shd w:val="clear" w:color="auto" w:fill="FFFFFF"/>
          <w:lang w:val="en-US" w:eastAsia="zh-CN"/>
        </w:rPr>
      </w:pPr>
      <w:r>
        <w:rPr>
          <w:rStyle w:val="9"/>
          <w:rFonts w:hint="eastAsia" w:ascii="Calibri" w:hAnsi="Calibri" w:eastAsia="楷体" w:cs="Calibri"/>
          <w:color w:val="9C0000"/>
          <w:sz w:val="32"/>
          <w:szCs w:val="32"/>
          <w:shd w:val="clear" w:color="auto" w:fill="FFFFFF"/>
          <w:lang w:val="en-US" w:eastAsia="zh-CN"/>
        </w:rPr>
        <w:t>【项目背景】</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cs="宋体"/>
          <w:sz w:val="24"/>
          <w:szCs w:val="24"/>
          <w:lang w:val="en-US" w:eastAsia="zh-CN"/>
        </w:rPr>
      </w:pPr>
      <w:r>
        <w:rPr>
          <w:rFonts w:hint="eastAsia" w:ascii="宋体" w:hAnsi="宋体" w:cs="宋体"/>
          <w:sz w:val="24"/>
          <w:szCs w:val="24"/>
          <w:lang w:val="en-US" w:eastAsia="zh-CN"/>
        </w:rPr>
        <w:t>疫情的</w:t>
      </w:r>
      <w:r>
        <w:rPr>
          <w:rFonts w:hint="eastAsia" w:ascii="宋体" w:hAnsi="宋体" w:cs="宋体"/>
          <w:sz w:val="24"/>
          <w:szCs w:val="24"/>
        </w:rPr>
        <w:t>硝烟</w:t>
      </w:r>
      <w:r>
        <w:rPr>
          <w:rFonts w:hint="eastAsia" w:ascii="宋体" w:hAnsi="宋体" w:cs="宋体"/>
          <w:sz w:val="24"/>
          <w:szCs w:val="24"/>
          <w:lang w:val="en-US" w:eastAsia="zh-CN"/>
        </w:rPr>
        <w:t>渐渐退却</w:t>
      </w:r>
      <w:r>
        <w:rPr>
          <w:rFonts w:hint="eastAsia" w:ascii="宋体" w:hAnsi="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十三五规划</w:t>
      </w:r>
      <w:r>
        <w:rPr>
          <w:rFonts w:hint="eastAsia" w:ascii="宋体" w:hAnsi="宋体" w:cs="宋体"/>
          <w:sz w:val="24"/>
          <w:szCs w:val="24"/>
          <w:lang w:eastAsia="zh-CN"/>
        </w:rPr>
        <w:t>”</w:t>
      </w:r>
      <w:r>
        <w:rPr>
          <w:rFonts w:hint="eastAsia" w:ascii="宋体" w:hAnsi="宋体" w:cs="宋体"/>
          <w:sz w:val="24"/>
          <w:szCs w:val="24"/>
          <w:lang w:val="en-US" w:eastAsia="zh-CN"/>
        </w:rPr>
        <w:t>圆满收官，</w:t>
      </w:r>
      <w:r>
        <w:rPr>
          <w:rFonts w:hint="eastAsia" w:ascii="宋体" w:hAnsi="宋体" w:cs="宋体"/>
          <w:sz w:val="24"/>
          <w:szCs w:val="24"/>
        </w:rPr>
        <w:t>新一轮经济升温已经开始</w:t>
      </w:r>
      <w:r>
        <w:rPr>
          <w:rFonts w:hint="eastAsia" w:ascii="宋体" w:hAnsi="宋体" w:cs="宋体"/>
          <w:sz w:val="24"/>
          <w:szCs w:val="24"/>
          <w:lang w:eastAsia="zh-CN"/>
        </w:rPr>
        <w:t>。</w:t>
      </w:r>
      <w:r>
        <w:rPr>
          <w:rFonts w:hint="eastAsia" w:ascii="宋体" w:hAnsi="宋体" w:cs="宋体"/>
          <w:sz w:val="24"/>
          <w:szCs w:val="24"/>
          <w:lang w:val="en-US" w:eastAsia="zh-CN"/>
        </w:rPr>
        <w:t>当前世界百年未有之大变局正加速演变，</w:t>
      </w:r>
      <w:r>
        <w:rPr>
          <w:rFonts w:hint="eastAsia" w:ascii="宋体" w:hAnsi="宋体" w:cs="宋体"/>
          <w:sz w:val="24"/>
          <w:szCs w:val="24"/>
        </w:rPr>
        <w:t>综合判断国际国内形势，中国发展仍处于可以大有作为的重要战略机遇期</w:t>
      </w:r>
      <w:r>
        <w:rPr>
          <w:rFonts w:hint="eastAsia" w:ascii="宋体" w:hAnsi="宋体" w:cs="宋体"/>
          <w:sz w:val="24"/>
          <w:szCs w:val="24"/>
          <w:lang w:eastAsia="zh-CN"/>
        </w:rPr>
        <w:t>。</w:t>
      </w:r>
      <w:r>
        <w:rPr>
          <w:rFonts w:hint="eastAsia" w:ascii="宋体" w:hAnsi="宋体" w:cs="宋体"/>
          <w:sz w:val="24"/>
          <w:szCs w:val="24"/>
          <w:lang w:val="en-US" w:eastAsia="zh-CN"/>
        </w:rPr>
        <w:t>在新的历史机遇期，中国企业将面临大的发展机遇与风险并存的局面，然而当多数企业家埋首于企业管理的具体事务以及局限于行业红海竞争中无法自拔时，只有少数商界精英在眺望远方。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 xml:space="preserve">“危机”之中往往蕴藏着“转机”。在变幻万千的新形势之下，只有不断随经济变化梳理自己的商业模式，才有可能异军突起，从红海中脱颖而出。欲顺势而立，信心比黄金更珍贵！而坚定的信心只能来源于正确的学习和判断！在这个历史拐点，让我们汇聚在知识的殿堂，聆听大师们的谆谆教导，倾听多位专家对当下时局的剖析以及企业应对的良策。让我们从经营之道中寻觅对策，内外兼修，让企业家的领导魅力得到升华。叩开当前复杂经济环境条件下企业经营之门，让我们共同走向机遇与挑战并存的“十四五”征程。 </w:t>
      </w:r>
    </w:p>
    <w:p>
      <w:pPr>
        <w:keepNext w:val="0"/>
        <w:keepLines w:val="0"/>
        <w:pageBreakBefore w:val="0"/>
        <w:widowControl w:val="0"/>
        <w:kinsoku/>
        <w:wordWrap/>
        <w:overflowPunct/>
        <w:topLinePunct w:val="0"/>
        <w:autoSpaceDE/>
        <w:autoSpaceDN/>
        <w:bidi w:val="0"/>
        <w:adjustRightInd/>
        <w:snapToGrid/>
        <w:spacing w:line="480" w:lineRule="auto"/>
        <w:textAlignment w:val="auto"/>
        <w:rPr>
          <w:rStyle w:val="9"/>
          <w:rFonts w:hint="eastAsia" w:ascii="Calibri" w:hAnsi="Calibri" w:eastAsia="楷体" w:cs="Calibri"/>
          <w:color w:val="9C0000"/>
          <w:sz w:val="32"/>
          <w:szCs w:val="32"/>
          <w:shd w:val="clear" w:color="auto" w:fill="FFFFFF"/>
        </w:rPr>
      </w:pPr>
      <w:r>
        <w:rPr>
          <w:rStyle w:val="9"/>
          <w:rFonts w:hint="eastAsia" w:ascii="Calibri" w:hAnsi="Calibri" w:eastAsia="楷体" w:cs="Calibri"/>
          <w:color w:val="9C0000"/>
          <w:sz w:val="32"/>
          <w:szCs w:val="32"/>
          <w:shd w:val="clear" w:color="auto" w:fill="FFFFFF"/>
          <w:lang w:val="en-US" w:eastAsia="zh-CN"/>
        </w:rPr>
        <w:t>【课程</w:t>
      </w:r>
      <w:r>
        <w:rPr>
          <w:rStyle w:val="9"/>
          <w:rFonts w:hint="eastAsia" w:ascii="Calibri" w:hAnsi="Calibri" w:eastAsia="楷体" w:cs="Calibri"/>
          <w:color w:val="9C0000"/>
          <w:sz w:val="32"/>
          <w:szCs w:val="32"/>
          <w:shd w:val="clear" w:color="auto" w:fill="FFFFFF"/>
        </w:rPr>
        <w:t>目标</w:t>
      </w:r>
      <w:r>
        <w:rPr>
          <w:rStyle w:val="9"/>
          <w:rFonts w:hint="eastAsia" w:ascii="Calibri" w:hAnsi="Calibri" w:eastAsia="楷体" w:cs="Calibri"/>
          <w:color w:val="9C0000"/>
          <w:sz w:val="32"/>
          <w:szCs w:val="32"/>
          <w:shd w:val="clear" w:color="auto" w:fill="FFFFFF"/>
          <w:lang w:val="en-US" w:eastAsia="zh-CN"/>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40" w:lineRule="atLeast"/>
        <w:textAlignment w:val="auto"/>
        <w:rPr>
          <w:rFonts w:hint="eastAsia" w:ascii="宋体" w:hAnsi="宋体" w:eastAsia="宋体" w:cs="宋体"/>
          <w:kern w:val="2"/>
          <w:sz w:val="24"/>
          <w:szCs w:val="24"/>
          <w:lang w:val="en-US" w:eastAsia="zh-CN" w:bidi="ar-SA"/>
        </w:rPr>
      </w:pPr>
      <w:r>
        <w:rPr>
          <w:rStyle w:val="9"/>
          <w:rFonts w:hint="eastAsia" w:ascii="宋体" w:hAnsi="宋体" w:eastAsia="宋体" w:cs="宋体"/>
        </w:rPr>
        <w:t>突破思维</w:t>
      </w:r>
      <w:r>
        <w:rPr>
          <w:rStyle w:val="9"/>
          <w:rFonts w:hint="eastAsia" w:ascii="宋体" w:hAnsi="宋体" w:eastAsia="宋体" w:cs="宋体"/>
          <w:lang w:val="en-US" w:eastAsia="zh-CN"/>
        </w:rPr>
        <w:t>认知</w:t>
      </w:r>
      <w:r>
        <w:rPr>
          <w:rStyle w:val="9"/>
          <w:rFonts w:hint="eastAsia" w:ascii="仿宋" w:hAnsi="仿宋" w:eastAsia="仿宋" w:cs="仿宋"/>
        </w:rPr>
        <w:t>：</w:t>
      </w:r>
      <w:r>
        <w:rPr>
          <w:rFonts w:hint="eastAsia" w:ascii="宋体" w:hAnsi="宋体" w:eastAsia="宋体" w:cs="宋体"/>
          <w:kern w:val="2"/>
          <w:sz w:val="24"/>
          <w:szCs w:val="24"/>
          <w:lang w:val="en-US" w:eastAsia="zh-CN" w:bidi="ar-SA"/>
        </w:rPr>
        <w:t>帮助企业家完成从“生意”到“事业”的进化；</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40" w:lineRule="atLeast"/>
        <w:textAlignment w:val="auto"/>
        <w:rPr>
          <w:rFonts w:hint="eastAsia" w:ascii="宋体" w:hAnsi="宋体" w:eastAsia="宋体" w:cs="宋体"/>
          <w:kern w:val="2"/>
          <w:sz w:val="24"/>
          <w:szCs w:val="24"/>
          <w:lang w:val="en-US" w:eastAsia="zh-CN" w:bidi="ar-SA"/>
        </w:rPr>
      </w:pPr>
      <w:r>
        <w:rPr>
          <w:rStyle w:val="9"/>
          <w:rFonts w:hint="eastAsia" w:ascii="宋体" w:hAnsi="宋体" w:eastAsia="宋体" w:cs="宋体"/>
        </w:rPr>
        <w:t>谋求</w:t>
      </w:r>
      <w:r>
        <w:rPr>
          <w:rStyle w:val="9"/>
          <w:rFonts w:hint="eastAsia" w:ascii="宋体" w:hAnsi="宋体" w:eastAsia="宋体" w:cs="宋体"/>
          <w:lang w:val="en-US" w:eastAsia="zh-CN"/>
        </w:rPr>
        <w:t>管理</w:t>
      </w:r>
      <w:r>
        <w:rPr>
          <w:rStyle w:val="9"/>
          <w:rFonts w:hint="eastAsia" w:ascii="宋体" w:hAnsi="宋体" w:eastAsia="宋体" w:cs="宋体"/>
        </w:rPr>
        <w:t>创新</w:t>
      </w:r>
      <w:r>
        <w:rPr>
          <w:rStyle w:val="9"/>
          <w:rFonts w:hint="eastAsia" w:ascii="仿宋" w:hAnsi="仿宋" w:eastAsia="仿宋" w:cs="仿宋"/>
          <w:b w:val="0"/>
          <w:bCs w:val="0"/>
        </w:rPr>
        <w:t>：</w:t>
      </w:r>
      <w:r>
        <w:rPr>
          <w:rFonts w:hint="eastAsia" w:ascii="宋体" w:hAnsi="宋体" w:eastAsia="宋体" w:cs="宋体"/>
          <w:kern w:val="2"/>
          <w:sz w:val="24"/>
          <w:szCs w:val="24"/>
          <w:lang w:val="en-US" w:eastAsia="zh-CN" w:bidi="ar-SA"/>
        </w:rPr>
        <w:t>帮助企业家突破过往成功的路径依赖，让创新驱动变革；</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40" w:lineRule="atLeast"/>
        <w:textAlignment w:val="auto"/>
        <w:rPr>
          <w:rFonts w:hint="eastAsia" w:ascii="宋体" w:hAnsi="宋体" w:eastAsia="宋体" w:cs="宋体"/>
          <w:kern w:val="2"/>
          <w:sz w:val="24"/>
          <w:szCs w:val="24"/>
          <w:lang w:val="en-US" w:eastAsia="zh-CN" w:bidi="ar-SA"/>
        </w:rPr>
      </w:pPr>
      <w:r>
        <w:rPr>
          <w:rStyle w:val="9"/>
          <w:rFonts w:hint="eastAsia" w:ascii="宋体" w:hAnsi="宋体" w:eastAsia="宋体" w:cs="宋体"/>
        </w:rPr>
        <w:t>实现组织提升</w:t>
      </w:r>
      <w:r>
        <w:rPr>
          <w:rStyle w:val="9"/>
          <w:rFonts w:hint="eastAsia" w:ascii="仿宋" w:hAnsi="仿宋" w:eastAsia="仿宋" w:cs="仿宋"/>
          <w:b w:val="0"/>
          <w:bCs w:val="0"/>
        </w:rPr>
        <w:t>：</w:t>
      </w:r>
      <w:r>
        <w:rPr>
          <w:rFonts w:hint="eastAsia" w:ascii="宋体" w:hAnsi="宋体" w:eastAsia="宋体" w:cs="宋体"/>
          <w:kern w:val="2"/>
          <w:sz w:val="24"/>
          <w:szCs w:val="24"/>
          <w:lang w:val="en-US" w:eastAsia="zh-CN" w:bidi="ar-SA"/>
        </w:rPr>
        <w:t>帮助企业家从“打造个人英雄”到“培养精英团队”的组织进化；</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kern w:val="2"/>
          <w:sz w:val="24"/>
          <w:szCs w:val="24"/>
          <w:lang w:val="en-US" w:eastAsia="zh-CN" w:bidi="ar-SA"/>
        </w:rPr>
      </w:pPr>
      <w:r>
        <w:rPr>
          <w:rStyle w:val="9"/>
          <w:rFonts w:hint="eastAsia" w:ascii="宋体" w:hAnsi="宋体" w:eastAsia="宋体" w:cs="宋体"/>
          <w:kern w:val="0"/>
          <w:sz w:val="24"/>
          <w:szCs w:val="24"/>
          <w:lang w:val="en-US" w:eastAsia="zh-CN" w:bidi="ar-SA"/>
        </w:rPr>
        <w:t>升华自身格局</w:t>
      </w:r>
      <w:r>
        <w:rPr>
          <w:rStyle w:val="9"/>
          <w:rFonts w:hint="eastAsia" w:ascii="仿宋" w:hAnsi="仿宋" w:eastAsia="仿宋" w:cs="仿宋"/>
        </w:rPr>
        <w:t>：</w:t>
      </w:r>
      <w:r>
        <w:rPr>
          <w:rFonts w:hint="eastAsia" w:ascii="宋体" w:hAnsi="宋体" w:eastAsia="宋体" w:cs="宋体"/>
          <w:kern w:val="2"/>
          <w:sz w:val="24"/>
          <w:szCs w:val="24"/>
          <w:lang w:val="en-US" w:eastAsia="zh-CN" w:bidi="ar-SA"/>
        </w:rPr>
        <w:t>帮助企业家实现从“将”到“帅”的本质飞跃，运筹帷幄，决胜千里。</w:t>
      </w:r>
    </w:p>
    <w:p>
      <w:pPr>
        <w:keepNext w:val="0"/>
        <w:keepLines w:val="0"/>
        <w:pageBreakBefore w:val="0"/>
        <w:widowControl w:val="0"/>
        <w:kinsoku/>
        <w:wordWrap/>
        <w:overflowPunct/>
        <w:topLinePunct w:val="0"/>
        <w:autoSpaceDE/>
        <w:autoSpaceDN/>
        <w:bidi w:val="0"/>
        <w:adjustRightInd/>
        <w:snapToGrid/>
        <w:spacing w:line="40" w:lineRule="atLeast"/>
        <w:ind w:firstLine="480"/>
        <w:textAlignment w:val="auto"/>
        <w:rPr>
          <w:rFonts w:hint="eastAsia" w:ascii="宋体" w:hAnsi="宋体" w:eastAsia="宋体" w:cs="宋体"/>
          <w:kern w:val="2"/>
          <w:sz w:val="24"/>
          <w:szCs w:val="24"/>
          <w:lang w:val="en-US" w:eastAsia="zh-CN" w:bidi="ar-SA"/>
        </w:rPr>
      </w:pPr>
    </w:p>
    <w:p>
      <w:pPr>
        <w:ind w:left="141" w:hanging="161" w:hangingChars="50"/>
        <w:rPr>
          <w:rStyle w:val="9"/>
          <w:rFonts w:hint="eastAsia" w:ascii="Calibri" w:hAnsi="Calibri" w:eastAsia="楷体" w:cs="Calibri"/>
          <w:color w:val="9C0000"/>
          <w:sz w:val="32"/>
          <w:szCs w:val="32"/>
          <w:shd w:val="clear" w:color="auto" w:fill="FFFFFF"/>
          <w:lang w:val="en-US" w:eastAsia="zh-CN"/>
        </w:rPr>
      </w:pPr>
      <w:r>
        <w:rPr>
          <w:rStyle w:val="9"/>
          <w:rFonts w:hint="eastAsia" w:ascii="Calibri" w:hAnsi="Calibri" w:eastAsia="楷体" w:cs="Calibri"/>
          <w:color w:val="9C0000"/>
          <w:sz w:val="32"/>
          <w:szCs w:val="32"/>
          <w:shd w:val="clear" w:color="auto" w:fill="FFFFFF"/>
          <w:lang w:val="en-US" w:eastAsia="zh-CN"/>
        </w:rPr>
        <w:t>【项目特色】</w:t>
      </w:r>
    </w:p>
    <w:p>
      <w:pPr>
        <w:ind w:left="141" w:hanging="161" w:hangingChars="50"/>
        <w:rPr>
          <w:rStyle w:val="9"/>
          <w:rFonts w:hint="eastAsia" w:ascii="Calibri" w:hAnsi="Calibri" w:eastAsia="楷体" w:cs="Calibri"/>
          <w:color w:val="9C00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141" w:hanging="120" w:hangingChars="50"/>
        <w:textAlignment w:val="auto"/>
        <w:rPr>
          <w:rStyle w:val="9"/>
          <w:rFonts w:hint="eastAsia" w:ascii="仿宋" w:hAnsi="仿宋" w:eastAsia="仿宋" w:cs="仿宋"/>
          <w:b w:val="0"/>
          <w:bCs w:val="0"/>
          <w:sz w:val="24"/>
          <w:szCs w:val="24"/>
        </w:rPr>
      </w:pPr>
      <w:r>
        <w:rPr>
          <w:rFonts w:hint="eastAsia" w:ascii="宋体" w:hAnsi="宋体" w:cs="宋体"/>
          <w:b/>
          <w:bCs/>
          <w:sz w:val="24"/>
          <w:szCs w:val="24"/>
        </w:rPr>
        <w:t>●</w:t>
      </w:r>
      <w:r>
        <w:rPr>
          <w:rStyle w:val="9"/>
          <w:rFonts w:hint="eastAsia" w:ascii="宋体" w:hAnsi="宋体" w:eastAsia="宋体" w:cs="宋体"/>
          <w:color w:val="000000"/>
          <w:sz w:val="24"/>
          <w:szCs w:val="24"/>
        </w:rPr>
        <w:t>专家</w:t>
      </w:r>
      <w:r>
        <w:rPr>
          <w:rStyle w:val="9"/>
          <w:rFonts w:hint="eastAsia" w:ascii="宋体" w:hAnsi="宋体" w:eastAsia="宋体" w:cs="宋体"/>
          <w:color w:val="000000"/>
          <w:sz w:val="24"/>
          <w:szCs w:val="24"/>
          <w:lang w:val="en-US" w:eastAsia="zh-CN"/>
        </w:rPr>
        <w:t>授课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color w:val="000000" w:themeColor="text1"/>
          <w:sz w:val="24"/>
          <w:szCs w:val="24"/>
          <w14:textFill>
            <w14:solidFill>
              <w14:schemeClr w14:val="tx1"/>
            </w14:solidFill>
          </w14:textFill>
        </w:rPr>
        <w:t>著名经济学家、知名学者、提供前沿理论、把握全球趋势、展望政策走向</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b/>
          <w:bCs/>
          <w:sz w:val="24"/>
          <w:szCs w:val="24"/>
        </w:rPr>
        <w:t>●</w:t>
      </w:r>
      <w:r>
        <w:rPr>
          <w:rFonts w:hint="eastAsia" w:ascii="宋体" w:hAnsi="宋体" w:eastAsia="宋体" w:cs="宋体"/>
          <w:b/>
          <w:bCs/>
          <w:sz w:val="24"/>
          <w:szCs w:val="24"/>
        </w:rPr>
        <w:t>系统</w:t>
      </w:r>
      <w:r>
        <w:rPr>
          <w:rFonts w:hint="eastAsia" w:ascii="宋体" w:hAnsi="宋体" w:eastAsia="宋体" w:cs="宋体"/>
          <w:b/>
          <w:bCs/>
          <w:sz w:val="24"/>
          <w:szCs w:val="24"/>
          <w:lang w:val="en-US" w:eastAsia="zh-CN"/>
        </w:rPr>
        <w:t>课程</w:t>
      </w:r>
      <w:r>
        <w:rPr>
          <w:rFonts w:hint="eastAsia" w:ascii="宋体" w:hAnsi="宋体" w:eastAsia="宋体" w:cs="宋体"/>
          <w:sz w:val="24"/>
          <w:szCs w:val="24"/>
        </w:rPr>
        <w:br w:type="textWrapping"/>
      </w:r>
      <w:r>
        <w:rPr>
          <w:rFonts w:hint="eastAsia" w:ascii="宋体" w:hAnsi="宋体" w:cs="宋体"/>
          <w:color w:val="000000" w:themeColor="text1"/>
          <w:sz w:val="24"/>
          <w:szCs w:val="24"/>
          <w14:textFill>
            <w14:solidFill>
              <w14:schemeClr w14:val="tx1"/>
            </w14:solidFill>
          </w14:textFill>
        </w:rPr>
        <w:t>实施“1+</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”模式的创新型实战课程，“1”针对当前的经济形势，企业应该采取的整体对策，是动态的课程；“</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”则</w:t>
      </w:r>
      <w:r>
        <w:rPr>
          <w:rFonts w:hint="eastAsia" w:ascii="宋体" w:hAnsi="宋体" w:cs="宋体"/>
          <w:color w:val="000000" w:themeColor="text1"/>
          <w:sz w:val="24"/>
          <w:szCs w:val="24"/>
          <w:lang w:val="en-US" w:eastAsia="zh-CN"/>
          <w14:textFill>
            <w14:solidFill>
              <w14:schemeClr w14:val="tx1"/>
            </w14:solidFill>
          </w14:textFill>
        </w:rPr>
        <w:t>是企业管理者综合管理能力提升的六大维度，即战略规划能力、用人能力</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市场思维</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财务思维、</w:t>
      </w:r>
      <w:r>
        <w:rPr>
          <w:rFonts w:hint="eastAsia" w:ascii="宋体" w:hAnsi="宋体" w:cs="宋体"/>
          <w:color w:val="000000" w:themeColor="text1"/>
          <w:sz w:val="24"/>
          <w:szCs w:val="24"/>
          <w14:textFill>
            <w14:solidFill>
              <w14:schemeClr w14:val="tx1"/>
            </w14:solidFill>
          </w14:textFill>
        </w:rPr>
        <w:t>领导</w:t>
      </w:r>
      <w:r>
        <w:rPr>
          <w:rFonts w:hint="eastAsia" w:ascii="宋体" w:hAnsi="宋体" w:cs="宋体"/>
          <w:color w:val="000000" w:themeColor="text1"/>
          <w:sz w:val="24"/>
          <w:szCs w:val="24"/>
          <w:lang w:val="en-US" w:eastAsia="zh-CN"/>
          <w14:textFill>
            <w14:solidFill>
              <w14:schemeClr w14:val="tx1"/>
            </w14:solidFill>
          </w14:textFill>
        </w:rPr>
        <w:t>思维</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金融资本思维</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指3个2</w:t>
      </w:r>
      <w:r>
        <w:rPr>
          <w:rFonts w:hint="eastAsia" w:ascii="宋体" w:hAnsi="宋体" w:cs="宋体"/>
          <w:color w:val="000000" w:themeColor="text1"/>
          <w:sz w:val="24"/>
          <w:szCs w:val="24"/>
          <w14:textFill>
            <w14:solidFill>
              <w14:schemeClr w14:val="tx1"/>
            </w14:solidFill>
          </w14:textFill>
        </w:rPr>
        <w:t>天</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晚的方案实战课程既相对独立，又浑然一体，是不可多得的精品课程。 </w:t>
      </w:r>
      <w:r>
        <w:rPr>
          <w:rFonts w:hint="eastAsia" w:ascii="宋体" w:hAnsi="宋体" w:cs="宋体"/>
          <w:color w:val="FF0000"/>
          <w:sz w:val="24"/>
          <w:szCs w:val="24"/>
        </w:rPr>
        <w:br w:type="textWrapping"/>
      </w:r>
      <w:r>
        <w:rPr>
          <w:rFonts w:hint="eastAsia" w:ascii="宋体" w:hAnsi="宋体" w:cs="宋体"/>
          <w:b/>
          <w:bCs/>
          <w:sz w:val="24"/>
          <w:szCs w:val="24"/>
        </w:rPr>
        <w:t>●高端平台</w:t>
      </w:r>
      <w:r>
        <w:rPr>
          <w:rFonts w:hint="eastAsia" w:ascii="宋体" w:hAnsi="宋体" w:cs="宋体"/>
          <w:sz w:val="24"/>
          <w:szCs w:val="24"/>
        </w:rPr>
        <w:br w:type="textWrapping"/>
      </w:r>
      <w:r>
        <w:rPr>
          <w:rFonts w:hint="eastAsia" w:ascii="宋体" w:hAnsi="宋体" w:cs="宋体"/>
          <w:sz w:val="24"/>
          <w:szCs w:val="24"/>
        </w:rPr>
        <w:t>提供郑大丰富的技术、市场、产品、人脉、学习资源，为企业发展提供动力；整合全国8</w:t>
      </w:r>
      <w:r>
        <w:rPr>
          <w:rFonts w:ascii="宋体" w:hAnsi="宋体" w:cs="宋体"/>
          <w:sz w:val="24"/>
          <w:szCs w:val="24"/>
        </w:rPr>
        <w:t>0000</w:t>
      </w:r>
      <w:r>
        <w:rPr>
          <w:rFonts w:hint="eastAsia" w:ascii="宋体" w:hAnsi="宋体" w:cs="宋体"/>
          <w:sz w:val="24"/>
          <w:szCs w:val="24"/>
          <w:lang w:val="en-US" w:eastAsia="zh-CN"/>
        </w:rPr>
        <w:t>+</w:t>
      </w:r>
      <w:r>
        <w:rPr>
          <w:rFonts w:hint="eastAsia" w:ascii="宋体" w:hAnsi="宋体" w:cs="宋体"/>
          <w:sz w:val="24"/>
          <w:szCs w:val="24"/>
        </w:rPr>
        <w:t>高端资源，智慧、资本有机嫁接。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宋体"/>
          <w:b/>
          <w:bCs/>
          <w:sz w:val="24"/>
          <w:szCs w:val="24"/>
        </w:rPr>
      </w:pPr>
      <w:r>
        <w:rPr>
          <w:rFonts w:hint="eastAsia" w:ascii="宋体" w:hAnsi="宋体" w:cs="宋体"/>
          <w:b/>
          <w:bCs/>
          <w:sz w:val="24"/>
          <w:szCs w:val="24"/>
        </w:rPr>
        <w:t>●实战提升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sz w:val="24"/>
          <w:szCs w:val="24"/>
        </w:rPr>
      </w:pPr>
      <w:r>
        <w:rPr>
          <w:rFonts w:hint="eastAsia" w:ascii="宋体" w:hAnsi="宋体" w:cs="宋体"/>
          <w:sz w:val="24"/>
          <w:szCs w:val="24"/>
        </w:rPr>
        <w:t>实战、实用、实效权威解惑。通过实战训练提高学员管理企业的思维和能力，解决企业跨越式发展过程中的根本问题，依据学员的实际的需求反馈，进行个性化的解决。帮助企业高层管理者掌握企业运营方法，在竞争激烈的市场环境中，提升企业竞争力。</w:t>
      </w:r>
      <w:r>
        <w:rPr>
          <w:rFonts w:hint="eastAsia" w:ascii="宋体" w:hAnsi="宋体" w:cs="宋体"/>
          <w:sz w:val="24"/>
          <w:szCs w:val="24"/>
        </w:rPr>
        <w:br w:type="textWrapping"/>
      </w:r>
      <w:r>
        <w:rPr>
          <w:rFonts w:hint="eastAsia" w:ascii="宋体" w:hAnsi="宋体" w:cs="宋体"/>
          <w:b/>
          <w:bCs/>
          <w:sz w:val="24"/>
          <w:szCs w:val="24"/>
        </w:rPr>
        <w:t>●第二课堂</w:t>
      </w:r>
      <w:r>
        <w:rPr>
          <w:rFonts w:hint="eastAsia" w:ascii="宋体" w:hAnsi="宋体" w:cs="宋体"/>
          <w:sz w:val="24"/>
          <w:szCs w:val="24"/>
        </w:rPr>
        <w:br w:type="textWrapping"/>
      </w:r>
      <w:r>
        <w:rPr>
          <w:rFonts w:hint="eastAsia" w:ascii="宋体" w:hAnsi="宋体" w:cs="宋体"/>
          <w:sz w:val="24"/>
          <w:szCs w:val="24"/>
        </w:rPr>
        <w:t>每年组织大型论坛，沙龙、私董会、标杆企业研学、高尔夫俱乐部、项目路演对接等第二课堂项目，最大限度扩展人脉关系，为同学们打造一个高质量，高层次的学习交流圈。</w:t>
      </w:r>
      <w:r>
        <w:rPr>
          <w:rFonts w:hint="eastAsia" w:ascii="宋体" w:hAnsi="宋体" w:cs="宋体"/>
          <w:sz w:val="24"/>
          <w:szCs w:val="24"/>
        </w:rPr>
        <w:br w:type="textWrapping"/>
      </w:r>
      <w:r>
        <w:rPr>
          <w:rFonts w:hint="eastAsia" w:ascii="宋体" w:hAnsi="宋体" w:cs="宋体"/>
          <w:b/>
          <w:bCs/>
          <w:sz w:val="24"/>
          <w:szCs w:val="24"/>
        </w:rPr>
        <w:t>●总裁校友会</w:t>
      </w:r>
      <w:r>
        <w:rPr>
          <w:rFonts w:hint="eastAsia" w:ascii="宋体" w:hAnsi="宋体" w:cs="宋体"/>
          <w:sz w:val="24"/>
          <w:szCs w:val="24"/>
        </w:rPr>
        <w:br w:type="textWrapping"/>
      </w:r>
      <w:r>
        <w:rPr>
          <w:rFonts w:hint="eastAsia" w:ascii="宋体" w:hAnsi="宋体" w:cs="宋体"/>
          <w:sz w:val="24"/>
          <w:szCs w:val="24"/>
        </w:rPr>
        <w:t>加入郑大校友会，以“学习、提升、真诚、合作、共赢”为宗旨，整合全省各地精英同学资源，打造最具活力、契合点的同学经济体，增进学员交流与合作，抱团成长！</w:t>
      </w:r>
    </w:p>
    <w:p>
      <w:pPr>
        <w:ind w:firstLine="480" w:firstLineChars="200"/>
        <w:jc w:val="left"/>
        <w:rPr>
          <w:rFonts w:hint="eastAsia" w:ascii="宋体" w:hAnsi="宋体" w:cs="宋体"/>
          <w:sz w:val="24"/>
          <w:szCs w:val="24"/>
        </w:rPr>
      </w:pPr>
    </w:p>
    <w:p>
      <w:pPr>
        <w:ind w:left="141" w:hanging="161" w:hangingChars="50"/>
        <w:rPr>
          <w:rStyle w:val="9"/>
          <w:rFonts w:hint="eastAsia" w:ascii="Calibri" w:hAnsi="Calibri" w:eastAsia="楷体" w:cs="Calibri"/>
          <w:color w:val="9C0000"/>
          <w:sz w:val="32"/>
          <w:szCs w:val="32"/>
          <w:shd w:val="clear" w:color="auto" w:fill="FFFFFF"/>
          <w:lang w:val="en-US" w:eastAsia="zh-CN"/>
        </w:rPr>
      </w:pPr>
      <w:r>
        <w:rPr>
          <w:rStyle w:val="9"/>
          <w:rFonts w:hint="eastAsia" w:ascii="Calibri" w:hAnsi="Calibri" w:eastAsia="楷体" w:cs="Calibri"/>
          <w:color w:val="9C0000"/>
          <w:sz w:val="32"/>
          <w:szCs w:val="32"/>
          <w:shd w:val="clear" w:color="auto" w:fill="FFFFFF"/>
          <w:lang w:val="en-US" w:eastAsia="zh-CN"/>
        </w:rPr>
        <w:t>【课程收获】</w:t>
      </w:r>
    </w:p>
    <w:p>
      <w:pPr>
        <w:keepNext w:val="0"/>
        <w:keepLines w:val="0"/>
        <w:pageBreakBefore w:val="0"/>
        <w:widowControl/>
        <w:kinsoku/>
        <w:wordWrap/>
        <w:overflowPunct/>
        <w:topLinePunct w:val="0"/>
        <w:autoSpaceDE/>
        <w:autoSpaceDN/>
        <w:bidi w:val="0"/>
        <w:adjustRightInd/>
        <w:snapToGrid/>
        <w:spacing w:line="360" w:lineRule="auto"/>
        <w:ind w:firstLine="240" w:firstLineChars="100"/>
        <w:jc w:val="left"/>
        <w:textAlignment w:val="auto"/>
        <w:rPr>
          <w:rFonts w:ascii="宋体" w:hAnsi="宋体" w:cs="宋体"/>
          <w:sz w:val="24"/>
          <w:szCs w:val="24"/>
        </w:rPr>
      </w:pPr>
      <w:r>
        <w:rPr>
          <w:rFonts w:hint="eastAsia" w:ascii="宋体" w:hAnsi="宋体" w:cs="宋体"/>
          <w:sz w:val="24"/>
          <w:szCs w:val="24"/>
        </w:rPr>
        <w:t>洞察最新经济发展形势，探究企业运营逻辑，运筹帷幄取于思潮格局；</w:t>
      </w:r>
      <w:r>
        <w:rPr>
          <w:rFonts w:hint="eastAsia" w:ascii="宋体" w:hAnsi="宋体" w:cs="宋体"/>
          <w:sz w:val="24"/>
          <w:szCs w:val="24"/>
        </w:rPr>
        <w:br w:type="textWrapping"/>
      </w:r>
      <w:r>
        <w:rPr>
          <w:rFonts w:hint="eastAsia" w:ascii="宋体" w:hAnsi="宋体" w:cs="宋体"/>
          <w:sz w:val="24"/>
          <w:szCs w:val="24"/>
        </w:rPr>
        <w:t> 系统学习经典管理理论，优化管理中的问题，治病于未病防患于未然；</w:t>
      </w:r>
      <w:r>
        <w:rPr>
          <w:rFonts w:hint="eastAsia" w:ascii="宋体" w:hAnsi="宋体" w:cs="宋体"/>
          <w:sz w:val="24"/>
          <w:szCs w:val="24"/>
        </w:rPr>
        <w:br w:type="textWrapping"/>
      </w:r>
      <w:r>
        <w:rPr>
          <w:rFonts w:hint="eastAsia" w:ascii="宋体" w:hAnsi="宋体" w:cs="宋体"/>
          <w:sz w:val="24"/>
          <w:szCs w:val="24"/>
        </w:rPr>
        <w:t> 准确把脉企业发展走向，应对新机遇新挑战，叶落知秋决胜变化之间；</w:t>
      </w:r>
      <w:r>
        <w:rPr>
          <w:rFonts w:hint="eastAsia" w:ascii="宋体" w:hAnsi="宋体" w:cs="宋体"/>
          <w:sz w:val="24"/>
          <w:szCs w:val="24"/>
        </w:rPr>
        <w:br w:type="textWrapping"/>
      </w:r>
      <w:r>
        <w:rPr>
          <w:rFonts w:hint="eastAsia" w:ascii="宋体" w:hAnsi="宋体" w:cs="宋体"/>
          <w:sz w:val="24"/>
          <w:szCs w:val="24"/>
        </w:rPr>
        <w:t> 洞悉标杆企业经典案例，分享成功实践经验，以史为鉴感悟商战之道；</w:t>
      </w:r>
      <w:r>
        <w:rPr>
          <w:rFonts w:hint="eastAsia" w:ascii="宋体" w:hAnsi="宋体" w:cs="宋体"/>
          <w:sz w:val="24"/>
          <w:szCs w:val="24"/>
        </w:rPr>
        <w:br w:type="textWrapping"/>
      </w:r>
      <w:r>
        <w:rPr>
          <w:rFonts w:hint="eastAsia" w:ascii="宋体" w:hAnsi="宋体" w:cs="宋体"/>
          <w:sz w:val="24"/>
          <w:szCs w:val="24"/>
        </w:rPr>
        <w:t> 打破传统思维模式束缚，活跃思维创新管理，破茧而出皆归挥洒自如；</w:t>
      </w:r>
      <w:r>
        <w:rPr>
          <w:rFonts w:hint="eastAsia" w:ascii="宋体" w:hAnsi="宋体" w:cs="宋体"/>
          <w:sz w:val="24"/>
          <w:szCs w:val="24"/>
        </w:rPr>
        <w:br w:type="textWrapping"/>
      </w:r>
      <w:r>
        <w:rPr>
          <w:rFonts w:hint="eastAsia" w:ascii="宋体" w:hAnsi="宋体" w:cs="宋体"/>
          <w:sz w:val="24"/>
          <w:szCs w:val="24"/>
        </w:rPr>
        <w:t> 拓展建立优秀人脉平台，商场实战以学会友，尊享人生广交豫商精英。</w:t>
      </w:r>
    </w:p>
    <w:p>
      <w:pPr>
        <w:ind w:left="141" w:hanging="161" w:hangingChars="50"/>
        <w:rPr>
          <w:rStyle w:val="9"/>
          <w:rFonts w:hint="eastAsia" w:ascii="Calibri" w:hAnsi="Calibri" w:eastAsia="楷体" w:cs="Calibri"/>
          <w:color w:val="9C0000"/>
          <w:sz w:val="32"/>
          <w:szCs w:val="32"/>
          <w:shd w:val="clear" w:color="auto" w:fill="FFFFFF"/>
          <w:lang w:val="en-US" w:eastAsia="zh-CN"/>
        </w:rPr>
      </w:pPr>
      <w:r>
        <w:rPr>
          <w:rStyle w:val="9"/>
          <w:rFonts w:hint="eastAsia" w:ascii="Calibri" w:hAnsi="Calibri" w:eastAsia="楷体" w:cs="Calibri"/>
          <w:color w:val="9C0000"/>
          <w:sz w:val="32"/>
          <w:szCs w:val="32"/>
          <w:shd w:val="clear" w:color="auto" w:fill="FFFFFF"/>
          <w:lang w:val="en-US" w:eastAsia="zh-CN"/>
        </w:rPr>
        <w:t>【课程体系】</w:t>
      </w:r>
    </w:p>
    <w:tbl>
      <w:tblPr>
        <w:tblStyle w:val="7"/>
        <w:tblpPr w:leftFromText="180" w:rightFromText="180" w:vertAnchor="text" w:tblpX="72" w:tblpY="33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9"/>
        <w:gridCol w:w="4056"/>
        <w:gridCol w:w="665"/>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69" w:type="dxa"/>
            <w:vAlign w:val="center"/>
          </w:tcPr>
          <w:p>
            <w:pPr>
              <w:widowControl/>
              <w:spacing w:line="360" w:lineRule="auto"/>
              <w:jc w:val="center"/>
              <w:rPr>
                <w:rFonts w:hint="eastAsia" w:ascii="华文楷体" w:hAnsi="华文楷体" w:eastAsia="华文楷体" w:cs="华文楷体"/>
                <w:b/>
                <w:bCs/>
                <w:kern w:val="0"/>
                <w:sz w:val="28"/>
                <w:szCs w:val="28"/>
                <w:lang w:val="en-US" w:eastAsia="zh-CN"/>
              </w:rPr>
            </w:pPr>
            <w:r>
              <w:rPr>
                <w:rFonts w:hint="eastAsia" w:ascii="华文楷体" w:hAnsi="华文楷体" w:eastAsia="华文楷体" w:cs="华文楷体"/>
                <w:b/>
                <w:bCs/>
                <w:kern w:val="0"/>
                <w:sz w:val="28"/>
                <w:szCs w:val="28"/>
                <w:lang w:val="en-US" w:eastAsia="zh-CN"/>
              </w:rPr>
              <w:t>课程主题</w:t>
            </w:r>
          </w:p>
        </w:tc>
        <w:tc>
          <w:tcPr>
            <w:tcW w:w="4056" w:type="dxa"/>
            <w:vAlign w:val="center"/>
          </w:tcPr>
          <w:p>
            <w:pPr>
              <w:widowControl/>
              <w:spacing w:line="360" w:lineRule="auto"/>
              <w:jc w:val="center"/>
              <w:rPr>
                <w:rFonts w:hint="eastAsia" w:ascii="华文楷体" w:hAnsi="华文楷体" w:eastAsia="华文楷体" w:cs="华文楷体"/>
                <w:b/>
                <w:bCs/>
                <w:kern w:val="0"/>
                <w:sz w:val="28"/>
                <w:szCs w:val="28"/>
              </w:rPr>
            </w:pPr>
            <w:r>
              <w:rPr>
                <w:rFonts w:hint="eastAsia" w:ascii="华文楷体" w:hAnsi="华文楷体" w:eastAsia="华文楷体" w:cs="华文楷体"/>
                <w:b/>
                <w:bCs/>
                <w:kern w:val="0"/>
                <w:sz w:val="28"/>
                <w:szCs w:val="28"/>
              </w:rPr>
              <w:t>核心内容</w:t>
            </w:r>
          </w:p>
        </w:tc>
        <w:tc>
          <w:tcPr>
            <w:tcW w:w="665" w:type="dxa"/>
            <w:vAlign w:val="center"/>
          </w:tcPr>
          <w:p>
            <w:pPr>
              <w:widowControl/>
              <w:spacing w:line="360" w:lineRule="auto"/>
              <w:jc w:val="center"/>
              <w:rPr>
                <w:rFonts w:hint="eastAsia" w:ascii="华文楷体" w:hAnsi="华文楷体" w:eastAsia="华文楷体" w:cs="华文楷体"/>
                <w:b/>
                <w:bCs/>
                <w:kern w:val="0"/>
                <w:sz w:val="28"/>
                <w:szCs w:val="28"/>
              </w:rPr>
            </w:pPr>
            <w:r>
              <w:rPr>
                <w:rFonts w:hint="eastAsia" w:ascii="华文楷体" w:hAnsi="华文楷体" w:eastAsia="华文楷体" w:cs="华文楷体"/>
                <w:b/>
                <w:bCs/>
                <w:kern w:val="0"/>
                <w:sz w:val="28"/>
                <w:szCs w:val="28"/>
              </w:rPr>
              <w:t>课  时</w:t>
            </w:r>
          </w:p>
        </w:tc>
        <w:tc>
          <w:tcPr>
            <w:tcW w:w="1126" w:type="dxa"/>
            <w:vAlign w:val="center"/>
          </w:tcPr>
          <w:p>
            <w:pPr>
              <w:widowControl/>
              <w:spacing w:line="360" w:lineRule="auto"/>
              <w:jc w:val="center"/>
              <w:rPr>
                <w:rFonts w:hint="eastAsia" w:ascii="华文楷体" w:hAnsi="华文楷体" w:eastAsia="华文楷体" w:cs="华文楷体"/>
                <w:b/>
                <w:bCs/>
                <w:kern w:val="0"/>
                <w:sz w:val="28"/>
                <w:szCs w:val="28"/>
              </w:rPr>
            </w:pPr>
            <w:r>
              <w:rPr>
                <w:rFonts w:hint="eastAsia" w:ascii="华文楷体" w:hAnsi="华文楷体" w:eastAsia="华文楷体" w:cs="华文楷体"/>
                <w:b/>
                <w:bCs/>
                <w:kern w:val="0"/>
                <w:sz w:val="28"/>
                <w:szCs w:val="28"/>
              </w:rPr>
              <w:t>拟邀</w:t>
            </w:r>
          </w:p>
          <w:p>
            <w:pPr>
              <w:widowControl/>
              <w:spacing w:line="360" w:lineRule="auto"/>
              <w:jc w:val="center"/>
              <w:rPr>
                <w:rFonts w:hint="eastAsia" w:ascii="华文楷体" w:hAnsi="华文楷体" w:eastAsia="华文楷体" w:cs="华文楷体"/>
                <w:b/>
                <w:bCs/>
                <w:kern w:val="0"/>
                <w:sz w:val="28"/>
                <w:szCs w:val="28"/>
              </w:rPr>
            </w:pPr>
            <w:r>
              <w:rPr>
                <w:rFonts w:hint="eastAsia" w:ascii="华文楷体" w:hAnsi="华文楷体" w:eastAsia="华文楷体" w:cs="华文楷体"/>
                <w:b/>
                <w:bCs/>
                <w:kern w:val="0"/>
                <w:sz w:val="28"/>
                <w:szCs w:val="28"/>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trPr>
        <w:tc>
          <w:tcPr>
            <w:tcW w:w="2669" w:type="dxa"/>
            <w:vAlign w:val="center"/>
          </w:tcPr>
          <w:p>
            <w:pPr>
              <w:widowControl/>
              <w:jc w:val="center"/>
              <w:rPr>
                <w:rStyle w:val="9"/>
                <w:rFonts w:hint="default" w:ascii="微软雅黑" w:hAnsi="微软雅黑" w:eastAsia="微软雅黑" w:cs="微软雅黑"/>
                <w:b w:val="0"/>
                <w:bCs/>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模块一</w:t>
            </w:r>
          </w:p>
          <w:p>
            <w:pPr>
              <w:widowControl/>
              <w:jc w:val="center"/>
              <w:rPr>
                <w:rFonts w:hint="default" w:ascii="宋体" w:hAnsi="宋体"/>
                <w:b/>
                <w:bCs/>
                <w:kern w:val="0"/>
                <w:lang w:val="en-US"/>
              </w:rPr>
            </w:pPr>
            <w:r>
              <w:rPr>
                <w:rStyle w:val="9"/>
                <w:rFonts w:hint="eastAsia" w:ascii="微软雅黑" w:hAnsi="微软雅黑" w:eastAsia="微软雅黑" w:cs="微软雅黑"/>
                <w:color w:val="3F3F3F"/>
                <w:sz w:val="24"/>
                <w:szCs w:val="24"/>
                <w:shd w:val="clear" w:color="auto" w:fill="FFFFFF"/>
                <w:vertAlign w:val="baseline"/>
                <w:lang w:val="en-US" w:eastAsia="zh-CN"/>
              </w:rPr>
              <w:t>宏观经济与产业分析</w:t>
            </w:r>
          </w:p>
        </w:tc>
        <w:tc>
          <w:tcPr>
            <w:tcW w:w="4056" w:type="dxa"/>
            <w:vAlign w:val="center"/>
          </w:tcPr>
          <w:p>
            <w:pPr>
              <w:widowControl/>
              <w:jc w:val="left"/>
              <w:rPr>
                <w:rFonts w:hint="eastAsia" w:ascii="宋体" w:hAnsi="宋体"/>
                <w:kern w:val="0"/>
              </w:rPr>
            </w:pPr>
            <w:r>
              <w:rPr>
                <w:rFonts w:hint="eastAsia" w:ascii="宋体" w:hAnsi="宋体" w:eastAsia="宋体" w:cs="宋体"/>
                <w:b w:val="0"/>
                <w:bCs w:val="0"/>
                <w:i w:val="0"/>
                <w:caps w:val="0"/>
                <w:color w:val="595959"/>
                <w:spacing w:val="0"/>
                <w:kern w:val="0"/>
                <w:sz w:val="24"/>
                <w:szCs w:val="24"/>
                <w:u w:val="none"/>
                <w:lang w:val="en-US" w:eastAsia="zh-CN" w:bidi="ar"/>
              </w:rPr>
              <w:t>◆</w:t>
            </w:r>
            <w:r>
              <w:rPr>
                <w:rFonts w:hint="eastAsia" w:ascii="宋体" w:hAnsi="宋体"/>
                <w:kern w:val="0"/>
              </w:rPr>
              <w:t>宏观调控与国家产业政策解析</w:t>
            </w:r>
          </w:p>
          <w:p>
            <w:pPr>
              <w:widowControl/>
              <w:jc w:val="left"/>
              <w:rPr>
                <w:rFonts w:hint="eastAsia" w:ascii="宋体" w:hAnsi="宋体"/>
                <w:kern w:val="0"/>
                <w:lang w:val="en-US" w:eastAsia="zh-CN"/>
              </w:rPr>
            </w:pPr>
            <w:r>
              <w:rPr>
                <w:rFonts w:hint="eastAsia" w:ascii="宋体" w:hAnsi="宋体"/>
                <w:kern w:val="0"/>
                <w:lang w:val="en-US" w:eastAsia="zh-CN"/>
              </w:rPr>
              <w:t>◆</w:t>
            </w:r>
            <w:r>
              <w:rPr>
                <w:rFonts w:hint="eastAsia" w:ascii="宋体" w:hAnsi="宋体"/>
                <w:kern w:val="0"/>
              </w:rPr>
              <w:t>新经济周期的热点与红利</w:t>
            </w:r>
            <w:r>
              <w:rPr>
                <w:rFonts w:hint="eastAsia" w:ascii="宋体" w:hAnsi="宋体"/>
                <w:kern w:val="0"/>
                <w:lang w:val="en-US" w:eastAsia="zh-CN"/>
              </w:rPr>
              <w:t>分析</w:t>
            </w:r>
          </w:p>
          <w:p>
            <w:pPr>
              <w:widowControl/>
              <w:jc w:val="left"/>
              <w:rPr>
                <w:rFonts w:hint="eastAsia" w:ascii="宋体" w:hAnsi="宋体"/>
                <w:kern w:val="0"/>
                <w:lang w:val="en-US"/>
              </w:rPr>
            </w:pPr>
            <w:r>
              <w:rPr>
                <w:rFonts w:hint="eastAsia" w:ascii="宋体" w:hAnsi="宋体"/>
                <w:kern w:val="0"/>
                <w:lang w:val="en-US" w:eastAsia="zh-CN"/>
              </w:rPr>
              <w:t>◆宏观经济与企业发展</w:t>
            </w:r>
          </w:p>
          <w:p>
            <w:pPr>
              <w:widowControl/>
              <w:jc w:val="left"/>
              <w:rPr>
                <w:rFonts w:hint="eastAsia" w:ascii="宋体" w:hAnsi="宋体" w:eastAsia="宋体"/>
                <w:kern w:val="0"/>
                <w:lang w:eastAsia="zh-CN"/>
              </w:rPr>
            </w:pPr>
            <w:r>
              <w:rPr>
                <w:rFonts w:hint="eastAsia" w:ascii="宋体" w:hAnsi="宋体"/>
                <w:kern w:val="0"/>
                <w:lang w:val="en-US" w:eastAsia="zh-CN"/>
              </w:rPr>
              <w:t>◆</w:t>
            </w:r>
            <w:r>
              <w:rPr>
                <w:rFonts w:hint="eastAsia" w:ascii="宋体" w:hAnsi="宋体"/>
                <w:kern w:val="0"/>
              </w:rPr>
              <w:t>中国商业环境洞察与战略布局</w:t>
            </w:r>
          </w:p>
        </w:tc>
        <w:tc>
          <w:tcPr>
            <w:tcW w:w="665" w:type="dxa"/>
            <w:vAlign w:val="center"/>
          </w:tcPr>
          <w:p>
            <w:pPr>
              <w:widowControl/>
              <w:jc w:val="center"/>
              <w:rPr>
                <w:rFonts w:ascii="宋体" w:hAnsi="宋体"/>
                <w:kern w:val="0"/>
              </w:rPr>
            </w:pPr>
            <w:r>
              <w:rPr>
                <w:rFonts w:hint="eastAsia" w:ascii="宋体" w:hAnsi="宋体"/>
                <w:kern w:val="0"/>
              </w:rPr>
              <w:t>2天</w:t>
            </w:r>
          </w:p>
        </w:tc>
        <w:tc>
          <w:tcPr>
            <w:tcW w:w="1126" w:type="dxa"/>
            <w:vAlign w:val="center"/>
          </w:tcPr>
          <w:p>
            <w:pPr>
              <w:widowControl/>
              <w:jc w:val="center"/>
              <w:rPr>
                <w:rFonts w:ascii="宋体" w:hAnsi="宋体"/>
                <w:kern w:val="0"/>
              </w:rPr>
            </w:pPr>
            <w:r>
              <w:rPr>
                <w:rFonts w:hint="eastAsia" w:ascii="宋体" w:hAnsi="宋体"/>
                <w:kern w:val="0"/>
              </w:rPr>
              <w:t>李  翀</w:t>
            </w:r>
          </w:p>
          <w:p>
            <w:pPr>
              <w:widowControl/>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69" w:type="dxa"/>
            <w:vAlign w:val="center"/>
          </w:tcPr>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p>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模块二</w:t>
            </w:r>
          </w:p>
          <w:p>
            <w:pPr>
              <w:widowControl/>
              <w:jc w:val="center"/>
              <w:rPr>
                <w:rFonts w:ascii="宋体" w:hAnsi="宋体"/>
                <w:b/>
                <w:bCs/>
                <w:kern w:val="0"/>
              </w:rPr>
            </w:pPr>
            <w:r>
              <w:rPr>
                <w:rStyle w:val="9"/>
                <w:rFonts w:hint="eastAsia" w:ascii="微软雅黑" w:hAnsi="微软雅黑" w:eastAsia="微软雅黑" w:cs="微软雅黑"/>
                <w:color w:val="3F3F3F"/>
                <w:sz w:val="24"/>
                <w:szCs w:val="24"/>
                <w:shd w:val="clear" w:color="auto" w:fill="FFFFFF"/>
                <w:vertAlign w:val="baseline"/>
                <w:lang w:val="en-US" w:eastAsia="zh-CN"/>
              </w:rPr>
              <w:t xml:space="preserve">战略新思维：应变与颠覆  </w:t>
            </w:r>
          </w:p>
        </w:tc>
        <w:tc>
          <w:tcPr>
            <w:tcW w:w="4056" w:type="dxa"/>
            <w:vAlign w:val="center"/>
          </w:tcPr>
          <w:p>
            <w:pPr>
              <w:widowControl/>
              <w:jc w:val="left"/>
              <w:rPr>
                <w:rFonts w:hint="eastAsia" w:ascii="宋体" w:hAnsi="宋体"/>
                <w:kern w:val="0"/>
                <w:lang w:val="en-US" w:eastAsia="zh-CN"/>
              </w:rPr>
            </w:pPr>
            <w:r>
              <w:rPr>
                <w:rFonts w:hint="eastAsia" w:ascii="宋体" w:hAnsi="宋体"/>
                <w:kern w:val="0"/>
                <w:lang w:val="en-US" w:eastAsia="zh-CN"/>
              </w:rPr>
              <w:t xml:space="preserve">◆ </w:t>
            </w:r>
            <w:r>
              <w:rPr>
                <w:rFonts w:hint="eastAsia" w:ascii="宋体" w:hAnsi="宋体"/>
                <w:kern w:val="0"/>
              </w:rPr>
              <w:t>战略选择</w:t>
            </w:r>
            <w:r>
              <w:rPr>
                <w:rFonts w:hint="eastAsia" w:ascii="宋体" w:hAnsi="宋体"/>
                <w:kern w:val="0"/>
                <w:lang w:val="en-US" w:eastAsia="zh-CN"/>
              </w:rPr>
              <w:t>与战略决策</w:t>
            </w:r>
          </w:p>
          <w:p>
            <w:pPr>
              <w:widowControl/>
              <w:jc w:val="left"/>
              <w:rPr>
                <w:rFonts w:hint="eastAsia" w:ascii="宋体" w:hAnsi="宋体" w:eastAsia="宋体"/>
                <w:kern w:val="0"/>
                <w:lang w:eastAsia="zh-CN"/>
              </w:rPr>
            </w:pPr>
            <w:r>
              <w:rPr>
                <w:rFonts w:hint="eastAsia" w:ascii="宋体" w:hAnsi="宋体"/>
                <w:kern w:val="0"/>
                <w:lang w:val="en-US" w:eastAsia="zh-CN"/>
              </w:rPr>
              <w:t>◆</w:t>
            </w:r>
            <w:r>
              <w:rPr>
                <w:rFonts w:hint="eastAsia" w:ascii="宋体" w:hAnsi="宋体"/>
                <w:kern w:val="0"/>
              </w:rPr>
              <w:t>战略</w:t>
            </w:r>
            <w:r>
              <w:rPr>
                <w:rFonts w:hint="eastAsia" w:ascii="宋体" w:hAnsi="宋体"/>
                <w:kern w:val="0"/>
                <w:lang w:val="en-US" w:eastAsia="zh-CN"/>
              </w:rPr>
              <w:t>优化的路径</w:t>
            </w:r>
            <w:r>
              <w:rPr>
                <w:rFonts w:hint="eastAsia" w:ascii="宋体" w:hAnsi="宋体"/>
                <w:kern w:val="0"/>
              </w:rPr>
              <w:t>；</w:t>
            </w:r>
          </w:p>
          <w:p>
            <w:pPr>
              <w:widowControl/>
              <w:jc w:val="left"/>
              <w:rPr>
                <w:rFonts w:hint="eastAsia" w:ascii="宋体" w:hAnsi="宋体"/>
                <w:kern w:val="0"/>
              </w:rPr>
            </w:pPr>
            <w:r>
              <w:rPr>
                <w:rFonts w:hint="eastAsia" w:ascii="宋体" w:hAnsi="宋体"/>
                <w:kern w:val="0"/>
                <w:lang w:val="en-US" w:eastAsia="zh-CN"/>
              </w:rPr>
              <w:t>◆</w:t>
            </w:r>
            <w:r>
              <w:rPr>
                <w:rFonts w:hint="eastAsia" w:ascii="宋体" w:hAnsi="宋体"/>
                <w:kern w:val="0"/>
              </w:rPr>
              <w:t>战略创新</w:t>
            </w:r>
            <w:r>
              <w:rPr>
                <w:rFonts w:hint="eastAsia" w:ascii="宋体" w:hAnsi="宋体"/>
                <w:kern w:val="0"/>
                <w:lang w:val="en-US" w:eastAsia="zh-CN"/>
              </w:rPr>
              <w:t>与</w:t>
            </w:r>
            <w:r>
              <w:rPr>
                <w:rFonts w:hint="eastAsia" w:ascii="宋体" w:hAnsi="宋体"/>
                <w:kern w:val="0"/>
              </w:rPr>
              <w:t>集团战略</w:t>
            </w:r>
          </w:p>
          <w:p>
            <w:pPr>
              <w:widowControl/>
              <w:jc w:val="left"/>
              <w:rPr>
                <w:rFonts w:hint="eastAsia" w:ascii="宋体" w:hAnsi="宋体"/>
                <w:kern w:val="0"/>
              </w:rPr>
            </w:pPr>
            <w:r>
              <w:rPr>
                <w:rFonts w:hint="eastAsia" w:ascii="宋体" w:hAnsi="宋体"/>
                <w:kern w:val="0"/>
                <w:lang w:val="en-US" w:eastAsia="zh-CN"/>
              </w:rPr>
              <w:t>◆</w:t>
            </w:r>
            <w:r>
              <w:rPr>
                <w:rFonts w:hint="eastAsia" w:ascii="宋体" w:hAnsi="宋体"/>
                <w:kern w:val="0"/>
              </w:rPr>
              <w:t>战略</w:t>
            </w:r>
            <w:r>
              <w:rPr>
                <w:rFonts w:hint="eastAsia" w:ascii="宋体" w:hAnsi="宋体"/>
                <w:kern w:val="0"/>
                <w:lang w:val="en-US" w:eastAsia="zh-CN"/>
              </w:rPr>
              <w:t>落地的路径</w:t>
            </w:r>
            <w:r>
              <w:rPr>
                <w:rFonts w:hint="eastAsia" w:ascii="宋体" w:hAnsi="宋体"/>
                <w:kern w:val="0"/>
              </w:rPr>
              <w:t>；</w:t>
            </w:r>
          </w:p>
        </w:tc>
        <w:tc>
          <w:tcPr>
            <w:tcW w:w="665" w:type="dxa"/>
            <w:vAlign w:val="center"/>
          </w:tcPr>
          <w:p>
            <w:pPr>
              <w:widowControl/>
              <w:jc w:val="center"/>
              <w:rPr>
                <w:rFonts w:ascii="宋体" w:hAnsi="宋体"/>
                <w:kern w:val="0"/>
              </w:rPr>
            </w:pPr>
            <w:r>
              <w:rPr>
                <w:rFonts w:hint="eastAsia" w:ascii="宋体" w:hAnsi="宋体"/>
                <w:kern w:val="0"/>
              </w:rPr>
              <w:t>2天</w:t>
            </w:r>
          </w:p>
        </w:tc>
        <w:tc>
          <w:tcPr>
            <w:tcW w:w="1126" w:type="dxa"/>
            <w:vAlign w:val="center"/>
          </w:tcPr>
          <w:p>
            <w:pPr>
              <w:widowControl/>
              <w:spacing w:line="360" w:lineRule="auto"/>
              <w:jc w:val="center"/>
              <w:rPr>
                <w:rFonts w:hint="eastAsia" w:ascii="宋体" w:hAnsi="宋体" w:eastAsia="宋体"/>
                <w:kern w:val="0"/>
                <w:lang w:eastAsia="zh-CN"/>
              </w:rPr>
            </w:pPr>
            <w:r>
              <w:rPr>
                <w:rFonts w:hint="eastAsia" w:ascii="宋体" w:hAnsi="宋体"/>
                <w:kern w:val="0"/>
              </w:rPr>
              <w:t>潘  诚</w:t>
            </w:r>
            <w:r>
              <w:rPr>
                <w:rFonts w:hint="eastAsia" w:ascii="宋体" w:hAnsi="宋体"/>
                <w:kern w:val="0"/>
                <w:lang w:val="en-US" w:eastAsia="zh-CN"/>
              </w:rPr>
              <w:t xml:space="preserve"> </w:t>
            </w:r>
          </w:p>
        </w:tc>
      </w:tr>
    </w:tbl>
    <w:tbl>
      <w:tblPr>
        <w:tblStyle w:val="7"/>
        <w:tblpPr w:leftFromText="180" w:rightFromText="180" w:vertAnchor="text" w:tblpX="68" w:tblpY="332"/>
        <w:tblOverlap w:val="never"/>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5"/>
        <w:gridCol w:w="4044"/>
        <w:gridCol w:w="66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2685" w:type="dxa"/>
            <w:vAlign w:val="center"/>
          </w:tcPr>
          <w:p>
            <w:pPr>
              <w:widowControl/>
              <w:jc w:val="center"/>
              <w:rPr>
                <w:rStyle w:val="9"/>
                <w:rFonts w:hint="eastAsia" w:ascii="微软雅黑" w:hAnsi="微软雅黑" w:eastAsia="微软雅黑" w:cs="微软雅黑"/>
                <w:b w:val="0"/>
                <w:bCs/>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模块三</w:t>
            </w:r>
          </w:p>
          <w:p>
            <w:pPr>
              <w:widowControl/>
              <w:jc w:val="center"/>
              <w:rPr>
                <w:rFonts w:hint="eastAsia" w:ascii="宋体" w:hAnsi="宋体" w:eastAsia="宋体"/>
                <w:b/>
                <w:bCs/>
                <w:kern w:val="0"/>
                <w:lang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企业人力资源管理</w:t>
            </w:r>
          </w:p>
        </w:tc>
        <w:tc>
          <w:tcPr>
            <w:tcW w:w="4044" w:type="dxa"/>
            <w:vAlign w:val="center"/>
          </w:tcPr>
          <w:p>
            <w:pPr>
              <w:widowControl/>
              <w:jc w:val="left"/>
              <w:rPr>
                <w:rFonts w:hint="eastAsia" w:ascii="宋体" w:hAnsi="宋体"/>
                <w:kern w:val="0"/>
                <w:lang w:val="en-US" w:eastAsia="zh-CN"/>
              </w:rPr>
            </w:pPr>
            <w:r>
              <w:rPr>
                <w:rFonts w:hint="eastAsia" w:ascii="宋体" w:hAnsi="宋体"/>
                <w:kern w:val="0"/>
                <w:lang w:val="en-US" w:eastAsia="zh-CN"/>
              </w:rPr>
              <w:t>◆组织结构设计与人员配置</w:t>
            </w:r>
          </w:p>
          <w:p>
            <w:pPr>
              <w:widowControl/>
              <w:jc w:val="left"/>
              <w:rPr>
                <w:rFonts w:hint="eastAsia" w:ascii="宋体" w:hAnsi="宋体"/>
                <w:kern w:val="0"/>
                <w:lang w:val="en-US" w:eastAsia="zh-CN"/>
              </w:rPr>
            </w:pPr>
            <w:r>
              <w:rPr>
                <w:rFonts w:hint="eastAsia" w:ascii="宋体" w:hAnsi="宋体"/>
                <w:kern w:val="0"/>
                <w:lang w:val="en-US" w:eastAsia="zh-CN"/>
              </w:rPr>
              <w:t>◆薪酬设计与激励体系的设定</w:t>
            </w:r>
          </w:p>
          <w:p>
            <w:pPr>
              <w:widowControl/>
              <w:jc w:val="left"/>
              <w:rPr>
                <w:rFonts w:hint="eastAsia" w:ascii="宋体" w:hAnsi="宋体"/>
                <w:kern w:val="0"/>
                <w:lang w:val="en-US" w:eastAsia="zh-CN"/>
              </w:rPr>
            </w:pPr>
            <w:r>
              <w:rPr>
                <w:rFonts w:hint="eastAsia" w:ascii="宋体" w:hAnsi="宋体"/>
                <w:kern w:val="0"/>
                <w:lang w:val="en-US" w:eastAsia="zh-CN"/>
              </w:rPr>
              <w:t>◆关键指标设定与绩效实施管理</w:t>
            </w:r>
          </w:p>
          <w:p>
            <w:pPr>
              <w:widowControl/>
              <w:jc w:val="left"/>
              <w:rPr>
                <w:rFonts w:hint="eastAsia" w:ascii="宋体" w:hAnsi="宋体"/>
                <w:kern w:val="0"/>
              </w:rPr>
            </w:pPr>
            <w:r>
              <w:rPr>
                <w:rFonts w:hint="eastAsia" w:ascii="宋体" w:hAnsi="宋体"/>
                <w:kern w:val="0"/>
                <w:lang w:val="en-US" w:eastAsia="zh-CN"/>
              </w:rPr>
              <w:t>◆人力资源选、育、用、留的策略</w:t>
            </w:r>
          </w:p>
        </w:tc>
        <w:tc>
          <w:tcPr>
            <w:tcW w:w="665" w:type="dxa"/>
            <w:vAlign w:val="center"/>
          </w:tcPr>
          <w:p>
            <w:pPr>
              <w:widowControl/>
              <w:jc w:val="center"/>
              <w:rPr>
                <w:rFonts w:hint="default" w:ascii="宋体" w:hAnsi="宋体" w:eastAsia="宋体"/>
                <w:kern w:val="0"/>
                <w:lang w:val="en-US" w:eastAsia="zh-CN"/>
              </w:rPr>
            </w:pPr>
            <w:r>
              <w:rPr>
                <w:rFonts w:hint="eastAsia" w:ascii="宋体" w:hAnsi="宋体"/>
                <w:kern w:val="0"/>
              </w:rPr>
              <w:t>2天</w:t>
            </w:r>
            <w:r>
              <w:rPr>
                <w:rFonts w:hint="eastAsia" w:ascii="宋体" w:hAnsi="宋体"/>
                <w:kern w:val="0"/>
                <w:lang w:val="en-US" w:eastAsia="zh-CN"/>
              </w:rPr>
              <w:t xml:space="preserve"> </w:t>
            </w:r>
          </w:p>
        </w:tc>
        <w:tc>
          <w:tcPr>
            <w:tcW w:w="1125" w:type="dxa"/>
            <w:vAlign w:val="center"/>
          </w:tcPr>
          <w:p>
            <w:pPr>
              <w:widowControl/>
              <w:spacing w:line="360" w:lineRule="auto"/>
              <w:jc w:val="center"/>
              <w:rPr>
                <w:rFonts w:hint="default" w:ascii="宋体" w:hAnsi="宋体" w:eastAsia="宋体"/>
                <w:kern w:val="0"/>
                <w:lang w:val="en-US" w:eastAsia="zh-CN"/>
              </w:rPr>
            </w:pPr>
            <w:r>
              <w:rPr>
                <w:rFonts w:hint="eastAsia" w:ascii="宋体" w:hAnsi="宋体"/>
                <w:kern w:val="0"/>
                <w:lang w:val="en-US" w:eastAsia="zh-CN"/>
              </w:rPr>
              <w:t>丁守海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685" w:type="dxa"/>
            <w:vAlign w:val="center"/>
          </w:tcPr>
          <w:p>
            <w:pPr>
              <w:widowControl/>
              <w:jc w:val="center"/>
              <w:rPr>
                <w:rStyle w:val="9"/>
                <w:rFonts w:hint="default"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 xml:space="preserve"> 模块四</w:t>
            </w:r>
          </w:p>
          <w:p>
            <w:pPr>
              <w:widowControl/>
              <w:jc w:val="center"/>
              <w:rPr>
                <w:rStyle w:val="9"/>
                <w:rFonts w:hint="default"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财务管理与税务筹划</w:t>
            </w:r>
          </w:p>
          <w:p>
            <w:pPr>
              <w:widowControl/>
              <w:jc w:val="center"/>
              <w:rPr>
                <w:rStyle w:val="9"/>
                <w:rFonts w:hint="default" w:ascii="微软雅黑" w:hAnsi="微软雅黑" w:eastAsia="微软雅黑" w:cs="微软雅黑"/>
                <w:color w:val="3F3F3F"/>
                <w:sz w:val="24"/>
                <w:szCs w:val="24"/>
                <w:shd w:val="clear" w:color="auto" w:fill="FFFFFF"/>
                <w:vertAlign w:val="baseline"/>
                <w:lang w:val="en-US" w:eastAsia="zh-CN"/>
              </w:rPr>
            </w:pPr>
          </w:p>
        </w:tc>
        <w:tc>
          <w:tcPr>
            <w:tcW w:w="4044" w:type="dxa"/>
            <w:vAlign w:val="center"/>
          </w:tcPr>
          <w:p>
            <w:pPr>
              <w:widowControl/>
              <w:jc w:val="left"/>
              <w:rPr>
                <w:rFonts w:hint="eastAsia" w:ascii="宋体" w:hAnsi="宋体"/>
                <w:kern w:val="0"/>
                <w:lang w:val="en-US" w:eastAsia="zh-CN"/>
              </w:rPr>
            </w:pPr>
            <w:r>
              <w:rPr>
                <w:rFonts w:hint="eastAsia" w:ascii="宋体" w:hAnsi="宋体"/>
                <w:kern w:val="0"/>
                <w:lang w:val="en-US" w:eastAsia="zh-CN"/>
              </w:rPr>
              <w:t>◆企业财务制度创新与财务报表分析</w:t>
            </w:r>
          </w:p>
          <w:p>
            <w:pPr>
              <w:widowControl/>
              <w:jc w:val="left"/>
              <w:rPr>
                <w:rFonts w:hint="eastAsia" w:ascii="宋体" w:hAnsi="宋体"/>
                <w:kern w:val="0"/>
                <w:lang w:val="en-US" w:eastAsia="zh-CN"/>
              </w:rPr>
            </w:pPr>
            <w:r>
              <w:rPr>
                <w:rFonts w:hint="eastAsia" w:ascii="宋体" w:hAnsi="宋体"/>
                <w:kern w:val="0"/>
                <w:lang w:val="en-US" w:eastAsia="zh-CN"/>
              </w:rPr>
              <w:t>◆企业财务金融创新与价值创造</w:t>
            </w:r>
          </w:p>
          <w:p>
            <w:pPr>
              <w:widowControl/>
              <w:spacing w:line="252" w:lineRule="atLeast"/>
              <w:jc w:val="left"/>
              <w:rPr>
                <w:rFonts w:hint="eastAsia" w:ascii="宋体" w:hAnsi="宋体"/>
                <w:kern w:val="0"/>
                <w:lang w:val="en-US" w:eastAsia="zh-CN"/>
              </w:rPr>
            </w:pPr>
            <w:r>
              <w:rPr>
                <w:rFonts w:hint="eastAsia" w:ascii="宋体" w:hAnsi="宋体"/>
                <w:kern w:val="0"/>
                <w:lang w:val="en-US" w:eastAsia="zh-CN"/>
              </w:rPr>
              <w:t>◆认识涉税风险与纳税筹划</w:t>
            </w:r>
          </w:p>
          <w:p>
            <w:pPr>
              <w:widowControl/>
              <w:jc w:val="left"/>
              <w:rPr>
                <w:rFonts w:hint="eastAsia" w:ascii="宋体" w:hAnsi="宋体"/>
                <w:kern w:val="0"/>
                <w:lang w:val="en-US" w:eastAsia="zh-CN"/>
              </w:rPr>
            </w:pPr>
            <w:r>
              <w:rPr>
                <w:rFonts w:hint="eastAsia" w:ascii="宋体" w:hAnsi="宋体"/>
                <w:kern w:val="0"/>
                <w:lang w:val="en-US" w:eastAsia="zh-CN"/>
              </w:rPr>
              <w:t>◆企业税务筹划要点及案例分析</w:t>
            </w:r>
          </w:p>
        </w:tc>
        <w:tc>
          <w:tcPr>
            <w:tcW w:w="665" w:type="dxa"/>
            <w:vAlign w:val="center"/>
          </w:tcPr>
          <w:p>
            <w:pPr>
              <w:widowControl/>
              <w:jc w:val="center"/>
              <w:rPr>
                <w:rFonts w:hint="default" w:ascii="宋体" w:hAnsi="宋体" w:eastAsia="宋体"/>
                <w:kern w:val="0"/>
                <w:lang w:val="en-US" w:eastAsia="zh-CN"/>
              </w:rPr>
            </w:pPr>
            <w:r>
              <w:rPr>
                <w:rFonts w:hint="eastAsia" w:ascii="宋体" w:hAnsi="宋体"/>
                <w:kern w:val="0"/>
                <w:lang w:val="en-US" w:eastAsia="zh-CN"/>
              </w:rPr>
              <w:t xml:space="preserve">2天 </w:t>
            </w:r>
          </w:p>
        </w:tc>
        <w:tc>
          <w:tcPr>
            <w:tcW w:w="1125" w:type="dxa"/>
            <w:vAlign w:val="center"/>
          </w:tcPr>
          <w:p>
            <w:pPr>
              <w:widowControl/>
              <w:spacing w:line="360" w:lineRule="auto"/>
              <w:jc w:val="center"/>
              <w:rPr>
                <w:rFonts w:hint="default" w:ascii="宋体" w:hAnsi="宋体"/>
                <w:kern w:val="0"/>
                <w:lang w:val="en-US" w:eastAsia="zh-CN"/>
              </w:rPr>
            </w:pPr>
            <w:r>
              <w:rPr>
                <w:rFonts w:hint="eastAsia" w:ascii="宋体" w:hAnsi="宋体"/>
                <w:kern w:val="0"/>
                <w:lang w:val="en-US" w:eastAsia="zh-CN"/>
              </w:rPr>
              <w:t>霍振先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685" w:type="dxa"/>
            <w:vAlign w:val="center"/>
          </w:tcPr>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模块五</w:t>
            </w:r>
          </w:p>
          <w:p>
            <w:pPr>
              <w:widowControl/>
              <w:jc w:val="center"/>
              <w:rPr>
                <w:rFonts w:hint="default" w:ascii="微软雅黑" w:hAnsi="微软雅黑" w:eastAsia="微软雅黑" w:cs="微软雅黑"/>
                <w:b/>
                <w:color w:val="3F3F3F"/>
                <w:kern w:val="2"/>
                <w:sz w:val="24"/>
                <w:szCs w:val="24"/>
                <w:shd w:val="clear" w:color="auto" w:fill="FFFFFF"/>
                <w:vertAlign w:val="baseline"/>
                <w:lang w:val="en-US" w:eastAsia="zh-CN" w:bidi="ar-SA"/>
              </w:rPr>
            </w:pPr>
            <w:r>
              <w:rPr>
                <w:rStyle w:val="9"/>
                <w:rFonts w:hint="eastAsia" w:ascii="微软雅黑" w:hAnsi="微软雅黑" w:eastAsia="微软雅黑" w:cs="微软雅黑"/>
                <w:color w:val="3F3F3F"/>
                <w:sz w:val="24"/>
                <w:szCs w:val="24"/>
                <w:shd w:val="clear" w:color="auto" w:fill="FFFFFF"/>
                <w:vertAlign w:val="baseline"/>
                <w:lang w:val="en-US" w:eastAsia="zh-CN"/>
              </w:rPr>
              <w:t>爆品营销—互联网时代爆品打造的方法</w:t>
            </w:r>
          </w:p>
        </w:tc>
        <w:tc>
          <w:tcPr>
            <w:tcW w:w="4044" w:type="dxa"/>
            <w:vAlign w:val="center"/>
          </w:tcPr>
          <w:p>
            <w:pPr>
              <w:widowControl/>
              <w:jc w:val="left"/>
              <w:rPr>
                <w:rFonts w:hint="eastAsia" w:ascii="宋体" w:hAnsi="宋体"/>
                <w:kern w:val="0"/>
                <w:lang w:val="en-US" w:eastAsia="zh-CN"/>
              </w:rPr>
            </w:pPr>
            <w:r>
              <w:rPr>
                <w:rFonts w:hint="eastAsia" w:ascii="宋体" w:hAnsi="宋体"/>
                <w:kern w:val="0"/>
                <w:lang w:val="en-US" w:eastAsia="zh-CN"/>
              </w:rPr>
              <w:t>◆爆品打造的底层逻辑</w:t>
            </w:r>
          </w:p>
          <w:p>
            <w:pPr>
              <w:widowControl/>
              <w:jc w:val="left"/>
              <w:rPr>
                <w:rFonts w:hint="default" w:ascii="宋体" w:hAnsi="宋体"/>
                <w:kern w:val="0"/>
                <w:lang w:val="en-US" w:eastAsia="zh-CN"/>
              </w:rPr>
            </w:pPr>
            <w:r>
              <w:rPr>
                <w:rFonts w:hint="eastAsia" w:ascii="宋体" w:hAnsi="宋体"/>
                <w:kern w:val="0"/>
                <w:lang w:val="en-US" w:eastAsia="zh-CN"/>
              </w:rPr>
              <w:t>◆爆品战略设计</w:t>
            </w:r>
          </w:p>
          <w:p>
            <w:pPr>
              <w:widowControl/>
              <w:jc w:val="left"/>
              <w:rPr>
                <w:rFonts w:hint="eastAsia" w:ascii="宋体" w:hAnsi="宋体"/>
                <w:kern w:val="0"/>
                <w:lang w:val="en-US" w:eastAsia="zh-CN"/>
              </w:rPr>
            </w:pPr>
            <w:r>
              <w:rPr>
                <w:rFonts w:hint="eastAsia" w:ascii="宋体" w:hAnsi="宋体"/>
                <w:kern w:val="0"/>
                <w:lang w:val="en-US" w:eastAsia="zh-CN"/>
              </w:rPr>
              <w:t xml:space="preserve">◆打造爆品的模型与方法 </w:t>
            </w:r>
          </w:p>
          <w:p>
            <w:pPr>
              <w:widowControl/>
              <w:jc w:val="left"/>
              <w:rPr>
                <w:rFonts w:hint="eastAsia" w:ascii="宋体" w:hAnsi="宋体" w:eastAsia="宋体" w:cs="Times New Roman"/>
                <w:kern w:val="0"/>
                <w:sz w:val="21"/>
                <w:szCs w:val="21"/>
                <w:lang w:val="en-US" w:eastAsia="zh-CN" w:bidi="ar-SA"/>
              </w:rPr>
            </w:pPr>
            <w:r>
              <w:rPr>
                <w:rFonts w:hint="eastAsia" w:ascii="宋体" w:hAnsi="宋体"/>
                <w:kern w:val="0"/>
                <w:lang w:val="en-US" w:eastAsia="zh-CN"/>
              </w:rPr>
              <w:t>◆系统产品体系打造</w:t>
            </w:r>
          </w:p>
        </w:tc>
        <w:tc>
          <w:tcPr>
            <w:tcW w:w="665" w:type="dxa"/>
            <w:vAlign w:val="center"/>
          </w:tcPr>
          <w:p>
            <w:pPr>
              <w:widowControl/>
              <w:jc w:val="center"/>
              <w:rPr>
                <w:rFonts w:hint="default" w:ascii="宋体" w:hAnsi="宋体" w:eastAsia="宋体" w:cs="Times New Roman"/>
                <w:kern w:val="0"/>
                <w:sz w:val="21"/>
                <w:szCs w:val="21"/>
                <w:lang w:val="en-US" w:eastAsia="zh-CN" w:bidi="ar-SA"/>
              </w:rPr>
            </w:pPr>
            <w:r>
              <w:rPr>
                <w:rFonts w:hint="eastAsia" w:ascii="宋体" w:hAnsi="宋体"/>
                <w:kern w:val="0"/>
                <w:lang w:val="en-US" w:eastAsia="zh-CN"/>
              </w:rPr>
              <w:t>2天1晚</w:t>
            </w:r>
          </w:p>
        </w:tc>
        <w:tc>
          <w:tcPr>
            <w:tcW w:w="1125" w:type="dxa"/>
            <w:vAlign w:val="center"/>
          </w:tcPr>
          <w:p>
            <w:pPr>
              <w:widowControl/>
              <w:spacing w:line="360" w:lineRule="auto"/>
              <w:jc w:val="center"/>
              <w:rPr>
                <w:rFonts w:hint="default" w:ascii="宋体" w:hAnsi="宋体" w:eastAsia="宋体" w:cs="Times New Roman"/>
                <w:kern w:val="0"/>
                <w:sz w:val="21"/>
                <w:szCs w:val="21"/>
                <w:lang w:val="en-US" w:eastAsia="zh-CN" w:bidi="ar-SA"/>
              </w:rPr>
            </w:pPr>
            <w:r>
              <w:rPr>
                <w:rFonts w:hint="eastAsia" w:ascii="宋体" w:hAnsi="宋体"/>
                <w:kern w:val="0"/>
                <w:lang w:val="en-US" w:eastAsia="zh-CN"/>
              </w:rPr>
              <w:t>寇飞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685" w:type="dxa"/>
            <w:vAlign w:val="center"/>
          </w:tcPr>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模块六</w:t>
            </w:r>
          </w:p>
          <w:p>
            <w:pPr>
              <w:widowControl/>
              <w:jc w:val="center"/>
              <w:rPr>
                <w:rFonts w:hint="default" w:ascii="宋体" w:hAnsi="宋体" w:eastAsia="宋体" w:cs="Times New Roman"/>
                <w:b/>
                <w:bCs/>
                <w:kern w:val="0"/>
                <w:sz w:val="21"/>
                <w:szCs w:val="21"/>
                <w:lang w:val="en-US" w:eastAsia="zh-CN" w:bidi="ar-SA"/>
              </w:rPr>
            </w:pPr>
            <w:r>
              <w:rPr>
                <w:rStyle w:val="9"/>
                <w:rFonts w:hint="eastAsia" w:ascii="微软雅黑" w:hAnsi="微软雅黑" w:eastAsia="微软雅黑" w:cs="微软雅黑"/>
                <w:color w:val="3F3F3F"/>
                <w:sz w:val="24"/>
                <w:szCs w:val="24"/>
                <w:shd w:val="clear" w:color="auto" w:fill="FFFFFF"/>
                <w:vertAlign w:val="baseline"/>
                <w:lang w:val="en-US" w:eastAsia="zh-CN"/>
              </w:rPr>
              <w:t>领导力与团队管理</w:t>
            </w:r>
          </w:p>
        </w:tc>
        <w:tc>
          <w:tcPr>
            <w:tcW w:w="4044" w:type="dxa"/>
            <w:vAlign w:val="center"/>
          </w:tcPr>
          <w:p>
            <w:pPr>
              <w:widowControl/>
              <w:jc w:val="left"/>
              <w:rPr>
                <w:rFonts w:hint="eastAsia" w:ascii="宋体" w:hAnsi="宋体"/>
                <w:kern w:val="0"/>
                <w:lang w:val="en-US" w:eastAsia="zh-CN"/>
              </w:rPr>
            </w:pPr>
            <w:r>
              <w:rPr>
                <w:rFonts w:hint="eastAsia" w:ascii="宋体" w:hAnsi="宋体"/>
                <w:kern w:val="0"/>
                <w:lang w:val="en-US" w:eastAsia="zh-CN"/>
              </w:rPr>
              <w:t>◆管理科学与领导艺术</w:t>
            </w:r>
          </w:p>
          <w:p>
            <w:pPr>
              <w:widowControl/>
              <w:jc w:val="left"/>
              <w:rPr>
                <w:rFonts w:hint="default" w:ascii="宋体" w:hAnsi="宋体"/>
                <w:kern w:val="0"/>
                <w:lang w:val="en-US" w:eastAsia="zh-CN"/>
              </w:rPr>
            </w:pPr>
            <w:r>
              <w:rPr>
                <w:rFonts w:hint="eastAsia" w:ascii="宋体" w:hAnsi="宋体"/>
                <w:kern w:val="0"/>
                <w:lang w:val="en-US" w:eastAsia="zh-CN"/>
              </w:rPr>
              <w:t>◆领导力与领导艺术</w:t>
            </w:r>
          </w:p>
          <w:p>
            <w:pPr>
              <w:widowControl/>
              <w:jc w:val="left"/>
              <w:rPr>
                <w:rFonts w:hint="eastAsia" w:ascii="宋体" w:hAnsi="宋体"/>
                <w:kern w:val="0"/>
                <w:lang w:val="en-US" w:eastAsia="zh-CN"/>
              </w:rPr>
            </w:pPr>
            <w:r>
              <w:rPr>
                <w:rFonts w:hint="eastAsia" w:ascii="宋体" w:hAnsi="宋体"/>
                <w:kern w:val="0"/>
                <w:lang w:val="en-US" w:eastAsia="zh-CN"/>
              </w:rPr>
              <w:t>◆现代领导者谈用人</w:t>
            </w:r>
          </w:p>
          <w:p>
            <w:pPr>
              <w:widowControl/>
              <w:jc w:val="left"/>
              <w:rPr>
                <w:rFonts w:hint="eastAsia" w:ascii="宋体" w:hAnsi="宋体" w:eastAsia="宋体" w:cs="Times New Roman"/>
                <w:kern w:val="0"/>
                <w:sz w:val="21"/>
                <w:szCs w:val="21"/>
                <w:lang w:val="en-US" w:eastAsia="zh-CN" w:bidi="ar-SA"/>
              </w:rPr>
            </w:pPr>
            <w:r>
              <w:rPr>
                <w:rFonts w:hint="eastAsia" w:ascii="宋体" w:hAnsi="宋体"/>
                <w:kern w:val="0"/>
                <w:lang w:val="en-US" w:eastAsia="zh-CN"/>
              </w:rPr>
              <w:t>◆激励与授权</w:t>
            </w:r>
          </w:p>
        </w:tc>
        <w:tc>
          <w:tcPr>
            <w:tcW w:w="665" w:type="dxa"/>
            <w:vAlign w:val="center"/>
          </w:tcPr>
          <w:p>
            <w:pPr>
              <w:widowControl/>
              <w:jc w:val="center"/>
              <w:rPr>
                <w:rFonts w:hint="default" w:ascii="宋体" w:hAnsi="宋体" w:eastAsia="宋体" w:cs="Times New Roman"/>
                <w:kern w:val="0"/>
                <w:sz w:val="21"/>
                <w:szCs w:val="21"/>
                <w:lang w:val="en-US" w:eastAsia="zh-CN" w:bidi="ar-SA"/>
              </w:rPr>
            </w:pPr>
            <w:r>
              <w:rPr>
                <w:rFonts w:hint="eastAsia" w:ascii="宋体" w:hAnsi="宋体"/>
                <w:kern w:val="0"/>
              </w:rPr>
              <w:t>2天</w:t>
            </w:r>
          </w:p>
        </w:tc>
        <w:tc>
          <w:tcPr>
            <w:tcW w:w="1125" w:type="dxa"/>
            <w:vAlign w:val="center"/>
          </w:tcPr>
          <w:p>
            <w:pPr>
              <w:widowControl/>
              <w:jc w:val="center"/>
              <w:rPr>
                <w:rFonts w:hint="default" w:ascii="宋体" w:hAnsi="宋体" w:eastAsia="宋体" w:cs="Times New Roman"/>
                <w:kern w:val="0"/>
                <w:sz w:val="21"/>
                <w:szCs w:val="21"/>
                <w:lang w:val="en-US" w:eastAsia="zh-CN" w:bidi="ar-SA"/>
              </w:rPr>
            </w:pPr>
            <w:r>
              <w:rPr>
                <w:rFonts w:hint="eastAsia" w:ascii="宋体" w:hAnsi="宋体"/>
                <w:kern w:val="0"/>
                <w:lang w:val="en-US" w:eastAsia="zh-CN"/>
              </w:rPr>
              <w:t>汪大正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685" w:type="dxa"/>
            <w:vAlign w:val="center"/>
          </w:tcPr>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模块七</w:t>
            </w:r>
          </w:p>
          <w:p>
            <w:pPr>
              <w:widowControl/>
              <w:jc w:val="center"/>
              <w:rPr>
                <w:rFonts w:hint="eastAsia" w:ascii="微软雅黑" w:hAnsi="微软雅黑" w:eastAsia="微软雅黑" w:cs="微软雅黑"/>
                <w:b w:val="0"/>
                <w:bCs w:val="0"/>
                <w:color w:val="000000" w:themeColor="text1"/>
                <w:kern w:val="2"/>
                <w:sz w:val="24"/>
                <w:szCs w:val="24"/>
                <w:shd w:val="clear" w:color="auto" w:fill="FFFFFF"/>
                <w:vertAlign w:val="baseline"/>
                <w:lang w:val="en-US" w:eastAsia="zh-CN" w:bidi="ar-SA"/>
                <w14:textFill>
                  <w14:solidFill>
                    <w14:schemeClr w14:val="tx1"/>
                  </w14:solidFill>
                </w14:textFill>
              </w:rPr>
            </w:pPr>
            <w:r>
              <w:rPr>
                <w:rStyle w:val="9"/>
                <w:rFonts w:hint="eastAsia" w:ascii="微软雅黑" w:hAnsi="微软雅黑" w:eastAsia="微软雅黑" w:cs="微软雅黑"/>
                <w:color w:val="3F3F3F"/>
                <w:sz w:val="24"/>
                <w:szCs w:val="24"/>
                <w:shd w:val="clear" w:color="auto" w:fill="FFFFFF"/>
                <w:vertAlign w:val="baseline"/>
                <w:lang w:val="en-US" w:eastAsia="zh-CN"/>
              </w:rPr>
              <w:t>精益管理</w:t>
            </w:r>
          </w:p>
        </w:tc>
        <w:tc>
          <w:tcPr>
            <w:tcW w:w="4044" w:type="dxa"/>
            <w:vAlign w:val="center"/>
          </w:tcPr>
          <w:p>
            <w:pPr>
              <w:widowControl/>
              <w:jc w:val="left"/>
              <w:rPr>
                <w:rFonts w:hint="eastAsia" w:ascii="宋体" w:hAnsi="宋体"/>
                <w:b w:val="0"/>
                <w:bCs w:val="0"/>
                <w:color w:val="000000" w:themeColor="text1"/>
                <w:kern w:val="0"/>
                <w14:textFill>
                  <w14:solidFill>
                    <w14:schemeClr w14:val="tx1"/>
                  </w14:solidFill>
                </w14:textFill>
              </w:rPr>
            </w:pPr>
            <w:r>
              <w:rPr>
                <w:rFonts w:hint="eastAsia" w:ascii="宋体" w:hAnsi="宋体"/>
                <w:b w:val="0"/>
                <w:bCs w:val="0"/>
                <w:color w:val="000000" w:themeColor="text1"/>
                <w:kern w:val="0"/>
                <w:lang w:val="en-US" w:eastAsia="zh-CN"/>
                <w14:textFill>
                  <w14:solidFill>
                    <w14:schemeClr w14:val="tx1"/>
                  </w14:solidFill>
                </w14:textFill>
              </w:rPr>
              <w:t>◆</w:t>
            </w:r>
            <w:r>
              <w:rPr>
                <w:rFonts w:hint="eastAsia" w:ascii="宋体" w:hAnsi="宋体"/>
                <w:b w:val="0"/>
                <w:bCs w:val="0"/>
                <w:color w:val="000000" w:themeColor="text1"/>
                <w:kern w:val="0"/>
                <w14:textFill>
                  <w14:solidFill>
                    <w14:schemeClr w14:val="tx1"/>
                  </w14:solidFill>
                </w14:textFill>
              </w:rPr>
              <w:t>精益化营运数据管理</w:t>
            </w:r>
          </w:p>
          <w:p>
            <w:pPr>
              <w:widowControl/>
              <w:jc w:val="left"/>
              <w:rPr>
                <w:rFonts w:hint="eastAsia" w:ascii="宋体" w:hAnsi="宋体"/>
                <w:b w:val="0"/>
                <w:bCs w:val="0"/>
                <w:color w:val="000000" w:themeColor="text1"/>
                <w:kern w:val="0"/>
                <w14:textFill>
                  <w14:solidFill>
                    <w14:schemeClr w14:val="tx1"/>
                  </w14:solidFill>
                </w14:textFill>
              </w:rPr>
            </w:pPr>
            <w:r>
              <w:rPr>
                <w:rFonts w:hint="eastAsia" w:ascii="宋体" w:hAnsi="宋体"/>
                <w:b w:val="0"/>
                <w:bCs w:val="0"/>
                <w:color w:val="000000" w:themeColor="text1"/>
                <w:kern w:val="0"/>
                <w:lang w:val="en-US" w:eastAsia="zh-CN"/>
                <w14:textFill>
                  <w14:solidFill>
                    <w14:schemeClr w14:val="tx1"/>
                  </w14:solidFill>
                </w14:textFill>
              </w:rPr>
              <w:t>◆</w:t>
            </w:r>
            <w:r>
              <w:rPr>
                <w:rFonts w:hint="eastAsia" w:ascii="宋体" w:hAnsi="宋体"/>
                <w:b w:val="0"/>
                <w:bCs w:val="0"/>
                <w:color w:val="000000" w:themeColor="text1"/>
                <w:kern w:val="0"/>
                <w14:textFill>
                  <w14:solidFill>
                    <w14:schemeClr w14:val="tx1"/>
                  </w14:solidFill>
                </w14:textFill>
              </w:rPr>
              <w:t>企业营运关键要素分析与定义</w:t>
            </w:r>
          </w:p>
          <w:p>
            <w:pPr>
              <w:widowControl/>
              <w:jc w:val="left"/>
              <w:rPr>
                <w:rFonts w:hint="eastAsia" w:ascii="宋体" w:hAnsi="宋体"/>
                <w:b w:val="0"/>
                <w:bCs w:val="0"/>
                <w:color w:val="000000" w:themeColor="text1"/>
                <w:kern w:val="0"/>
                <w14:textFill>
                  <w14:solidFill>
                    <w14:schemeClr w14:val="tx1"/>
                  </w14:solidFill>
                </w14:textFill>
              </w:rPr>
            </w:pPr>
            <w:r>
              <w:rPr>
                <w:rFonts w:hint="eastAsia" w:ascii="宋体" w:hAnsi="宋体"/>
                <w:b w:val="0"/>
                <w:bCs w:val="0"/>
                <w:color w:val="000000" w:themeColor="text1"/>
                <w:kern w:val="0"/>
                <w:lang w:val="en-US" w:eastAsia="zh-CN"/>
                <w14:textFill>
                  <w14:solidFill>
                    <w14:schemeClr w14:val="tx1"/>
                  </w14:solidFill>
                </w14:textFill>
              </w:rPr>
              <w:t>◆</w:t>
            </w:r>
            <w:r>
              <w:rPr>
                <w:rFonts w:hint="eastAsia" w:ascii="宋体" w:hAnsi="宋体"/>
                <w:b w:val="0"/>
                <w:bCs w:val="0"/>
                <w:color w:val="000000" w:themeColor="text1"/>
                <w:kern w:val="0"/>
                <w14:textFill>
                  <w14:solidFill>
                    <w14:schemeClr w14:val="tx1"/>
                  </w14:solidFill>
                </w14:textFill>
              </w:rPr>
              <w:t>企业数据链的分析与搭建</w:t>
            </w:r>
          </w:p>
          <w:p>
            <w:pPr>
              <w:widowControl/>
              <w:jc w:val="left"/>
              <w:rPr>
                <w:rFonts w:hint="default" w:ascii="宋体" w:hAnsi="宋体" w:eastAsia="宋体" w:cs="Times New Roman"/>
                <w:b w:val="0"/>
                <w:bCs w:val="0"/>
                <w:color w:val="000000" w:themeColor="text1"/>
                <w:kern w:val="0"/>
                <w:sz w:val="21"/>
                <w:szCs w:val="21"/>
                <w:lang w:val="en-US" w:eastAsia="zh-CN" w:bidi="ar-SA"/>
                <w14:textFill>
                  <w14:solidFill>
                    <w14:schemeClr w14:val="tx1"/>
                  </w14:solidFill>
                </w14:textFill>
              </w:rPr>
            </w:pPr>
            <w:r>
              <w:rPr>
                <w:rFonts w:hint="eastAsia" w:ascii="宋体" w:hAnsi="宋体"/>
                <w:b w:val="0"/>
                <w:bCs w:val="0"/>
                <w:color w:val="000000" w:themeColor="text1"/>
                <w:kern w:val="0"/>
                <w:lang w:val="en-US" w:eastAsia="zh-CN"/>
                <w14:textFill>
                  <w14:solidFill>
                    <w14:schemeClr w14:val="tx1"/>
                  </w14:solidFill>
                </w14:textFill>
              </w:rPr>
              <w:t>◆</w:t>
            </w:r>
            <w:r>
              <w:rPr>
                <w:rFonts w:hint="eastAsia" w:ascii="宋体" w:hAnsi="宋体"/>
                <w:b w:val="0"/>
                <w:bCs w:val="0"/>
                <w:color w:val="000000" w:themeColor="text1"/>
                <w:kern w:val="0"/>
                <w14:textFill>
                  <w14:solidFill>
                    <w14:schemeClr w14:val="tx1"/>
                  </w14:solidFill>
                </w14:textFill>
              </w:rPr>
              <w:t>企业系统化运营体系</w:t>
            </w:r>
            <w:r>
              <w:rPr>
                <w:rFonts w:hint="eastAsia" w:ascii="宋体" w:hAnsi="宋体"/>
                <w:b w:val="0"/>
                <w:bCs w:val="0"/>
                <w:color w:val="000000" w:themeColor="text1"/>
                <w:kern w:val="0"/>
                <w:lang w:val="en-US" w:eastAsia="zh-CN"/>
                <w14:textFill>
                  <w14:solidFill>
                    <w14:schemeClr w14:val="tx1"/>
                  </w14:solidFill>
                </w14:textFill>
              </w:rPr>
              <w:t>构建</w:t>
            </w:r>
          </w:p>
        </w:tc>
        <w:tc>
          <w:tcPr>
            <w:tcW w:w="665" w:type="dxa"/>
            <w:vAlign w:val="center"/>
          </w:tcPr>
          <w:p>
            <w:pPr>
              <w:widowControl/>
              <w:jc w:val="center"/>
              <w:rPr>
                <w:rFonts w:hint="default" w:ascii="宋体" w:hAnsi="宋体" w:eastAsia="宋体" w:cs="Times New Roman"/>
                <w:kern w:val="0"/>
                <w:sz w:val="21"/>
                <w:szCs w:val="21"/>
                <w:lang w:val="en-US" w:eastAsia="zh-CN" w:bidi="ar-SA"/>
              </w:rPr>
            </w:pPr>
            <w:r>
              <w:rPr>
                <w:rFonts w:hint="eastAsia" w:ascii="宋体" w:hAnsi="宋体"/>
                <w:kern w:val="0"/>
                <w:lang w:val="en-US" w:eastAsia="zh-CN"/>
              </w:rPr>
              <w:t>2天1晚</w:t>
            </w:r>
          </w:p>
        </w:tc>
        <w:tc>
          <w:tcPr>
            <w:tcW w:w="1125" w:type="dxa"/>
            <w:vAlign w:val="center"/>
          </w:tcPr>
          <w:p>
            <w:pPr>
              <w:widowControl/>
              <w:jc w:val="center"/>
              <w:rPr>
                <w:rFonts w:hint="default" w:ascii="宋体" w:hAnsi="宋体" w:eastAsia="宋体" w:cs="Times New Roman"/>
                <w:kern w:val="0"/>
                <w:sz w:val="21"/>
                <w:szCs w:val="21"/>
                <w:lang w:val="en-US" w:eastAsia="zh-CN" w:bidi="ar-SA"/>
              </w:rPr>
            </w:pPr>
            <w:r>
              <w:rPr>
                <w:rFonts w:hint="eastAsia" w:ascii="宋体" w:hAnsi="宋体"/>
                <w:kern w:val="0"/>
                <w:lang w:val="en-US" w:eastAsia="zh-CN"/>
              </w:rPr>
              <w:t>孟志强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2685" w:type="dxa"/>
            <w:vAlign w:val="center"/>
          </w:tcPr>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模块八</w:t>
            </w:r>
          </w:p>
          <w:p>
            <w:pPr>
              <w:widowControl/>
              <w:jc w:val="center"/>
              <w:rPr>
                <w:rFonts w:hint="default" w:ascii="微软雅黑" w:hAnsi="微软雅黑" w:eastAsia="微软雅黑" w:cs="微软雅黑"/>
                <w:b/>
                <w:color w:val="3F3F3F"/>
                <w:kern w:val="2"/>
                <w:sz w:val="24"/>
                <w:szCs w:val="24"/>
                <w:shd w:val="clear" w:color="auto" w:fill="FFFFFF"/>
                <w:vertAlign w:val="baseline"/>
                <w:lang w:val="en-US" w:eastAsia="zh-CN" w:bidi="ar-SA"/>
              </w:rPr>
            </w:pPr>
            <w:r>
              <w:rPr>
                <w:rStyle w:val="9"/>
                <w:rFonts w:hint="eastAsia" w:ascii="微软雅黑" w:hAnsi="微软雅黑" w:eastAsia="微软雅黑" w:cs="微软雅黑"/>
                <w:color w:val="3F3F3F"/>
                <w:sz w:val="24"/>
                <w:szCs w:val="24"/>
                <w:shd w:val="clear" w:color="auto" w:fill="FFFFFF"/>
                <w:vertAlign w:val="baseline"/>
                <w:lang w:val="en-US" w:eastAsia="zh-CN"/>
              </w:rPr>
              <w:t>国学智慧与企业管理</w:t>
            </w:r>
            <w:r>
              <w:rPr>
                <w:rStyle w:val="9"/>
                <w:rFonts w:hint="eastAsia" w:ascii="微软雅黑" w:hAnsi="微软雅黑" w:eastAsia="微软雅黑" w:cs="微软雅黑"/>
                <w:b w:val="0"/>
                <w:bCs/>
                <w:color w:val="3F3F3F"/>
                <w:sz w:val="24"/>
                <w:szCs w:val="24"/>
                <w:shd w:val="clear" w:color="auto" w:fill="FFFFFF"/>
                <w:vertAlign w:val="baseline"/>
                <w:lang w:val="en-US" w:eastAsia="zh-CN"/>
              </w:rPr>
              <w:t>（选修）</w:t>
            </w:r>
          </w:p>
        </w:tc>
        <w:tc>
          <w:tcPr>
            <w:tcW w:w="4044" w:type="dxa"/>
            <w:vAlign w:val="center"/>
          </w:tcPr>
          <w:p>
            <w:pPr>
              <w:widowControl/>
              <w:jc w:val="left"/>
              <w:rPr>
                <w:rFonts w:hint="default" w:ascii="宋体" w:hAnsi="宋体" w:eastAsia="宋体"/>
                <w:kern w:val="0"/>
                <w:lang w:val="en-US" w:eastAsia="zh-CN"/>
              </w:rPr>
            </w:pPr>
            <w:r>
              <w:rPr>
                <w:rFonts w:hint="eastAsia" w:ascii="宋体" w:hAnsi="宋体"/>
                <w:kern w:val="0"/>
                <w:lang w:val="en-US" w:eastAsia="zh-CN"/>
              </w:rPr>
              <w:t>◆易文化与现代企业管理</w:t>
            </w:r>
          </w:p>
          <w:p>
            <w:pPr>
              <w:widowControl/>
              <w:jc w:val="left"/>
              <w:rPr>
                <w:rFonts w:hint="eastAsia" w:ascii="宋体" w:hAnsi="宋体" w:eastAsia="宋体"/>
                <w:kern w:val="0"/>
                <w:lang w:eastAsia="zh-CN"/>
              </w:rPr>
            </w:pPr>
            <w:r>
              <w:rPr>
                <w:rFonts w:hint="eastAsia" w:ascii="宋体" w:hAnsi="宋体"/>
                <w:kern w:val="0"/>
                <w:lang w:val="en-US" w:eastAsia="zh-CN"/>
              </w:rPr>
              <w:t xml:space="preserve">◆儒家文化与现代企业管理 </w:t>
            </w:r>
          </w:p>
          <w:p>
            <w:pPr>
              <w:widowControl/>
              <w:jc w:val="left"/>
              <w:rPr>
                <w:rFonts w:hint="default" w:ascii="宋体" w:hAnsi="宋体"/>
                <w:kern w:val="0"/>
                <w:lang w:val="en-US" w:eastAsia="zh-CN"/>
              </w:rPr>
            </w:pPr>
            <w:r>
              <w:rPr>
                <w:rFonts w:hint="eastAsia" w:ascii="宋体" w:hAnsi="宋体"/>
                <w:kern w:val="0"/>
                <w:lang w:val="en-US" w:eastAsia="zh-CN"/>
              </w:rPr>
              <w:t>◆道德经与现代企业管理</w:t>
            </w:r>
          </w:p>
          <w:p>
            <w:pPr>
              <w:widowControl/>
              <w:jc w:val="left"/>
              <w:rPr>
                <w:rFonts w:hint="default" w:ascii="宋体" w:hAnsi="宋体" w:eastAsia="宋体" w:cs="Times New Roman"/>
                <w:kern w:val="0"/>
                <w:sz w:val="21"/>
                <w:szCs w:val="21"/>
                <w:lang w:val="en-US" w:eastAsia="zh-CN" w:bidi="ar-SA"/>
              </w:rPr>
            </w:pPr>
            <w:r>
              <w:rPr>
                <w:rFonts w:hint="eastAsia" w:ascii="宋体" w:hAnsi="宋体"/>
                <w:kern w:val="0"/>
                <w:lang w:val="en-US" w:eastAsia="zh-CN"/>
              </w:rPr>
              <w:t>◆曾国藩管理智慧</w:t>
            </w:r>
          </w:p>
        </w:tc>
        <w:tc>
          <w:tcPr>
            <w:tcW w:w="665" w:type="dxa"/>
            <w:vAlign w:val="center"/>
          </w:tcPr>
          <w:p>
            <w:pPr>
              <w:widowControl/>
              <w:jc w:val="center"/>
              <w:rPr>
                <w:rFonts w:ascii="宋体" w:hAnsi="宋体" w:eastAsia="宋体" w:cs="Times New Roman"/>
                <w:kern w:val="0"/>
                <w:sz w:val="21"/>
                <w:szCs w:val="21"/>
                <w:lang w:val="en-US" w:eastAsia="zh-CN" w:bidi="ar-SA"/>
              </w:rPr>
            </w:pPr>
            <w:r>
              <w:rPr>
                <w:rFonts w:hint="eastAsia" w:ascii="宋体" w:hAnsi="宋体"/>
                <w:kern w:val="0"/>
              </w:rPr>
              <w:t>2天</w:t>
            </w:r>
          </w:p>
        </w:tc>
        <w:tc>
          <w:tcPr>
            <w:tcW w:w="1125" w:type="dxa"/>
            <w:vAlign w:val="center"/>
          </w:tcPr>
          <w:p>
            <w:pPr>
              <w:widowControl/>
              <w:spacing w:line="360" w:lineRule="auto"/>
              <w:jc w:val="center"/>
              <w:rPr>
                <w:rFonts w:hint="eastAsia" w:ascii="宋体" w:hAnsi="宋体" w:eastAsia="宋体" w:cs="Times New Roman"/>
                <w:kern w:val="0"/>
                <w:sz w:val="21"/>
                <w:szCs w:val="21"/>
                <w:lang w:val="en-US" w:eastAsia="zh-CN" w:bidi="ar-SA"/>
              </w:rPr>
            </w:pPr>
            <w:r>
              <w:rPr>
                <w:rFonts w:hint="eastAsia" w:ascii="宋体" w:hAnsi="宋体"/>
                <w:color w:val="auto"/>
                <w:kern w:val="0"/>
                <w:lang w:val="en-US" w:eastAsia="zh-CN"/>
              </w:rPr>
              <w:t>孔维勤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2685" w:type="dxa"/>
            <w:vAlign w:val="center"/>
          </w:tcPr>
          <w:p>
            <w:pPr>
              <w:widowControl/>
              <w:jc w:val="center"/>
              <w:rPr>
                <w:rStyle w:val="9"/>
                <w:rFonts w:hint="eastAsia" w:ascii="微软雅黑" w:hAnsi="微软雅黑" w:eastAsia="微软雅黑" w:cs="微软雅黑"/>
                <w:b w:val="0"/>
                <w:bCs/>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模块九</w:t>
            </w:r>
          </w:p>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企业法律实务</w:t>
            </w:r>
          </w:p>
        </w:tc>
        <w:tc>
          <w:tcPr>
            <w:tcW w:w="4044" w:type="dxa"/>
            <w:vAlign w:val="center"/>
          </w:tcPr>
          <w:p>
            <w:pPr>
              <w:widowControl/>
              <w:jc w:val="left"/>
              <w:rPr>
                <w:rFonts w:hint="eastAsia" w:ascii="宋体" w:hAnsi="宋体"/>
                <w:kern w:val="0"/>
                <w:lang w:val="en-US" w:eastAsia="zh-CN"/>
              </w:rPr>
            </w:pPr>
            <w:r>
              <w:rPr>
                <w:rFonts w:hint="eastAsia" w:ascii="宋体" w:hAnsi="宋体"/>
                <w:kern w:val="0"/>
                <w:lang w:val="en-US" w:eastAsia="zh-CN"/>
              </w:rPr>
              <w:t>◆企业必备经济法规解读</w:t>
            </w:r>
          </w:p>
          <w:p>
            <w:pPr>
              <w:widowControl/>
              <w:jc w:val="left"/>
              <w:rPr>
                <w:rFonts w:hint="eastAsia" w:ascii="宋体" w:hAnsi="宋体"/>
                <w:kern w:val="0"/>
                <w:lang w:val="en-US" w:eastAsia="zh-CN"/>
              </w:rPr>
            </w:pPr>
            <w:r>
              <w:rPr>
                <w:rFonts w:hint="eastAsia" w:ascii="宋体" w:hAnsi="宋体"/>
                <w:kern w:val="0"/>
                <w:lang w:val="en-US" w:eastAsia="zh-CN"/>
              </w:rPr>
              <w:t>◆新公司法精读解析</w:t>
            </w:r>
          </w:p>
          <w:p>
            <w:pPr>
              <w:widowControl/>
              <w:jc w:val="left"/>
              <w:rPr>
                <w:rFonts w:hint="eastAsia" w:ascii="宋体" w:hAnsi="宋体"/>
                <w:kern w:val="0"/>
                <w:lang w:val="en-US" w:eastAsia="zh-CN"/>
              </w:rPr>
            </w:pPr>
            <w:r>
              <w:rPr>
                <w:rFonts w:hint="eastAsia" w:ascii="宋体" w:hAnsi="宋体"/>
                <w:kern w:val="0"/>
                <w:lang w:val="en-US" w:eastAsia="zh-CN"/>
              </w:rPr>
              <w:t>◆专利与知识产权法律法规与实务</w:t>
            </w:r>
          </w:p>
          <w:p>
            <w:pPr>
              <w:widowControl/>
              <w:jc w:val="left"/>
              <w:rPr>
                <w:rFonts w:hint="eastAsia" w:ascii="宋体" w:hAnsi="宋体"/>
                <w:b w:val="0"/>
                <w:bCs w:val="0"/>
                <w:color w:val="000000" w:themeColor="text1"/>
                <w:kern w:val="0"/>
                <w:lang w:val="en-US" w:eastAsia="zh-CN"/>
                <w14:textFill>
                  <w14:solidFill>
                    <w14:schemeClr w14:val="tx1"/>
                  </w14:solidFill>
                </w14:textFill>
              </w:rPr>
            </w:pPr>
            <w:r>
              <w:rPr>
                <w:rFonts w:hint="eastAsia" w:ascii="宋体" w:hAnsi="宋体"/>
                <w:kern w:val="0"/>
                <w:lang w:val="en-US" w:eastAsia="zh-CN"/>
              </w:rPr>
              <w:t>◆消除设计合同的风险</w:t>
            </w:r>
          </w:p>
        </w:tc>
        <w:tc>
          <w:tcPr>
            <w:tcW w:w="665" w:type="dxa"/>
            <w:vAlign w:val="center"/>
          </w:tcPr>
          <w:p>
            <w:pPr>
              <w:widowControl/>
              <w:jc w:val="center"/>
              <w:rPr>
                <w:rFonts w:hint="eastAsia" w:ascii="宋体" w:hAnsi="宋体"/>
                <w:kern w:val="0"/>
                <w:lang w:val="en-US" w:eastAsia="zh-CN"/>
              </w:rPr>
            </w:pPr>
            <w:r>
              <w:rPr>
                <w:rFonts w:hint="eastAsia" w:ascii="宋体" w:hAnsi="宋体"/>
                <w:kern w:val="0"/>
                <w:lang w:val="en-US" w:eastAsia="zh-CN"/>
              </w:rPr>
              <w:t>2天</w:t>
            </w:r>
          </w:p>
        </w:tc>
        <w:tc>
          <w:tcPr>
            <w:tcW w:w="1125" w:type="dxa"/>
            <w:vAlign w:val="center"/>
          </w:tcPr>
          <w:p>
            <w:pPr>
              <w:widowControl/>
              <w:spacing w:line="360" w:lineRule="auto"/>
              <w:jc w:val="center"/>
              <w:rPr>
                <w:rFonts w:hint="eastAsia" w:ascii="宋体" w:hAnsi="宋体"/>
                <w:kern w:val="0"/>
                <w:lang w:val="en-US" w:eastAsia="zh-CN"/>
              </w:rPr>
            </w:pPr>
            <w:r>
              <w:rPr>
                <w:rFonts w:hint="eastAsia" w:ascii="宋体" w:hAnsi="宋体"/>
                <w:kern w:val="0"/>
                <w:lang w:val="en-US" w:eastAsia="zh-CN"/>
              </w:rPr>
              <w:t>李明英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685" w:type="dxa"/>
            <w:vAlign w:val="center"/>
          </w:tcPr>
          <w:p>
            <w:pPr>
              <w:widowControl/>
              <w:jc w:val="center"/>
              <w:rPr>
                <w:rStyle w:val="9"/>
                <w:rFonts w:hint="default"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模块十</w:t>
            </w:r>
          </w:p>
          <w:p>
            <w:pPr>
              <w:widowControl/>
              <w:jc w:val="center"/>
              <w:rPr>
                <w:rStyle w:val="9"/>
                <w:rFonts w:hint="default"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谈判与博弈策略</w:t>
            </w:r>
          </w:p>
          <w:p>
            <w:pPr>
              <w:widowControl/>
              <w:jc w:val="center"/>
              <w:rPr>
                <w:rStyle w:val="9"/>
                <w:rFonts w:hint="default"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（选修）</w:t>
            </w:r>
          </w:p>
        </w:tc>
        <w:tc>
          <w:tcPr>
            <w:tcW w:w="4044" w:type="dxa"/>
            <w:vAlign w:val="center"/>
          </w:tcPr>
          <w:p>
            <w:pPr>
              <w:widowControl/>
              <w:jc w:val="left"/>
              <w:rPr>
                <w:rFonts w:hint="eastAsia" w:ascii="宋体" w:hAnsi="宋体"/>
                <w:b w:val="0"/>
                <w:bCs w:val="0"/>
                <w:color w:val="000000" w:themeColor="text1"/>
                <w:kern w:val="0"/>
                <w:lang w:val="en-US" w:eastAsia="zh-CN"/>
                <w14:textFill>
                  <w14:solidFill>
                    <w14:schemeClr w14:val="tx1"/>
                  </w14:solidFill>
                </w14:textFill>
              </w:rPr>
            </w:pPr>
            <w:r>
              <w:rPr>
                <w:rFonts w:hint="eastAsia" w:ascii="宋体" w:hAnsi="宋体"/>
                <w:b w:val="0"/>
                <w:bCs w:val="0"/>
                <w:color w:val="000000" w:themeColor="text1"/>
                <w:kern w:val="0"/>
                <w:lang w:val="en-US" w:eastAsia="zh-CN"/>
                <w14:textFill>
                  <w14:solidFill>
                    <w14:schemeClr w14:val="tx1"/>
                  </w14:solidFill>
                </w14:textFill>
              </w:rPr>
              <w:t>◆取势—赢在起点</w:t>
            </w:r>
          </w:p>
          <w:p>
            <w:pPr>
              <w:widowControl/>
              <w:jc w:val="left"/>
              <w:rPr>
                <w:rFonts w:hint="eastAsia" w:ascii="宋体" w:hAnsi="宋体"/>
                <w:b w:val="0"/>
                <w:bCs w:val="0"/>
                <w:color w:val="000000" w:themeColor="text1"/>
                <w:kern w:val="0"/>
                <w:lang w:val="en-US" w:eastAsia="zh-CN"/>
                <w14:textFill>
                  <w14:solidFill>
                    <w14:schemeClr w14:val="tx1"/>
                  </w14:solidFill>
                </w14:textFill>
              </w:rPr>
            </w:pPr>
            <w:r>
              <w:rPr>
                <w:rFonts w:hint="eastAsia" w:ascii="宋体" w:hAnsi="宋体"/>
                <w:b w:val="0"/>
                <w:bCs w:val="0"/>
                <w:color w:val="000000" w:themeColor="text1"/>
                <w:kern w:val="0"/>
                <w:lang w:val="en-US" w:eastAsia="zh-CN"/>
                <w14:textFill>
                  <w14:solidFill>
                    <w14:schemeClr w14:val="tx1"/>
                  </w14:solidFill>
                </w14:textFill>
              </w:rPr>
              <w:t>◆明道—行在大道</w:t>
            </w:r>
          </w:p>
          <w:p>
            <w:pPr>
              <w:widowControl/>
              <w:jc w:val="left"/>
              <w:rPr>
                <w:rFonts w:hint="default" w:ascii="宋体" w:hAnsi="宋体"/>
                <w:b w:val="0"/>
                <w:bCs w:val="0"/>
                <w:color w:val="000000" w:themeColor="text1"/>
                <w:kern w:val="0"/>
                <w:lang w:val="en-US" w:eastAsia="zh-CN"/>
                <w14:textFill>
                  <w14:solidFill>
                    <w14:schemeClr w14:val="tx1"/>
                  </w14:solidFill>
                </w14:textFill>
              </w:rPr>
            </w:pPr>
            <w:r>
              <w:rPr>
                <w:rFonts w:hint="eastAsia" w:ascii="宋体" w:hAnsi="宋体"/>
                <w:b w:val="0"/>
                <w:bCs w:val="0"/>
                <w:color w:val="000000" w:themeColor="text1"/>
                <w:kern w:val="0"/>
                <w:lang w:val="en-US" w:eastAsia="zh-CN"/>
                <w14:textFill>
                  <w14:solidFill>
                    <w14:schemeClr w14:val="tx1"/>
                  </w14:solidFill>
                </w14:textFill>
              </w:rPr>
              <w:t>◆优术—谋定后动</w:t>
            </w:r>
          </w:p>
        </w:tc>
        <w:tc>
          <w:tcPr>
            <w:tcW w:w="665" w:type="dxa"/>
            <w:vAlign w:val="center"/>
          </w:tcPr>
          <w:p>
            <w:pPr>
              <w:widowControl/>
              <w:jc w:val="center"/>
              <w:rPr>
                <w:rFonts w:hint="default" w:ascii="宋体" w:hAnsi="宋体"/>
                <w:kern w:val="0"/>
                <w:lang w:val="en-US" w:eastAsia="zh-CN"/>
              </w:rPr>
            </w:pPr>
            <w:r>
              <w:rPr>
                <w:rFonts w:hint="eastAsia" w:ascii="宋体" w:hAnsi="宋体"/>
                <w:kern w:val="0"/>
                <w:lang w:val="en-US" w:eastAsia="zh-CN"/>
              </w:rPr>
              <w:t>2天</w:t>
            </w:r>
          </w:p>
        </w:tc>
        <w:tc>
          <w:tcPr>
            <w:tcW w:w="1125" w:type="dxa"/>
            <w:vAlign w:val="center"/>
          </w:tcPr>
          <w:p>
            <w:pPr>
              <w:widowControl/>
              <w:jc w:val="center"/>
              <w:rPr>
                <w:rFonts w:hint="default" w:ascii="宋体" w:hAnsi="宋体"/>
                <w:kern w:val="0"/>
                <w:lang w:val="en-US" w:eastAsia="zh-CN"/>
              </w:rPr>
            </w:pPr>
            <w:r>
              <w:rPr>
                <w:rFonts w:hint="eastAsia" w:ascii="宋体" w:hAnsi="宋体"/>
                <w:kern w:val="0"/>
                <w:lang w:val="en-US" w:eastAsia="zh-CN"/>
              </w:rPr>
              <w:t>李力刚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2685" w:type="dxa"/>
            <w:vAlign w:val="center"/>
          </w:tcPr>
          <w:p>
            <w:pPr>
              <w:widowControl/>
              <w:jc w:val="center"/>
              <w:rPr>
                <w:rStyle w:val="9"/>
                <w:rFonts w:hint="eastAsia" w:ascii="微软雅黑" w:hAnsi="微软雅黑" w:eastAsia="微软雅黑" w:cs="微软雅黑"/>
                <w:b w:val="0"/>
                <w:bCs/>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模块十一</w:t>
            </w:r>
          </w:p>
          <w:p>
            <w:pPr>
              <w:widowControl/>
              <w:jc w:val="center"/>
              <w:rPr>
                <w:rFonts w:hint="default" w:ascii="宋体" w:hAnsi="宋体" w:eastAsia="宋体"/>
                <w:b/>
                <w:bCs/>
                <w:kern w:val="0"/>
                <w:lang w:val="en-US"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股权激励与顶层设计</w:t>
            </w:r>
          </w:p>
        </w:tc>
        <w:tc>
          <w:tcPr>
            <w:tcW w:w="4044" w:type="dxa"/>
            <w:vAlign w:val="center"/>
          </w:tcPr>
          <w:p>
            <w:pPr>
              <w:widowControl/>
              <w:jc w:val="left"/>
              <w:rPr>
                <w:rFonts w:hint="eastAsia" w:ascii="宋体" w:hAnsi="宋体"/>
                <w:kern w:val="0"/>
                <w:lang w:val="en-US" w:eastAsia="zh-CN"/>
              </w:rPr>
            </w:pPr>
            <w:r>
              <w:rPr>
                <w:rFonts w:hint="eastAsia" w:ascii="宋体" w:hAnsi="宋体"/>
                <w:kern w:val="0"/>
                <w:lang w:val="en-US" w:eastAsia="zh-CN"/>
              </w:rPr>
              <w:t>◆从治理结构到治理机制</w:t>
            </w:r>
          </w:p>
          <w:p>
            <w:pPr>
              <w:widowControl/>
              <w:jc w:val="left"/>
              <w:rPr>
                <w:rFonts w:hint="eastAsia" w:ascii="宋体" w:hAnsi="宋体"/>
                <w:kern w:val="0"/>
                <w:lang w:val="en-US" w:eastAsia="zh-CN"/>
              </w:rPr>
            </w:pPr>
            <w:r>
              <w:rPr>
                <w:rFonts w:hint="eastAsia" w:ascii="宋体" w:hAnsi="宋体"/>
                <w:kern w:val="0"/>
                <w:lang w:val="en-US" w:eastAsia="zh-CN"/>
              </w:rPr>
              <w:t>◆公司运营与顶层设计</w:t>
            </w:r>
          </w:p>
          <w:p>
            <w:pPr>
              <w:widowControl/>
              <w:jc w:val="left"/>
              <w:rPr>
                <w:rFonts w:hint="eastAsia" w:ascii="宋体" w:hAnsi="宋体"/>
                <w:kern w:val="0"/>
                <w:lang w:val="en-US" w:eastAsia="zh-CN"/>
              </w:rPr>
            </w:pPr>
            <w:r>
              <w:rPr>
                <w:rFonts w:hint="eastAsia" w:ascii="宋体" w:hAnsi="宋体"/>
                <w:kern w:val="0"/>
                <w:lang w:val="en-US" w:eastAsia="zh-CN"/>
              </w:rPr>
              <w:t>◆股权的激励机制</w:t>
            </w:r>
          </w:p>
          <w:p>
            <w:pPr>
              <w:widowControl/>
              <w:jc w:val="left"/>
              <w:rPr>
                <w:rFonts w:hint="default" w:ascii="宋体" w:hAnsi="宋体" w:eastAsia="宋体"/>
                <w:kern w:val="0"/>
                <w:lang w:val="en-US" w:eastAsia="zh-CN"/>
              </w:rPr>
            </w:pPr>
            <w:r>
              <w:rPr>
                <w:rFonts w:hint="eastAsia" w:ascii="宋体" w:hAnsi="宋体"/>
                <w:kern w:val="0"/>
                <w:lang w:val="en-US" w:eastAsia="zh-CN"/>
              </w:rPr>
              <w:t>◆股权激励的十大节点</w:t>
            </w:r>
          </w:p>
        </w:tc>
        <w:tc>
          <w:tcPr>
            <w:tcW w:w="665" w:type="dxa"/>
            <w:vAlign w:val="center"/>
          </w:tcPr>
          <w:p>
            <w:pPr>
              <w:widowControl/>
              <w:jc w:val="center"/>
              <w:rPr>
                <w:rFonts w:hint="default" w:ascii="宋体" w:hAnsi="宋体" w:eastAsia="宋体"/>
                <w:kern w:val="0"/>
                <w:lang w:val="en-US" w:eastAsia="zh-CN"/>
              </w:rPr>
            </w:pPr>
            <w:r>
              <w:rPr>
                <w:rFonts w:hint="eastAsia" w:ascii="宋体" w:hAnsi="宋体"/>
                <w:kern w:val="0"/>
              </w:rPr>
              <w:t>2天</w:t>
            </w:r>
            <w:r>
              <w:rPr>
                <w:rFonts w:hint="eastAsia" w:ascii="宋体" w:hAnsi="宋体"/>
                <w:kern w:val="0"/>
                <w:lang w:val="en-US" w:eastAsia="zh-CN"/>
              </w:rPr>
              <w:t>1晚</w:t>
            </w:r>
          </w:p>
        </w:tc>
        <w:tc>
          <w:tcPr>
            <w:tcW w:w="1125" w:type="dxa"/>
            <w:vAlign w:val="center"/>
          </w:tcPr>
          <w:p>
            <w:pPr>
              <w:widowControl/>
              <w:spacing w:line="360" w:lineRule="auto"/>
              <w:jc w:val="center"/>
              <w:rPr>
                <w:rFonts w:hint="default" w:ascii="宋体" w:hAnsi="宋体" w:eastAsia="宋体"/>
                <w:kern w:val="0"/>
                <w:lang w:val="en-US" w:eastAsia="zh-CN"/>
              </w:rPr>
            </w:pPr>
            <w:r>
              <w:rPr>
                <w:rFonts w:hint="eastAsia" w:ascii="宋体" w:hAnsi="宋体"/>
                <w:kern w:val="0"/>
                <w:lang w:val="en-US" w:eastAsia="zh-CN"/>
              </w:rPr>
              <w:t>陶矜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2685" w:type="dxa"/>
            <w:vAlign w:val="center"/>
          </w:tcPr>
          <w:p>
            <w:pPr>
              <w:widowControl/>
              <w:jc w:val="center"/>
              <w:rPr>
                <w:rStyle w:val="9"/>
                <w:rFonts w:hint="default"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模块十二</w:t>
            </w:r>
          </w:p>
          <w:p>
            <w:pPr>
              <w:widowControl/>
              <w:jc w:val="center"/>
              <w:rPr>
                <w:rFonts w:ascii="宋体" w:hAnsi="宋体"/>
                <w:b/>
                <w:bCs/>
                <w:kern w:val="0"/>
              </w:rPr>
            </w:pPr>
            <w:r>
              <w:rPr>
                <w:rStyle w:val="9"/>
                <w:rFonts w:hint="eastAsia" w:ascii="微软雅黑" w:hAnsi="微软雅黑" w:eastAsia="微软雅黑" w:cs="微软雅黑"/>
                <w:color w:val="3F3F3F"/>
                <w:sz w:val="24"/>
                <w:szCs w:val="24"/>
                <w:shd w:val="clear" w:color="auto" w:fill="FFFFFF"/>
                <w:vertAlign w:val="baseline"/>
                <w:lang w:val="en-US" w:eastAsia="zh-CN"/>
              </w:rPr>
              <w:t xml:space="preserve">供应链金融与中小企业融资 </w:t>
            </w:r>
          </w:p>
        </w:tc>
        <w:tc>
          <w:tcPr>
            <w:tcW w:w="4044" w:type="dxa"/>
            <w:vAlign w:val="center"/>
          </w:tcPr>
          <w:p>
            <w:pPr>
              <w:widowControl/>
              <w:jc w:val="left"/>
              <w:rPr>
                <w:rFonts w:hint="eastAsia" w:ascii="宋体" w:hAnsi="宋体"/>
                <w:kern w:val="0"/>
              </w:rPr>
            </w:pPr>
            <w:r>
              <w:rPr>
                <w:rFonts w:hint="eastAsia" w:ascii="宋体" w:hAnsi="宋体"/>
                <w:kern w:val="0"/>
                <w:lang w:val="en-US" w:eastAsia="zh-CN"/>
              </w:rPr>
              <w:t>◆</w:t>
            </w:r>
            <w:r>
              <w:rPr>
                <w:rFonts w:hint="eastAsia" w:ascii="宋体" w:hAnsi="宋体"/>
                <w:kern w:val="0"/>
              </w:rPr>
              <w:t>中小企业融资</w:t>
            </w:r>
            <w:r>
              <w:rPr>
                <w:rFonts w:hint="eastAsia" w:ascii="宋体" w:hAnsi="宋体"/>
                <w:kern w:val="0"/>
                <w:lang w:val="en-US" w:eastAsia="zh-CN"/>
              </w:rPr>
              <w:t>的</w:t>
            </w:r>
            <w:r>
              <w:rPr>
                <w:rFonts w:hint="eastAsia" w:ascii="宋体" w:hAnsi="宋体"/>
                <w:kern w:val="0"/>
              </w:rPr>
              <w:t>挑战；</w:t>
            </w:r>
          </w:p>
          <w:p>
            <w:pPr>
              <w:widowControl/>
              <w:jc w:val="left"/>
              <w:rPr>
                <w:rFonts w:hint="eastAsia" w:ascii="宋体" w:hAnsi="宋体"/>
                <w:kern w:val="0"/>
                <w:lang w:val="en-US" w:eastAsia="zh-CN"/>
              </w:rPr>
            </w:pPr>
            <w:r>
              <w:rPr>
                <w:rFonts w:hint="eastAsia" w:ascii="宋体" w:hAnsi="宋体"/>
                <w:kern w:val="0"/>
                <w:lang w:val="en-US" w:eastAsia="zh-CN"/>
              </w:rPr>
              <w:t>◆互联网金融的发展</w:t>
            </w:r>
          </w:p>
          <w:p>
            <w:pPr>
              <w:widowControl/>
              <w:jc w:val="left"/>
              <w:rPr>
                <w:rFonts w:hint="eastAsia" w:ascii="宋体" w:hAnsi="宋体" w:eastAsia="宋体"/>
                <w:kern w:val="0"/>
                <w:lang w:eastAsia="zh-CN"/>
              </w:rPr>
            </w:pPr>
            <w:r>
              <w:rPr>
                <w:rFonts w:hint="eastAsia" w:ascii="宋体" w:hAnsi="宋体"/>
                <w:kern w:val="0"/>
                <w:lang w:val="en-US" w:eastAsia="zh-CN"/>
              </w:rPr>
              <w:t>◆</w:t>
            </w:r>
            <w:r>
              <w:rPr>
                <w:rFonts w:hint="eastAsia" w:ascii="宋体" w:hAnsi="宋体"/>
                <w:kern w:val="0"/>
              </w:rPr>
              <w:t>供应链金融的弹性管理和风险管控</w:t>
            </w:r>
            <w:r>
              <w:rPr>
                <w:rFonts w:hint="eastAsia" w:ascii="宋体" w:hAnsi="宋体"/>
                <w:kern w:val="0"/>
                <w:lang w:val="en-US" w:eastAsia="zh-CN"/>
              </w:rPr>
              <w:t xml:space="preserve"> </w:t>
            </w:r>
          </w:p>
          <w:p>
            <w:pPr>
              <w:widowControl/>
              <w:jc w:val="left"/>
              <w:rPr>
                <w:rFonts w:hint="eastAsia" w:ascii="宋体" w:hAnsi="宋体" w:eastAsia="宋体"/>
                <w:kern w:val="0"/>
                <w:lang w:eastAsia="zh-CN"/>
              </w:rPr>
            </w:pPr>
            <w:r>
              <w:rPr>
                <w:rFonts w:hint="eastAsia" w:ascii="宋体" w:hAnsi="宋体"/>
                <w:kern w:val="0"/>
                <w:lang w:val="en-US" w:eastAsia="zh-CN"/>
              </w:rPr>
              <w:t>◆</w:t>
            </w:r>
            <w:r>
              <w:rPr>
                <w:rFonts w:hint="eastAsia" w:ascii="宋体" w:hAnsi="宋体"/>
                <w:kern w:val="0"/>
              </w:rPr>
              <w:t>后疫情时代中小企业如何顺势融资</w:t>
            </w:r>
          </w:p>
        </w:tc>
        <w:tc>
          <w:tcPr>
            <w:tcW w:w="665" w:type="dxa"/>
            <w:vAlign w:val="center"/>
          </w:tcPr>
          <w:p>
            <w:pPr>
              <w:widowControl/>
              <w:jc w:val="center"/>
              <w:rPr>
                <w:rFonts w:ascii="宋体" w:hAnsi="宋体"/>
                <w:kern w:val="0"/>
              </w:rPr>
            </w:pPr>
            <w:r>
              <w:rPr>
                <w:rFonts w:hint="eastAsia" w:ascii="宋体" w:hAnsi="宋体"/>
                <w:kern w:val="0"/>
              </w:rPr>
              <w:t>2天</w:t>
            </w:r>
          </w:p>
        </w:tc>
        <w:tc>
          <w:tcPr>
            <w:tcW w:w="1125" w:type="dxa"/>
            <w:vAlign w:val="center"/>
          </w:tcPr>
          <w:p>
            <w:pPr>
              <w:widowControl/>
              <w:spacing w:line="360" w:lineRule="auto"/>
              <w:jc w:val="center"/>
              <w:rPr>
                <w:rFonts w:ascii="宋体" w:hAnsi="宋体"/>
                <w:kern w:val="0"/>
              </w:rPr>
            </w:pPr>
          </w:p>
          <w:p>
            <w:pPr>
              <w:widowControl/>
              <w:jc w:val="center"/>
              <w:rPr>
                <w:rFonts w:hint="eastAsia" w:ascii="宋体" w:hAnsi="宋体" w:eastAsia="宋体"/>
                <w:kern w:val="0"/>
                <w:lang w:eastAsia="zh-CN"/>
              </w:rPr>
            </w:pPr>
            <w:r>
              <w:rPr>
                <w:rFonts w:hint="eastAsia" w:ascii="宋体" w:hAnsi="宋体"/>
                <w:kern w:val="0"/>
                <w:lang w:val="en-US" w:eastAsia="zh-CN"/>
              </w:rPr>
              <w:t>宋华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685" w:type="dxa"/>
            <w:vAlign w:val="center"/>
          </w:tcPr>
          <w:p>
            <w:pPr>
              <w:widowControl/>
              <w:jc w:val="center"/>
              <w:rPr>
                <w:rStyle w:val="9"/>
                <w:rFonts w:hint="default" w:ascii="微软雅黑" w:hAnsi="微软雅黑" w:eastAsia="微软雅黑" w:cs="微软雅黑"/>
                <w:b w:val="0"/>
                <w:bCs/>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模块十三</w:t>
            </w:r>
          </w:p>
          <w:p>
            <w:pPr>
              <w:widowControl/>
              <w:jc w:val="center"/>
              <w:rPr>
                <w:rStyle w:val="9"/>
                <w:rFonts w:hint="default"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资本运作与上市</w:t>
            </w:r>
          </w:p>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(选修）</w:t>
            </w:r>
          </w:p>
        </w:tc>
        <w:tc>
          <w:tcPr>
            <w:tcW w:w="4044" w:type="dxa"/>
            <w:vAlign w:val="center"/>
          </w:tcPr>
          <w:p>
            <w:pPr>
              <w:widowControl/>
              <w:jc w:val="left"/>
              <w:rPr>
                <w:rFonts w:hint="default" w:ascii="宋体" w:hAnsi="宋体"/>
                <w:kern w:val="0"/>
                <w:lang w:val="en-US" w:eastAsia="zh-CN"/>
              </w:rPr>
            </w:pPr>
            <w:r>
              <w:rPr>
                <w:rFonts w:hint="eastAsia" w:ascii="宋体" w:hAnsi="宋体"/>
                <w:kern w:val="0"/>
                <w:lang w:val="en-US" w:eastAsia="zh-CN"/>
              </w:rPr>
              <w:t>◆</w:t>
            </w:r>
            <w:r>
              <w:rPr>
                <w:rFonts w:hint="default" w:ascii="宋体" w:hAnsi="宋体"/>
                <w:kern w:val="0"/>
                <w:lang w:val="en-US" w:eastAsia="zh-CN"/>
              </w:rPr>
              <w:t>中国金融政策变革与资本市场发展趋势</w:t>
            </w:r>
          </w:p>
          <w:p>
            <w:pPr>
              <w:widowControl/>
              <w:jc w:val="left"/>
              <w:rPr>
                <w:rFonts w:hint="default" w:ascii="宋体" w:hAnsi="宋体"/>
                <w:kern w:val="0"/>
                <w:lang w:val="en-US" w:eastAsia="zh-CN"/>
              </w:rPr>
            </w:pPr>
            <w:r>
              <w:rPr>
                <w:rFonts w:hint="eastAsia" w:ascii="宋体" w:hAnsi="宋体"/>
                <w:kern w:val="0"/>
                <w:lang w:val="en-US" w:eastAsia="zh-CN"/>
              </w:rPr>
              <w:t>◆</w:t>
            </w:r>
            <w:r>
              <w:rPr>
                <w:rFonts w:hint="default" w:ascii="宋体" w:hAnsi="宋体"/>
                <w:kern w:val="0"/>
                <w:lang w:val="en-US" w:eastAsia="zh-CN"/>
              </w:rPr>
              <w:t>如何理解企业资本价值</w:t>
            </w:r>
            <w:r>
              <w:rPr>
                <w:rFonts w:hint="default" w:ascii="宋体" w:hAnsi="宋体"/>
                <w:kern w:val="0"/>
                <w:lang w:val="en-US" w:eastAsia="zh-CN"/>
              </w:rPr>
              <w:br w:type="textWrapping"/>
            </w:r>
            <w:r>
              <w:rPr>
                <w:rFonts w:hint="eastAsia" w:ascii="宋体" w:hAnsi="宋体"/>
                <w:kern w:val="0"/>
                <w:lang w:val="en-US" w:eastAsia="zh-CN"/>
              </w:rPr>
              <w:t>◆</w:t>
            </w:r>
            <w:r>
              <w:rPr>
                <w:rFonts w:hint="default" w:ascii="宋体" w:hAnsi="宋体"/>
                <w:kern w:val="0"/>
                <w:lang w:val="en-US" w:eastAsia="zh-CN"/>
              </w:rPr>
              <w:t>如何塑造企业资本价值</w:t>
            </w:r>
          </w:p>
          <w:p>
            <w:pPr>
              <w:widowControl/>
              <w:jc w:val="left"/>
              <w:rPr>
                <w:rFonts w:hint="eastAsia" w:ascii="宋体" w:hAnsi="宋体"/>
                <w:kern w:val="0"/>
                <w:lang w:val="en-US" w:eastAsia="zh-CN"/>
              </w:rPr>
            </w:pPr>
            <w:r>
              <w:rPr>
                <w:rFonts w:hint="eastAsia" w:ascii="宋体" w:hAnsi="宋体"/>
                <w:kern w:val="0"/>
                <w:lang w:val="en-US" w:eastAsia="zh-CN"/>
              </w:rPr>
              <w:t>◆</w:t>
            </w:r>
            <w:r>
              <w:rPr>
                <w:rFonts w:hint="default" w:ascii="宋体" w:hAnsi="宋体"/>
                <w:kern w:val="0"/>
                <w:lang w:val="en-US" w:eastAsia="zh-CN"/>
              </w:rPr>
              <w:t>新兴产业的资本模式的创新</w:t>
            </w:r>
          </w:p>
        </w:tc>
        <w:tc>
          <w:tcPr>
            <w:tcW w:w="665" w:type="dxa"/>
            <w:vAlign w:val="center"/>
          </w:tcPr>
          <w:p>
            <w:pPr>
              <w:widowControl/>
              <w:jc w:val="center"/>
              <w:rPr>
                <w:rFonts w:hint="eastAsia" w:ascii="宋体" w:hAnsi="宋体"/>
                <w:kern w:val="0"/>
              </w:rPr>
            </w:pPr>
            <w:r>
              <w:rPr>
                <w:rFonts w:hint="eastAsia" w:ascii="宋体" w:hAnsi="宋体"/>
                <w:kern w:val="0"/>
              </w:rPr>
              <w:t>2天</w:t>
            </w:r>
          </w:p>
        </w:tc>
        <w:tc>
          <w:tcPr>
            <w:tcW w:w="1125" w:type="dxa"/>
            <w:vAlign w:val="center"/>
          </w:tcPr>
          <w:p>
            <w:pPr>
              <w:widowControl/>
              <w:spacing w:line="360" w:lineRule="auto"/>
              <w:jc w:val="center"/>
              <w:rPr>
                <w:rFonts w:hint="eastAsia" w:ascii="宋体" w:hAnsi="宋体"/>
                <w:kern w:val="0"/>
                <w:lang w:val="en-US" w:eastAsia="zh-CN"/>
              </w:rPr>
            </w:pPr>
            <w:r>
              <w:rPr>
                <w:rFonts w:hint="eastAsia" w:ascii="宋体" w:hAnsi="宋体"/>
                <w:kern w:val="0"/>
                <w:lang w:val="en-US" w:eastAsia="zh-CN"/>
              </w:rPr>
              <w:t>房西苑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2685" w:type="dxa"/>
            <w:vAlign w:val="center"/>
          </w:tcPr>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模块十四</w:t>
            </w:r>
          </w:p>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私募股权与证券投资</w:t>
            </w:r>
          </w:p>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（选修）</w:t>
            </w:r>
          </w:p>
        </w:tc>
        <w:tc>
          <w:tcPr>
            <w:tcW w:w="4044" w:type="dxa"/>
            <w:vAlign w:val="center"/>
          </w:tcPr>
          <w:p>
            <w:pPr>
              <w:widowControl/>
              <w:jc w:val="left"/>
              <w:rPr>
                <w:rFonts w:hint="eastAsia" w:ascii="宋体" w:hAnsi="宋体"/>
                <w:kern w:val="0"/>
                <w:lang w:val="en-US" w:eastAsia="zh-CN"/>
              </w:rPr>
            </w:pPr>
            <w:r>
              <w:rPr>
                <w:rFonts w:hint="eastAsia" w:ascii="宋体" w:hAnsi="宋体"/>
                <w:kern w:val="0"/>
                <w:lang w:val="en-US" w:eastAsia="zh-CN"/>
              </w:rPr>
              <w:t>◆私募股权基金的资源整合</w:t>
            </w:r>
          </w:p>
          <w:p>
            <w:pPr>
              <w:widowControl/>
              <w:jc w:val="left"/>
              <w:rPr>
                <w:rFonts w:hint="eastAsia" w:ascii="宋体" w:hAnsi="宋体"/>
                <w:kern w:val="0"/>
                <w:lang w:val="en-US" w:eastAsia="zh-CN"/>
              </w:rPr>
            </w:pPr>
            <w:r>
              <w:rPr>
                <w:rFonts w:hint="eastAsia" w:ascii="宋体" w:hAnsi="宋体"/>
                <w:kern w:val="0"/>
                <w:lang w:val="en-US" w:eastAsia="zh-CN"/>
              </w:rPr>
              <w:t>◆企业产权机制调整和公司治理架构</w:t>
            </w:r>
          </w:p>
          <w:p>
            <w:pPr>
              <w:widowControl/>
              <w:jc w:val="left"/>
              <w:rPr>
                <w:rFonts w:hint="eastAsia" w:ascii="宋体" w:hAnsi="宋体"/>
                <w:kern w:val="0"/>
                <w:lang w:val="en-US" w:eastAsia="zh-CN"/>
              </w:rPr>
            </w:pPr>
            <w:r>
              <w:rPr>
                <w:rFonts w:hint="eastAsia" w:ascii="宋体" w:hAnsi="宋体"/>
                <w:kern w:val="0"/>
                <w:lang w:val="en-US" w:eastAsia="zh-CN"/>
              </w:rPr>
              <w:t>◆投资目标与投资政策的选择</w:t>
            </w:r>
          </w:p>
          <w:p>
            <w:pPr>
              <w:widowControl/>
              <w:jc w:val="left"/>
              <w:rPr>
                <w:rFonts w:hint="eastAsia" w:ascii="宋体" w:hAnsi="宋体"/>
                <w:kern w:val="0"/>
                <w:lang w:val="en-US" w:eastAsia="zh-CN"/>
              </w:rPr>
            </w:pPr>
            <w:r>
              <w:rPr>
                <w:rFonts w:hint="eastAsia" w:ascii="宋体" w:hAnsi="宋体"/>
                <w:kern w:val="0"/>
                <w:lang w:val="en-US" w:eastAsia="zh-CN"/>
              </w:rPr>
              <w:t>◆投资基金的分类与比较</w:t>
            </w:r>
          </w:p>
        </w:tc>
        <w:tc>
          <w:tcPr>
            <w:tcW w:w="665" w:type="dxa"/>
            <w:vAlign w:val="center"/>
          </w:tcPr>
          <w:p>
            <w:pPr>
              <w:widowControl/>
              <w:jc w:val="center"/>
              <w:rPr>
                <w:rFonts w:hint="eastAsia" w:ascii="宋体" w:hAnsi="宋体"/>
                <w:kern w:val="0"/>
              </w:rPr>
            </w:pPr>
            <w:r>
              <w:rPr>
                <w:rFonts w:hint="eastAsia" w:ascii="宋体" w:hAnsi="宋体"/>
                <w:kern w:val="0"/>
                <w:lang w:val="en-US" w:eastAsia="zh-CN"/>
              </w:rPr>
              <w:t>2天</w:t>
            </w:r>
          </w:p>
        </w:tc>
        <w:tc>
          <w:tcPr>
            <w:tcW w:w="1125" w:type="dxa"/>
            <w:vAlign w:val="center"/>
          </w:tcPr>
          <w:p>
            <w:pPr>
              <w:widowControl/>
              <w:spacing w:line="360" w:lineRule="auto"/>
              <w:jc w:val="center"/>
              <w:rPr>
                <w:rFonts w:hint="eastAsia" w:ascii="宋体" w:hAnsi="宋体"/>
                <w:kern w:val="0"/>
                <w:lang w:val="en-US" w:eastAsia="zh-CN"/>
              </w:rPr>
            </w:pPr>
            <w:r>
              <w:rPr>
                <w:rFonts w:hint="eastAsia" w:ascii="宋体" w:hAnsi="宋体"/>
                <w:kern w:val="0"/>
                <w:lang w:val="en-US" w:eastAsia="zh-CN"/>
              </w:rPr>
              <w:t>金岩石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685" w:type="dxa"/>
            <w:vAlign w:val="center"/>
          </w:tcPr>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模块十五</w:t>
            </w:r>
          </w:p>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企业并购与重组</w:t>
            </w:r>
          </w:p>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p>
        </w:tc>
        <w:tc>
          <w:tcPr>
            <w:tcW w:w="4044" w:type="dxa"/>
            <w:vAlign w:val="center"/>
          </w:tcPr>
          <w:p>
            <w:pPr>
              <w:widowControl/>
              <w:jc w:val="left"/>
              <w:rPr>
                <w:rFonts w:hint="eastAsia" w:ascii="宋体" w:hAnsi="宋体"/>
                <w:kern w:val="0"/>
                <w:lang w:val="en-US" w:eastAsia="zh-CN"/>
              </w:rPr>
            </w:pPr>
            <w:r>
              <w:rPr>
                <w:rFonts w:hint="eastAsia" w:ascii="宋体" w:hAnsi="宋体"/>
                <w:kern w:val="0"/>
                <w:lang w:val="en-US" w:eastAsia="zh-CN"/>
              </w:rPr>
              <w:t>◆企业并购重组的内涵、类型及驱动力</w:t>
            </w:r>
          </w:p>
          <w:p>
            <w:pPr>
              <w:widowControl/>
              <w:jc w:val="left"/>
              <w:rPr>
                <w:rFonts w:hint="eastAsia" w:ascii="宋体" w:hAnsi="宋体"/>
                <w:kern w:val="0"/>
                <w:lang w:val="en-US" w:eastAsia="zh-CN"/>
              </w:rPr>
            </w:pPr>
            <w:r>
              <w:rPr>
                <w:rFonts w:hint="eastAsia" w:ascii="宋体" w:hAnsi="宋体"/>
                <w:kern w:val="0"/>
                <w:lang w:val="en-US" w:eastAsia="zh-CN"/>
              </w:rPr>
              <w:t>◆资本市场与资源配置</w:t>
            </w:r>
          </w:p>
          <w:p>
            <w:pPr>
              <w:widowControl/>
              <w:jc w:val="left"/>
              <w:rPr>
                <w:rFonts w:hint="default" w:ascii="宋体" w:hAnsi="宋体"/>
                <w:kern w:val="0"/>
                <w:lang w:val="en-US" w:eastAsia="zh-CN"/>
              </w:rPr>
            </w:pPr>
            <w:r>
              <w:rPr>
                <w:rFonts w:hint="eastAsia" w:ascii="宋体" w:hAnsi="宋体"/>
                <w:kern w:val="0"/>
                <w:lang w:val="en-US" w:eastAsia="zh-CN"/>
              </w:rPr>
              <w:t>◆资产收购与股权收购</w:t>
            </w:r>
          </w:p>
          <w:p>
            <w:pPr>
              <w:widowControl/>
              <w:jc w:val="left"/>
              <w:rPr>
                <w:rFonts w:hint="eastAsia" w:ascii="宋体" w:hAnsi="宋体"/>
                <w:kern w:val="0"/>
                <w:lang w:val="en-US" w:eastAsia="zh-CN"/>
              </w:rPr>
            </w:pPr>
            <w:r>
              <w:rPr>
                <w:rFonts w:hint="eastAsia" w:ascii="宋体" w:hAnsi="宋体"/>
                <w:kern w:val="0"/>
                <w:lang w:val="en-US" w:eastAsia="zh-CN"/>
              </w:rPr>
              <w:t>◆并购估值运用与风控</w:t>
            </w:r>
          </w:p>
        </w:tc>
        <w:tc>
          <w:tcPr>
            <w:tcW w:w="665" w:type="dxa"/>
            <w:vAlign w:val="center"/>
          </w:tcPr>
          <w:p>
            <w:pPr>
              <w:widowControl/>
              <w:jc w:val="center"/>
              <w:rPr>
                <w:rFonts w:hint="eastAsia" w:ascii="宋体" w:hAnsi="宋体"/>
                <w:kern w:val="0"/>
              </w:rPr>
            </w:pPr>
            <w:r>
              <w:rPr>
                <w:rFonts w:hint="eastAsia" w:ascii="宋体" w:hAnsi="宋体"/>
                <w:kern w:val="0"/>
              </w:rPr>
              <w:t>2天</w:t>
            </w:r>
          </w:p>
        </w:tc>
        <w:tc>
          <w:tcPr>
            <w:tcW w:w="1125" w:type="dxa"/>
            <w:vAlign w:val="center"/>
          </w:tcPr>
          <w:p>
            <w:pPr>
              <w:widowControl/>
              <w:spacing w:line="360" w:lineRule="auto"/>
              <w:jc w:val="center"/>
              <w:rPr>
                <w:rFonts w:hint="eastAsia" w:ascii="宋体" w:hAnsi="宋体"/>
                <w:kern w:val="0"/>
                <w:lang w:val="en-US" w:eastAsia="zh-CN"/>
              </w:rPr>
            </w:pPr>
            <w:r>
              <w:rPr>
                <w:rFonts w:hint="eastAsia" w:ascii="宋体" w:hAnsi="宋体"/>
                <w:kern w:val="0"/>
                <w:lang w:val="en-US" w:eastAsia="zh-CN"/>
              </w:rPr>
              <w:t xml:space="preserve">吴梓镜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685" w:type="dxa"/>
            <w:vAlign w:val="center"/>
          </w:tcPr>
          <w:p>
            <w:pPr>
              <w:widowControl/>
              <w:jc w:val="center"/>
              <w:rPr>
                <w:rStyle w:val="9"/>
                <w:rFonts w:hint="eastAsia" w:ascii="微软雅黑" w:hAnsi="微软雅黑" w:eastAsia="微软雅黑" w:cs="微软雅黑"/>
                <w:b w:val="0"/>
                <w:bCs/>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模块十六</w:t>
            </w:r>
          </w:p>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金融衍生品分析与投资</w:t>
            </w:r>
          </w:p>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 xml:space="preserve"> </w:t>
            </w:r>
          </w:p>
        </w:tc>
        <w:tc>
          <w:tcPr>
            <w:tcW w:w="4044" w:type="dxa"/>
            <w:vAlign w:val="center"/>
          </w:tcPr>
          <w:p>
            <w:pPr>
              <w:widowControl/>
              <w:jc w:val="left"/>
              <w:rPr>
                <w:rFonts w:hint="eastAsia" w:ascii="宋体" w:hAnsi="宋体"/>
                <w:kern w:val="0"/>
                <w:lang w:val="en-US" w:eastAsia="zh-CN"/>
              </w:rPr>
            </w:pPr>
            <w:r>
              <w:rPr>
                <w:rFonts w:hint="eastAsia" w:ascii="宋体" w:hAnsi="宋体"/>
                <w:kern w:val="0"/>
                <w:lang w:val="en-US" w:eastAsia="zh-CN"/>
              </w:rPr>
              <w:t>◆全球金融衍生品的发展</w:t>
            </w:r>
          </w:p>
          <w:p>
            <w:pPr>
              <w:widowControl/>
              <w:jc w:val="left"/>
              <w:rPr>
                <w:rFonts w:hint="eastAsia" w:ascii="宋体" w:hAnsi="宋体"/>
                <w:kern w:val="0"/>
                <w:lang w:val="en-US" w:eastAsia="zh-CN"/>
              </w:rPr>
            </w:pPr>
            <w:r>
              <w:rPr>
                <w:rFonts w:hint="eastAsia" w:ascii="宋体" w:hAnsi="宋体"/>
                <w:kern w:val="0"/>
                <w:lang w:val="en-US" w:eastAsia="zh-CN"/>
              </w:rPr>
              <w:t>◆中国金融衍生品的发展及展望</w:t>
            </w:r>
          </w:p>
          <w:p>
            <w:pPr>
              <w:widowControl/>
              <w:jc w:val="left"/>
              <w:rPr>
                <w:rFonts w:hint="eastAsia" w:ascii="宋体" w:hAnsi="宋体"/>
                <w:kern w:val="0"/>
                <w:lang w:val="en-US" w:eastAsia="zh-CN"/>
              </w:rPr>
            </w:pPr>
            <w:r>
              <w:rPr>
                <w:rFonts w:hint="eastAsia" w:ascii="宋体" w:hAnsi="宋体"/>
                <w:kern w:val="0"/>
                <w:lang w:val="en-US" w:eastAsia="zh-CN"/>
              </w:rPr>
              <w:t>◆风险管控技术</w:t>
            </w:r>
          </w:p>
        </w:tc>
        <w:tc>
          <w:tcPr>
            <w:tcW w:w="665" w:type="dxa"/>
            <w:vAlign w:val="center"/>
          </w:tcPr>
          <w:p>
            <w:pPr>
              <w:widowControl/>
              <w:jc w:val="center"/>
              <w:rPr>
                <w:rFonts w:hint="eastAsia" w:ascii="宋体" w:hAnsi="宋体"/>
                <w:kern w:val="0"/>
              </w:rPr>
            </w:pPr>
            <w:r>
              <w:rPr>
                <w:rFonts w:hint="eastAsia" w:ascii="宋体" w:hAnsi="宋体"/>
                <w:kern w:val="0"/>
              </w:rPr>
              <w:t>2天</w:t>
            </w:r>
          </w:p>
        </w:tc>
        <w:tc>
          <w:tcPr>
            <w:tcW w:w="1125" w:type="dxa"/>
            <w:vAlign w:val="center"/>
          </w:tcPr>
          <w:p>
            <w:pPr>
              <w:widowControl/>
              <w:spacing w:line="360" w:lineRule="auto"/>
              <w:jc w:val="center"/>
              <w:rPr>
                <w:rFonts w:hint="eastAsia" w:ascii="宋体" w:hAnsi="宋体"/>
                <w:kern w:val="0"/>
                <w:lang w:val="en-US" w:eastAsia="zh-CN"/>
              </w:rPr>
            </w:pPr>
            <w:r>
              <w:rPr>
                <w:rFonts w:hint="eastAsia" w:ascii="宋体" w:hAnsi="宋体"/>
                <w:kern w:val="0"/>
                <w:lang w:val="en-US" w:eastAsia="zh-CN"/>
              </w:rPr>
              <w:t>庞红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8519" w:type="dxa"/>
            <w:gridSpan w:val="4"/>
            <w:vAlign w:val="center"/>
          </w:tcPr>
          <w:p>
            <w:pPr>
              <w:widowControl/>
              <w:jc w:val="center"/>
              <w:rPr>
                <w:rFonts w:hint="eastAsia" w:ascii="宋体" w:hAnsi="宋体"/>
                <w:kern w:val="0"/>
                <w:lang w:val="en-US" w:eastAsia="zh-CN"/>
              </w:rPr>
            </w:pPr>
            <w:r>
              <w:rPr>
                <w:rFonts w:hint="eastAsia" w:ascii="方正正中黑简体" w:hAnsi="方正正中黑简体"/>
                <w:b/>
                <w:bCs/>
                <w:color w:val="FF0000"/>
                <w:sz w:val="28"/>
                <w:szCs w:val="28"/>
              </w:rPr>
              <w:t>增值服务</w:t>
            </w:r>
            <w:r>
              <w:rPr>
                <w:rFonts w:hint="eastAsia" w:ascii="方正正中黑简体" w:hAnsi="方正正中黑简体"/>
                <w:color w:val="auto"/>
                <w:sz w:val="28"/>
                <w:szCs w:val="28"/>
                <w:lang w:val="en-US" w:eastAsia="zh-CN"/>
              </w:rPr>
              <w:t>（部分增值服务内容费用需自理）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685" w:type="dxa"/>
            <w:vAlign w:val="center"/>
          </w:tcPr>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标杆游学</w:t>
            </w:r>
          </w:p>
        </w:tc>
        <w:tc>
          <w:tcPr>
            <w:tcW w:w="5834" w:type="dxa"/>
            <w:gridSpan w:val="3"/>
            <w:vAlign w:val="center"/>
          </w:tcPr>
          <w:p>
            <w:pPr>
              <w:jc w:val="center"/>
              <w:rPr>
                <w:rFonts w:hint="eastAsia" w:ascii="方正正中黑简体" w:hAnsi="方正正中黑简体"/>
                <w:color w:val="auto"/>
              </w:rPr>
            </w:pPr>
            <w:r>
              <w:rPr>
                <w:rFonts w:hint="eastAsia" w:ascii="方正正中黑简体" w:hAnsi="方正正中黑简体"/>
                <w:color w:val="auto"/>
              </w:rPr>
              <w:t>华为、腾讯、阿里巴巴、</w:t>
            </w:r>
          </w:p>
          <w:p>
            <w:pPr>
              <w:jc w:val="center"/>
              <w:rPr>
                <w:rFonts w:hint="eastAsia" w:ascii="方正正中黑简体" w:hAnsi="方正正中黑简体"/>
                <w:color w:val="auto"/>
              </w:rPr>
            </w:pPr>
            <w:r>
              <w:rPr>
                <w:rFonts w:hint="eastAsia" w:ascii="方正正中黑简体" w:hAnsi="方正正中黑简体"/>
                <w:color w:val="auto"/>
                <w:lang w:val="en-US" w:eastAsia="zh-CN"/>
              </w:rPr>
              <w:t>海康威视</w:t>
            </w:r>
            <w:r>
              <w:rPr>
                <w:rFonts w:hint="eastAsia" w:ascii="方正正中黑简体" w:hAnsi="方正正中黑简体"/>
                <w:color w:val="auto"/>
              </w:rPr>
              <w:t>、</w:t>
            </w:r>
            <w:r>
              <w:rPr>
                <w:rFonts w:hint="eastAsia" w:ascii="方正正中黑简体" w:hAnsi="方正正中黑简体"/>
                <w:color w:val="auto"/>
                <w:lang w:val="en-US" w:eastAsia="zh-CN"/>
              </w:rPr>
              <w:t>京东</w:t>
            </w:r>
            <w:r>
              <w:rPr>
                <w:rFonts w:hint="eastAsia" w:ascii="方正正中黑简体" w:hAnsi="方正正中黑简体"/>
                <w:color w:val="auto"/>
              </w:rPr>
              <w:t>、</w:t>
            </w:r>
            <w:r>
              <w:rPr>
                <w:rFonts w:hint="eastAsia" w:ascii="方正正中黑简体" w:hAnsi="方正正中黑简体"/>
                <w:color w:val="auto"/>
                <w:lang w:val="en-US" w:eastAsia="zh-CN"/>
              </w:rPr>
              <w:t>大疆</w:t>
            </w:r>
            <w:r>
              <w:rPr>
                <w:rFonts w:hint="eastAsia" w:ascii="方正正中黑简体" w:hAnsi="方正正中黑简体"/>
                <w:color w:val="auto"/>
              </w:rPr>
              <w:t>、</w:t>
            </w:r>
          </w:p>
          <w:p>
            <w:pPr>
              <w:widowControl/>
              <w:spacing w:line="360" w:lineRule="auto"/>
              <w:jc w:val="center"/>
              <w:rPr>
                <w:rFonts w:hint="eastAsia" w:ascii="宋体" w:hAnsi="宋体"/>
                <w:kern w:val="0"/>
                <w:lang w:val="en-US" w:eastAsia="zh-CN"/>
              </w:rPr>
            </w:pPr>
            <w:r>
              <w:rPr>
                <w:rFonts w:hint="eastAsia" w:ascii="方正正中黑简体" w:hAnsi="方正正中黑简体"/>
                <w:color w:val="auto"/>
              </w:rPr>
              <w:t>格力、比亚迪、海尔</w:t>
            </w:r>
            <w:r>
              <w:rPr>
                <w:rFonts w:hint="eastAsia" w:ascii="方正正中黑简体" w:hAnsi="方正正中黑简体"/>
                <w:color w:val="auto"/>
                <w:lang w:val="en-US" w:eastAsia="zh-CN"/>
              </w:rPr>
              <w:t>集团</w:t>
            </w:r>
            <w:r>
              <w:rPr>
                <w:rFonts w:hint="eastAsia" w:ascii="方正正中黑简体" w:hAnsi="方正正中黑简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2685" w:type="dxa"/>
            <w:vAlign w:val="center"/>
          </w:tcPr>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高峰论坛</w:t>
            </w:r>
          </w:p>
        </w:tc>
        <w:tc>
          <w:tcPr>
            <w:tcW w:w="5834" w:type="dxa"/>
            <w:gridSpan w:val="3"/>
            <w:vAlign w:val="center"/>
          </w:tcPr>
          <w:p>
            <w:pPr>
              <w:jc w:val="center"/>
              <w:rPr>
                <w:rFonts w:hint="eastAsia" w:ascii="方正正中黑简体" w:hAnsi="方正正中黑简体"/>
                <w:color w:val="auto"/>
              </w:rPr>
            </w:pPr>
            <w:r>
              <w:rPr>
                <w:rFonts w:hint="eastAsia" w:ascii="方正正中黑简体" w:hAnsi="方正正中黑简体"/>
                <w:color w:val="auto"/>
              </w:rPr>
              <w:t>年度中央经济工作会议精神解读分享会</w:t>
            </w:r>
          </w:p>
          <w:p>
            <w:pPr>
              <w:jc w:val="center"/>
              <w:rPr>
                <w:rFonts w:hint="eastAsia" w:ascii="方正正中黑简体" w:hAnsi="方正正中黑简体"/>
                <w:color w:val="auto"/>
              </w:rPr>
            </w:pPr>
            <w:r>
              <w:rPr>
                <w:rFonts w:hint="eastAsia" w:ascii="方正正中黑简体" w:hAnsi="方正正中黑简体"/>
                <w:color w:val="auto"/>
              </w:rPr>
              <w:t>区域企业相关政策法规解读</w:t>
            </w:r>
          </w:p>
          <w:p>
            <w:pPr>
              <w:widowControl/>
              <w:spacing w:line="360" w:lineRule="auto"/>
              <w:jc w:val="center"/>
              <w:rPr>
                <w:rFonts w:hint="eastAsia" w:ascii="宋体" w:hAnsi="宋体"/>
                <w:kern w:val="0"/>
                <w:lang w:val="en-US" w:eastAsia="zh-CN"/>
              </w:rPr>
            </w:pPr>
            <w:r>
              <w:rPr>
                <w:rFonts w:hint="eastAsia" w:ascii="方正正中黑简体" w:hAnsi="方正正中黑简体"/>
                <w:color w:val="auto"/>
                <w:lang w:val="en-US" w:eastAsia="zh-CN"/>
              </w:rPr>
              <w:t>项目路演</w:t>
            </w:r>
            <w:r>
              <w:rPr>
                <w:rFonts w:hint="eastAsia" w:ascii="方正正中黑简体" w:hAnsi="方正正中黑简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2685" w:type="dxa"/>
            <w:vAlign w:val="center"/>
          </w:tcPr>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p>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咨询辅导</w:t>
            </w:r>
          </w:p>
        </w:tc>
        <w:tc>
          <w:tcPr>
            <w:tcW w:w="5834" w:type="dxa"/>
            <w:gridSpan w:val="3"/>
            <w:vAlign w:val="center"/>
          </w:tcPr>
          <w:p>
            <w:pPr>
              <w:jc w:val="center"/>
              <w:rPr>
                <w:rFonts w:hint="eastAsia" w:ascii="方正正中黑简体" w:hAnsi="方正正中黑简体"/>
                <w:color w:val="auto"/>
              </w:rPr>
            </w:pPr>
            <w:r>
              <w:rPr>
                <w:rFonts w:hint="eastAsia" w:ascii="方正正中黑简体" w:hAnsi="方正正中黑简体"/>
                <w:color w:val="auto"/>
              </w:rPr>
              <w:t>商业模式设计   品牌打造落</w:t>
            </w:r>
            <w:r>
              <w:rPr>
                <w:rFonts w:hint="eastAsia" w:ascii="方正正中黑简体" w:hAnsi="方正正中黑简体"/>
                <w:color w:val="auto"/>
                <w:lang w:val="en-US" w:eastAsia="zh-CN"/>
              </w:rPr>
              <w:t xml:space="preserve">   </w:t>
            </w:r>
            <w:r>
              <w:rPr>
                <w:rFonts w:hint="eastAsia" w:ascii="方正正中黑简体" w:hAnsi="方正正中黑简体"/>
                <w:color w:val="auto"/>
              </w:rPr>
              <w:t xml:space="preserve">地股权激励辅导  </w:t>
            </w:r>
          </w:p>
          <w:p>
            <w:pPr>
              <w:jc w:val="center"/>
              <w:rPr>
                <w:rFonts w:hint="eastAsia" w:ascii="方正正中黑简体" w:hAnsi="方正正中黑简体"/>
                <w:color w:val="auto"/>
              </w:rPr>
            </w:pPr>
            <w:r>
              <w:rPr>
                <w:rFonts w:hint="eastAsia" w:ascii="方正正中黑简体" w:hAnsi="方正正中黑简体"/>
                <w:color w:val="auto"/>
              </w:rPr>
              <w:t xml:space="preserve"> 营销服务</w:t>
            </w:r>
            <w:r>
              <w:rPr>
                <w:rFonts w:hint="eastAsia" w:ascii="方正正中黑简体" w:hAnsi="方正正中黑简体"/>
                <w:color w:val="auto"/>
                <w:lang w:val="en-US" w:eastAsia="zh-CN"/>
              </w:rPr>
              <w:t xml:space="preserve">      </w:t>
            </w:r>
            <w:r>
              <w:rPr>
                <w:rFonts w:hint="eastAsia" w:ascii="方正正中黑简体" w:hAnsi="方正正中黑简体"/>
                <w:color w:val="auto"/>
              </w:rPr>
              <w:t>税务筹划       组织系统梳理等</w:t>
            </w:r>
          </w:p>
          <w:p>
            <w:pPr>
              <w:widowControl/>
              <w:spacing w:line="360" w:lineRule="auto"/>
              <w:jc w:val="center"/>
              <w:rPr>
                <w:rFonts w:hint="eastAsia" w:ascii="宋体" w:hAnsi="宋体"/>
                <w:kern w:val="0"/>
                <w:lang w:val="en-US" w:eastAsia="zh-CN"/>
              </w:rPr>
            </w:pPr>
            <w:r>
              <w:rPr>
                <w:rFonts w:hint="eastAsia" w:ascii="方正正中黑简体" w:hAnsi="方正正中黑简体"/>
                <w:color w:val="auto"/>
                <w:lang w:val="en-US" w:eastAsia="zh-CN"/>
              </w:rPr>
              <w:t xml:space="preserve">绩效考核  </w:t>
            </w:r>
            <w:r>
              <w:rPr>
                <w:rFonts w:hint="eastAsia" w:ascii="方正正中黑简体" w:hAnsi="方正正中黑简体"/>
                <w:color w:val="auto"/>
              </w:rPr>
              <w:t>阿米巴经营模式的导入</w:t>
            </w:r>
            <w:r>
              <w:rPr>
                <w:rFonts w:hint="eastAsia" w:ascii="方正正中黑简体" w:hAnsi="方正正中黑简体"/>
                <w:color w:val="auto"/>
                <w:lang w:val="en-US" w:eastAsia="zh-CN"/>
              </w:rPr>
              <w:t xml:space="preserve">  企业数字化转型</w:t>
            </w:r>
          </w:p>
        </w:tc>
      </w:tr>
    </w:tbl>
    <w:p>
      <w:pPr>
        <w:pStyle w:val="4"/>
        <w:widowControl/>
        <w:shd w:val="clear" w:color="auto" w:fill="FFFFFF"/>
        <w:rPr>
          <w:rFonts w:ascii="方正正中黑简体" w:hAnsi="方正正中黑简体"/>
          <w:b/>
          <w:bCs/>
        </w:rPr>
      </w:pPr>
      <w:r>
        <w:rPr>
          <w:rFonts w:ascii="华文楷体" w:hAnsi="华文楷体" w:eastAsia="华文楷体" w:cs="仿宋"/>
          <w:color w:val="333333"/>
          <w:shd w:val="clear" w:color="auto" w:fill="FFFFFF"/>
        </w:rPr>
        <w:t>（注：以上部分课程可能会根据相应情况进行微调）</w:t>
      </w:r>
    </w:p>
    <w:p>
      <w:pPr>
        <w:ind w:left="141" w:hanging="161" w:hangingChars="50"/>
        <w:rPr>
          <w:rStyle w:val="9"/>
          <w:rFonts w:hint="eastAsia" w:ascii="Calibri" w:hAnsi="Calibri" w:eastAsia="楷体" w:cs="Calibri"/>
          <w:color w:val="9C0000"/>
          <w:sz w:val="32"/>
          <w:szCs w:val="32"/>
          <w:shd w:val="clear" w:color="auto" w:fill="FFFFFF"/>
          <w:lang w:val="en-US" w:eastAsia="zh-CN"/>
        </w:rPr>
      </w:pPr>
      <w:r>
        <w:rPr>
          <w:rStyle w:val="9"/>
          <w:rFonts w:hint="eastAsia" w:ascii="Calibri" w:hAnsi="Calibri" w:eastAsia="楷体" w:cs="Calibri"/>
          <w:color w:val="9C0000"/>
          <w:sz w:val="32"/>
          <w:szCs w:val="32"/>
          <w:shd w:val="clear" w:color="auto" w:fill="FFFFFF"/>
          <w:lang w:val="en-US" w:eastAsia="zh-CN"/>
        </w:rPr>
        <w:t>【部分拟邀导师】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Cs/>
          <w:sz w:val="24"/>
          <w:szCs w:val="24"/>
          <w:lang w:eastAsia="zh-CN"/>
        </w:rPr>
      </w:pPr>
      <w:r>
        <w:rPr>
          <w:rFonts w:hint="eastAsia" w:ascii="宋体" w:hAnsi="宋体" w:cs="宋体"/>
          <w:b/>
          <w:sz w:val="24"/>
          <w:szCs w:val="24"/>
        </w:rPr>
        <w:t>李</w:t>
      </w:r>
      <w:r>
        <w:rPr>
          <w:rFonts w:hint="eastAsia" w:ascii="宋体" w:hAnsi="宋体" w:cs="宋体"/>
          <w:b/>
          <w:sz w:val="24"/>
          <w:szCs w:val="24"/>
          <w:lang w:val="en-US" w:eastAsia="zh-CN"/>
        </w:rPr>
        <w:t xml:space="preserve">  </w:t>
      </w:r>
      <w:r>
        <w:rPr>
          <w:rFonts w:hint="eastAsia" w:ascii="宋体" w:hAnsi="宋体" w:cs="宋体"/>
          <w:b/>
          <w:sz w:val="24"/>
          <w:szCs w:val="24"/>
        </w:rPr>
        <w:t>翀：</w:t>
      </w:r>
      <w:r>
        <w:rPr>
          <w:rFonts w:hint="eastAsia" w:ascii="宋体" w:hAnsi="宋体" w:cs="宋体"/>
          <w:bCs/>
          <w:sz w:val="24"/>
          <w:szCs w:val="24"/>
        </w:rPr>
        <w:t>教育部经济学科教学指导委员会委员，北京师范大学经济与工商管理学院院长，经济学教授、博士生导师。长期从事微观经济学、宏观经济学、金融市场、投资学等课程的教学和研究</w:t>
      </w:r>
      <w:r>
        <w:rPr>
          <w:rFonts w:hint="eastAsia" w:ascii="宋体" w:hAnsi="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Cs/>
          <w:sz w:val="24"/>
          <w:szCs w:val="24"/>
        </w:rPr>
      </w:pPr>
      <w:r>
        <w:rPr>
          <w:rFonts w:hint="eastAsia" w:ascii="宋体" w:hAnsi="宋体" w:cs="宋体"/>
          <w:b/>
          <w:sz w:val="24"/>
          <w:szCs w:val="24"/>
        </w:rPr>
        <w:t>潘</w:t>
      </w:r>
      <w:r>
        <w:rPr>
          <w:rFonts w:hint="eastAsia" w:ascii="宋体" w:hAnsi="宋体" w:cs="宋体"/>
          <w:b/>
          <w:sz w:val="24"/>
          <w:szCs w:val="24"/>
          <w:lang w:val="en-US" w:eastAsia="zh-CN"/>
        </w:rPr>
        <w:t xml:space="preserve">  </w:t>
      </w:r>
      <w:r>
        <w:rPr>
          <w:rFonts w:hint="eastAsia" w:ascii="宋体" w:hAnsi="宋体" w:cs="宋体"/>
          <w:b/>
          <w:sz w:val="24"/>
          <w:szCs w:val="24"/>
        </w:rPr>
        <w:t>诚：</w:t>
      </w:r>
      <w:r>
        <w:rPr>
          <w:rFonts w:hint="eastAsia" w:ascii="宋体" w:hAnsi="宋体" w:cs="宋体"/>
          <w:bCs/>
          <w:sz w:val="24"/>
          <w:szCs w:val="24"/>
        </w:rPr>
        <w:t>战略管理与企业文化专家，教授，多年大型企业高管经历、大道博一管理咨询公司董事长，致力问题研究、文化观察、思想传播、方案设计。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Cs/>
          <w:sz w:val="24"/>
          <w:szCs w:val="24"/>
          <w:lang w:eastAsia="zh-CN"/>
        </w:rPr>
      </w:pPr>
      <w:r>
        <w:rPr>
          <w:rFonts w:hint="eastAsia" w:ascii="宋体" w:hAnsi="宋体" w:cs="宋体"/>
          <w:b/>
          <w:sz w:val="24"/>
          <w:szCs w:val="24"/>
        </w:rPr>
        <w:t>丁守海：</w:t>
      </w:r>
      <w:r>
        <w:rPr>
          <w:rFonts w:hint="eastAsia" w:ascii="宋体" w:hAnsi="宋体" w:cs="宋体"/>
          <w:bCs/>
          <w:sz w:val="24"/>
          <w:szCs w:val="24"/>
        </w:rPr>
        <w:t>中国人民大学经济学院教授、博士生导师；中国人民大学国民经济管理系副主任；曾任深圳华为技术有限公司市场部和人力资源部高管</w:t>
      </w:r>
      <w:r>
        <w:rPr>
          <w:rFonts w:hint="eastAsia" w:ascii="宋体" w:hAnsi="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Cs/>
          <w:sz w:val="24"/>
          <w:szCs w:val="24"/>
          <w:lang w:val="en-US" w:eastAsia="zh-CN"/>
        </w:rPr>
      </w:pPr>
      <w:r>
        <w:rPr>
          <w:rFonts w:hint="eastAsia" w:ascii="宋体" w:hAnsi="宋体" w:cs="宋体"/>
          <w:b/>
          <w:sz w:val="24"/>
          <w:szCs w:val="24"/>
          <w:lang w:val="en-US" w:eastAsia="zh-CN"/>
        </w:rPr>
        <w:t>霍振先：</w:t>
      </w:r>
      <w:r>
        <w:rPr>
          <w:rFonts w:hint="eastAsia" w:ascii="宋体" w:hAnsi="宋体" w:cs="宋体"/>
          <w:bCs/>
          <w:sz w:val="24"/>
          <w:szCs w:val="24"/>
          <w:lang w:val="en-US" w:eastAsia="zh-CN"/>
        </w:rPr>
        <w:t>财务专家，</w:t>
      </w:r>
      <w:r>
        <w:rPr>
          <w:rFonts w:hint="eastAsia" w:ascii="宋体" w:hAnsi="宋体" w:cs="宋体"/>
          <w:bCs/>
          <w:sz w:val="24"/>
          <w:szCs w:val="24"/>
        </w:rPr>
        <w:t>中国阶梯式资本运作创始人</w:t>
      </w:r>
      <w:r>
        <w:rPr>
          <w:rFonts w:hint="eastAsia" w:ascii="宋体" w:hAnsi="宋体" w:cs="宋体"/>
          <w:bCs/>
          <w:sz w:val="24"/>
          <w:szCs w:val="24"/>
          <w:lang w:eastAsia="zh-CN"/>
        </w:rPr>
        <w:t>，</w:t>
      </w:r>
      <w:r>
        <w:rPr>
          <w:rFonts w:hint="eastAsia" w:ascii="宋体" w:hAnsi="宋体" w:cs="宋体"/>
          <w:bCs/>
          <w:sz w:val="24"/>
          <w:szCs w:val="24"/>
        </w:rPr>
        <w:t>《</w:t>
      </w:r>
      <w:r>
        <w:rPr>
          <w:rFonts w:hint="default" w:ascii="宋体" w:hAnsi="宋体" w:cs="宋体"/>
          <w:bCs/>
          <w:sz w:val="24"/>
          <w:szCs w:val="24"/>
        </w:rPr>
        <w:fldChar w:fldCharType="begin"/>
      </w:r>
      <w:r>
        <w:rPr>
          <w:rFonts w:hint="default" w:ascii="宋体" w:hAnsi="宋体" w:cs="宋体"/>
          <w:bCs/>
          <w:sz w:val="24"/>
          <w:szCs w:val="24"/>
        </w:rPr>
        <w:instrText xml:space="preserve"> HYPERLINK "https://baike.so.com/doc/6790059-7006670.html" \t "https://baike.so.com/doc/_blank" </w:instrText>
      </w:r>
      <w:r>
        <w:rPr>
          <w:rFonts w:hint="default" w:ascii="宋体" w:hAnsi="宋体" w:cs="宋体"/>
          <w:bCs/>
          <w:sz w:val="24"/>
          <w:szCs w:val="24"/>
        </w:rPr>
        <w:fldChar w:fldCharType="separate"/>
      </w:r>
      <w:r>
        <w:rPr>
          <w:rFonts w:hint="default" w:ascii="宋体" w:hAnsi="宋体" w:cs="宋体"/>
          <w:bCs/>
          <w:sz w:val="24"/>
          <w:szCs w:val="24"/>
        </w:rPr>
        <w:t>赢家大讲堂</w:t>
      </w:r>
      <w:r>
        <w:rPr>
          <w:rFonts w:hint="default" w:ascii="宋体" w:hAnsi="宋体" w:cs="宋体"/>
          <w:bCs/>
          <w:sz w:val="24"/>
          <w:szCs w:val="24"/>
        </w:rPr>
        <w:fldChar w:fldCharType="end"/>
      </w:r>
      <w:r>
        <w:rPr>
          <w:rFonts w:hint="default" w:ascii="宋体" w:hAnsi="宋体" w:cs="宋体"/>
          <w:bCs/>
          <w:sz w:val="24"/>
          <w:szCs w:val="24"/>
        </w:rPr>
        <w:t>》特聘首席财务专家</w:t>
      </w:r>
      <w:r>
        <w:rPr>
          <w:rFonts w:hint="eastAsia" w:ascii="宋体" w:hAnsi="宋体" w:cs="宋体"/>
          <w:bCs/>
          <w:sz w:val="24"/>
          <w:szCs w:val="24"/>
          <w:lang w:eastAsia="zh-CN"/>
        </w:rPr>
        <w:t>，</w:t>
      </w:r>
      <w:r>
        <w:rPr>
          <w:rFonts w:hint="eastAsia" w:ascii="宋体" w:hAnsi="宋体" w:cs="宋体"/>
          <w:bCs/>
          <w:sz w:val="24"/>
          <w:szCs w:val="24"/>
        </w:rPr>
        <w:t>清华大学等多所高校总裁班特聘讲师</w:t>
      </w:r>
      <w:r>
        <w:rPr>
          <w:rFonts w:hint="eastAsia" w:ascii="宋体" w:hAnsi="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Cs/>
          <w:sz w:val="24"/>
          <w:szCs w:val="24"/>
          <w:lang w:eastAsia="zh-CN"/>
        </w:rPr>
      </w:pPr>
      <w:r>
        <w:rPr>
          <w:rFonts w:hint="eastAsia" w:ascii="宋体" w:hAnsi="宋体" w:cs="宋体"/>
          <w:b/>
          <w:bCs w:val="0"/>
          <w:sz w:val="24"/>
          <w:szCs w:val="24"/>
          <w:lang w:val="en-US" w:eastAsia="zh-CN"/>
        </w:rPr>
        <w:t>李明英</w:t>
      </w:r>
      <w:r>
        <w:rPr>
          <w:rFonts w:hint="eastAsia" w:ascii="宋体" w:hAnsi="宋体" w:cs="宋体"/>
          <w:bCs/>
          <w:sz w:val="24"/>
          <w:szCs w:val="24"/>
          <w:lang w:val="en-US" w:eastAsia="zh-CN"/>
        </w:rPr>
        <w:t>：</w:t>
      </w:r>
      <w:r>
        <w:rPr>
          <w:rFonts w:hint="eastAsia" w:ascii="宋体" w:hAnsi="宋体" w:cs="宋体"/>
          <w:bCs/>
          <w:sz w:val="24"/>
          <w:szCs w:val="24"/>
        </w:rPr>
        <w:t>北京科技大学经济管理学院经济与贸易系</w:t>
      </w:r>
      <w:r>
        <w:rPr>
          <w:rFonts w:hint="default" w:ascii="宋体" w:hAnsi="宋体" w:cs="宋体"/>
          <w:bCs/>
          <w:sz w:val="24"/>
          <w:szCs w:val="24"/>
        </w:rPr>
        <w:fldChar w:fldCharType="begin"/>
      </w:r>
      <w:r>
        <w:rPr>
          <w:rFonts w:hint="default" w:ascii="宋体" w:hAnsi="宋体" w:cs="宋体"/>
          <w:bCs/>
          <w:sz w:val="24"/>
          <w:szCs w:val="24"/>
        </w:rPr>
        <w:instrText xml:space="preserve"> HYPERLINK "http://www.gototsinghua.org.cn/professor/" \t "http://www.gototsinghua.org.cn/professor/guanli/_blank" </w:instrText>
      </w:r>
      <w:r>
        <w:rPr>
          <w:rFonts w:hint="default" w:ascii="宋体" w:hAnsi="宋体" w:cs="宋体"/>
          <w:bCs/>
          <w:sz w:val="24"/>
          <w:szCs w:val="24"/>
        </w:rPr>
        <w:fldChar w:fldCharType="separate"/>
      </w:r>
      <w:r>
        <w:rPr>
          <w:rFonts w:hint="default" w:ascii="宋体" w:hAnsi="宋体" w:cs="宋体"/>
          <w:bCs/>
          <w:sz w:val="24"/>
          <w:szCs w:val="24"/>
        </w:rPr>
        <w:t>教授</w:t>
      </w:r>
      <w:r>
        <w:rPr>
          <w:rFonts w:hint="default" w:ascii="宋体" w:hAnsi="宋体" w:cs="宋体"/>
          <w:bCs/>
          <w:sz w:val="24"/>
          <w:szCs w:val="24"/>
        </w:rPr>
        <w:fldChar w:fldCharType="end"/>
      </w:r>
      <w:r>
        <w:rPr>
          <w:rFonts w:hint="default" w:ascii="宋体" w:hAnsi="宋体" w:cs="宋体"/>
          <w:bCs/>
          <w:sz w:val="24"/>
          <w:szCs w:val="24"/>
        </w:rPr>
        <w:t>，研究生导师，清华大学国际工程项目管理研究院特聘教授、北京大学特聘教授。曾作为访问学者到美国进修和讲学。担任多家企业的法律顾问，多次受邀为政府有关部门和企业的重大项目做法律上的论证</w:t>
      </w:r>
      <w:r>
        <w:rPr>
          <w:rFonts w:hint="eastAsia" w:ascii="宋体" w:hAnsi="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Cs/>
          <w:sz w:val="24"/>
          <w:szCs w:val="24"/>
          <w:lang w:val="en-US" w:eastAsia="zh-CN"/>
        </w:rPr>
      </w:pPr>
      <w:r>
        <w:rPr>
          <w:rFonts w:hint="eastAsia" w:ascii="宋体" w:hAnsi="宋体" w:cs="宋体"/>
          <w:b/>
          <w:sz w:val="24"/>
          <w:szCs w:val="24"/>
          <w:lang w:val="en-US" w:eastAsia="zh-CN"/>
        </w:rPr>
        <w:t>寇  飞</w:t>
      </w:r>
      <w:r>
        <w:rPr>
          <w:rFonts w:hint="eastAsia" w:ascii="宋体" w:hAnsi="宋体" w:cs="宋体"/>
          <w:b/>
          <w:sz w:val="24"/>
          <w:szCs w:val="24"/>
        </w:rPr>
        <w:t>：</w:t>
      </w:r>
      <w:r>
        <w:rPr>
          <w:rFonts w:hint="eastAsia" w:ascii="宋体" w:hAnsi="宋体" w:cs="宋体"/>
          <w:bCs/>
          <w:sz w:val="24"/>
          <w:szCs w:val="24"/>
        </w:rPr>
        <w:t>云树电商创始人CEO,15年互联网及电子商务相关经验；历任： 修正药业集团市场总监、阿里巴巴淘宝商城（天猫）创始团队M3运营负责人、上品百货总经理，英特华集团高级副总裁</w:t>
      </w:r>
      <w:r>
        <w:rPr>
          <w:rFonts w:hint="eastAsia" w:ascii="宋体" w:hAnsi="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Cs/>
          <w:sz w:val="24"/>
          <w:szCs w:val="24"/>
          <w:lang w:eastAsia="zh-CN"/>
        </w:rPr>
      </w:pPr>
      <w:r>
        <w:rPr>
          <w:rFonts w:hint="eastAsia" w:ascii="宋体" w:hAnsi="宋体" w:cs="宋体"/>
          <w:b/>
          <w:sz w:val="24"/>
          <w:szCs w:val="24"/>
          <w:lang w:val="en-US" w:eastAsia="zh-CN"/>
        </w:rPr>
        <w:t>孔维勤</w:t>
      </w:r>
      <w:r>
        <w:rPr>
          <w:rFonts w:ascii="宋体" w:hAnsi="宋体" w:cs="宋体"/>
          <w:b/>
          <w:sz w:val="24"/>
          <w:szCs w:val="24"/>
        </w:rPr>
        <w:t>：</w:t>
      </w:r>
      <w:r>
        <w:rPr>
          <w:rFonts w:hint="default" w:ascii="宋体" w:hAnsi="宋体" w:cs="宋体"/>
          <w:bCs/>
          <w:sz w:val="24"/>
          <w:szCs w:val="24"/>
        </w:rPr>
        <w:t>台湾</w:t>
      </w:r>
      <w:r>
        <w:rPr>
          <w:rFonts w:hint="default" w:ascii="宋体" w:hAnsi="宋体" w:cs="宋体"/>
          <w:bCs/>
          <w:sz w:val="24"/>
          <w:szCs w:val="24"/>
        </w:rPr>
        <w:fldChar w:fldCharType="begin"/>
      </w:r>
      <w:r>
        <w:rPr>
          <w:rFonts w:hint="default" w:ascii="宋体" w:hAnsi="宋体" w:cs="宋体"/>
          <w:bCs/>
          <w:sz w:val="24"/>
          <w:szCs w:val="24"/>
        </w:rPr>
        <w:instrText xml:space="preserve"> HYPERLINK "https://baike.so.com/doc/4899870-5118287.html" \t "https://baike.so.com/doc/_blank" </w:instrText>
      </w:r>
      <w:r>
        <w:rPr>
          <w:rFonts w:hint="default" w:ascii="宋体" w:hAnsi="宋体" w:cs="宋体"/>
          <w:bCs/>
          <w:sz w:val="24"/>
          <w:szCs w:val="24"/>
        </w:rPr>
        <w:fldChar w:fldCharType="separate"/>
      </w:r>
      <w:r>
        <w:rPr>
          <w:rFonts w:hint="default" w:ascii="宋体" w:hAnsi="宋体" w:cs="宋体"/>
          <w:bCs/>
          <w:sz w:val="24"/>
          <w:szCs w:val="24"/>
        </w:rPr>
        <w:t>孔子学院</w:t>
      </w:r>
      <w:r>
        <w:rPr>
          <w:rFonts w:hint="default" w:ascii="宋体" w:hAnsi="宋体" w:cs="宋体"/>
          <w:bCs/>
          <w:sz w:val="24"/>
          <w:szCs w:val="24"/>
        </w:rPr>
        <w:fldChar w:fldCharType="end"/>
      </w:r>
      <w:r>
        <w:rPr>
          <w:rFonts w:hint="default" w:ascii="宋体" w:hAnsi="宋体" w:cs="宋体"/>
          <w:bCs/>
          <w:sz w:val="24"/>
          <w:szCs w:val="24"/>
        </w:rPr>
        <w:t>院长</w:t>
      </w:r>
      <w:r>
        <w:rPr>
          <w:rFonts w:hint="eastAsia" w:ascii="宋体" w:hAnsi="宋体" w:cs="宋体"/>
          <w:bCs/>
          <w:sz w:val="24"/>
          <w:szCs w:val="24"/>
          <w:lang w:eastAsia="zh-CN"/>
        </w:rPr>
        <w:t>。</w:t>
      </w:r>
      <w:r>
        <w:rPr>
          <w:rFonts w:hint="default" w:ascii="宋体" w:hAnsi="宋体" w:cs="宋体"/>
          <w:bCs/>
          <w:sz w:val="24"/>
          <w:szCs w:val="24"/>
        </w:rPr>
        <w:fldChar w:fldCharType="begin"/>
      </w:r>
      <w:r>
        <w:rPr>
          <w:rFonts w:hint="default" w:ascii="宋体" w:hAnsi="宋体" w:cs="宋体"/>
          <w:bCs/>
          <w:sz w:val="24"/>
          <w:szCs w:val="24"/>
        </w:rPr>
        <w:instrText xml:space="preserve"> HYPERLINK "https://baike.so.com/doc/1923887-2035414.html" \t "https://baike.so.com/doc/_blank" </w:instrText>
      </w:r>
      <w:r>
        <w:rPr>
          <w:rFonts w:hint="default" w:ascii="宋体" w:hAnsi="宋体" w:cs="宋体"/>
          <w:bCs/>
          <w:sz w:val="24"/>
          <w:szCs w:val="24"/>
        </w:rPr>
        <w:fldChar w:fldCharType="separate"/>
      </w:r>
      <w:r>
        <w:rPr>
          <w:rFonts w:hint="default" w:ascii="宋体" w:hAnsi="宋体" w:cs="宋体"/>
          <w:bCs/>
          <w:sz w:val="24"/>
          <w:szCs w:val="24"/>
        </w:rPr>
        <w:t>台湾</w:t>
      </w:r>
      <w:r>
        <w:rPr>
          <w:rFonts w:hint="default" w:ascii="宋体" w:hAnsi="宋体" w:cs="宋体"/>
          <w:bCs/>
          <w:sz w:val="24"/>
          <w:szCs w:val="24"/>
        </w:rPr>
        <w:fldChar w:fldCharType="end"/>
      </w:r>
      <w:r>
        <w:rPr>
          <w:rFonts w:hint="default" w:ascii="宋体" w:hAnsi="宋体" w:cs="宋体"/>
          <w:bCs/>
          <w:sz w:val="24"/>
          <w:szCs w:val="24"/>
        </w:rPr>
        <w:t>孔子协会理事长，</w:t>
      </w:r>
      <w:r>
        <w:rPr>
          <w:rFonts w:hint="default" w:ascii="宋体" w:hAnsi="宋体" w:cs="宋体"/>
          <w:bCs/>
          <w:sz w:val="24"/>
          <w:szCs w:val="24"/>
        </w:rPr>
        <w:fldChar w:fldCharType="begin"/>
      </w:r>
      <w:r>
        <w:rPr>
          <w:rFonts w:hint="default" w:ascii="宋体" w:hAnsi="宋体" w:cs="宋体"/>
          <w:bCs/>
          <w:sz w:val="24"/>
          <w:szCs w:val="24"/>
        </w:rPr>
        <w:instrText xml:space="preserve"> HYPERLINK "https://baike.so.com/doc/5346943-24480011.html" \t "https://baike.so.com/doc/_blank" </w:instrText>
      </w:r>
      <w:r>
        <w:rPr>
          <w:rFonts w:hint="default" w:ascii="宋体" w:hAnsi="宋体" w:cs="宋体"/>
          <w:bCs/>
          <w:sz w:val="24"/>
          <w:szCs w:val="24"/>
        </w:rPr>
        <w:fldChar w:fldCharType="separate"/>
      </w:r>
      <w:r>
        <w:rPr>
          <w:rFonts w:hint="default" w:ascii="宋体" w:hAnsi="宋体" w:cs="宋体"/>
          <w:bCs/>
          <w:sz w:val="24"/>
          <w:szCs w:val="24"/>
        </w:rPr>
        <w:t>孔子</w:t>
      </w:r>
      <w:r>
        <w:rPr>
          <w:rFonts w:hint="default" w:ascii="宋体" w:hAnsi="宋体" w:cs="宋体"/>
          <w:bCs/>
          <w:sz w:val="24"/>
          <w:szCs w:val="24"/>
        </w:rPr>
        <w:fldChar w:fldCharType="end"/>
      </w:r>
      <w:r>
        <w:rPr>
          <w:rFonts w:hint="default" w:ascii="宋体" w:hAnsi="宋体" w:cs="宋体"/>
          <w:bCs/>
          <w:sz w:val="24"/>
          <w:szCs w:val="24"/>
        </w:rPr>
        <w:t>第78代传人</w:t>
      </w:r>
      <w:r>
        <w:rPr>
          <w:rFonts w:hint="eastAsia" w:ascii="宋体" w:hAnsi="宋体" w:cs="宋体"/>
          <w:bCs/>
          <w:sz w:val="24"/>
          <w:szCs w:val="24"/>
          <w:lang w:eastAsia="zh-CN"/>
        </w:rPr>
        <w:t>，</w:t>
      </w:r>
      <w:r>
        <w:rPr>
          <w:rFonts w:hint="default" w:ascii="宋体" w:hAnsi="宋体" w:cs="宋体"/>
          <w:bCs/>
          <w:sz w:val="24"/>
          <w:szCs w:val="24"/>
        </w:rPr>
        <w:t>毕业于</w:t>
      </w:r>
      <w:r>
        <w:rPr>
          <w:rFonts w:hint="default" w:ascii="宋体" w:hAnsi="宋体" w:cs="宋体"/>
          <w:bCs/>
          <w:sz w:val="24"/>
          <w:szCs w:val="24"/>
        </w:rPr>
        <w:fldChar w:fldCharType="begin"/>
      </w:r>
      <w:r>
        <w:rPr>
          <w:rFonts w:hint="default" w:ascii="宋体" w:hAnsi="宋体" w:cs="宋体"/>
          <w:bCs/>
          <w:sz w:val="24"/>
          <w:szCs w:val="24"/>
        </w:rPr>
        <w:instrText xml:space="preserve"> HYPERLINK "https://baike.so.com/doc/5569543-5784737.html" \t "https://baike.so.com/doc/_blank" </w:instrText>
      </w:r>
      <w:r>
        <w:rPr>
          <w:rFonts w:hint="default" w:ascii="宋体" w:hAnsi="宋体" w:cs="宋体"/>
          <w:bCs/>
          <w:sz w:val="24"/>
          <w:szCs w:val="24"/>
        </w:rPr>
        <w:fldChar w:fldCharType="separate"/>
      </w:r>
      <w:r>
        <w:rPr>
          <w:rFonts w:hint="default" w:ascii="宋体" w:hAnsi="宋体" w:cs="宋体"/>
          <w:bCs/>
          <w:sz w:val="24"/>
          <w:szCs w:val="24"/>
        </w:rPr>
        <w:t>中国文化大学</w:t>
      </w:r>
      <w:r>
        <w:rPr>
          <w:rFonts w:hint="default" w:ascii="宋体" w:hAnsi="宋体" w:cs="宋体"/>
          <w:bCs/>
          <w:sz w:val="24"/>
          <w:szCs w:val="24"/>
        </w:rPr>
        <w:fldChar w:fldCharType="end"/>
      </w:r>
      <w:r>
        <w:rPr>
          <w:rFonts w:hint="default" w:ascii="宋体" w:hAnsi="宋体" w:cs="宋体"/>
          <w:bCs/>
          <w:sz w:val="24"/>
          <w:szCs w:val="24"/>
        </w:rPr>
        <w:t>哲学研究所博士班。现任教于台湾新埔技术学院，益生博通历史文物馆馆长、上善文化基金会儿童经典顾问。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Cs/>
          <w:sz w:val="24"/>
          <w:szCs w:val="24"/>
        </w:rPr>
      </w:pPr>
      <w:r>
        <w:rPr>
          <w:rFonts w:hint="eastAsia" w:ascii="宋体" w:hAnsi="宋体" w:cs="宋体"/>
          <w:b/>
          <w:sz w:val="24"/>
          <w:szCs w:val="24"/>
        </w:rPr>
        <w:t>汪大正</w:t>
      </w:r>
      <w:r>
        <w:rPr>
          <w:rFonts w:hint="eastAsia" w:ascii="宋体" w:hAnsi="宋体" w:cs="宋体"/>
          <w:bCs/>
          <w:sz w:val="24"/>
          <w:szCs w:val="24"/>
        </w:rPr>
        <w:t>：国内著名人力资源管理专家；现任：清华大学、北京大学、西安交通大学、上海交通大学等院校企业家及经理人高级研修班特邀课程教授；清华大学继续教育学院2008年首批签约制主讲教师；清华大学职业经理训练中心教授会成员。曾任：飞利浦、吉百利、NCR等多家跨国公司人力资源经理；北京外企人力资源协会理事、中国企业家协会雇主工作委员会会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Cs/>
          <w:sz w:val="24"/>
          <w:szCs w:val="24"/>
          <w:lang w:eastAsia="zh-CN"/>
        </w:rPr>
      </w:pPr>
      <w:r>
        <w:rPr>
          <w:rFonts w:hint="eastAsia" w:ascii="宋体" w:hAnsi="宋体" w:cs="宋体"/>
          <w:b/>
          <w:sz w:val="24"/>
          <w:szCs w:val="24"/>
        </w:rPr>
        <w:t>孟志强：</w:t>
      </w:r>
      <w:r>
        <w:rPr>
          <w:rFonts w:hint="eastAsia" w:ascii="宋体" w:hAnsi="宋体" w:cs="宋体"/>
          <w:bCs/>
          <w:sz w:val="24"/>
          <w:szCs w:val="24"/>
        </w:rPr>
        <w:t>北京时代兴邦企业管理顾问有限公司创始人；清华、北大、人大等高校特聘讲师、客座教授；国内“实战派”管理咨询专家</w:t>
      </w:r>
      <w:r>
        <w:rPr>
          <w:rFonts w:hint="eastAsia" w:ascii="宋体" w:hAnsi="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Cs/>
          <w:sz w:val="24"/>
          <w:szCs w:val="24"/>
          <w:lang w:val="en-US" w:eastAsia="zh-CN"/>
        </w:rPr>
      </w:pPr>
      <w:r>
        <w:rPr>
          <w:rFonts w:hint="eastAsia" w:ascii="宋体" w:hAnsi="宋体" w:cs="宋体"/>
          <w:b/>
          <w:sz w:val="24"/>
          <w:szCs w:val="24"/>
          <w:lang w:val="en-US" w:eastAsia="zh-CN"/>
        </w:rPr>
        <w:t>李力刚</w:t>
      </w:r>
      <w:r>
        <w:rPr>
          <w:rFonts w:hint="eastAsia" w:ascii="宋体" w:hAnsi="宋体" w:cs="宋体"/>
          <w:bCs/>
          <w:sz w:val="24"/>
          <w:szCs w:val="24"/>
          <w:lang w:val="en-US" w:eastAsia="zh-CN"/>
        </w:rPr>
        <w:t>：</w:t>
      </w:r>
      <w:r>
        <w:rPr>
          <w:rFonts w:hint="eastAsia" w:ascii="宋体" w:hAnsi="宋体" w:cs="宋体"/>
          <w:bCs/>
          <w:sz w:val="24"/>
          <w:szCs w:val="24"/>
        </w:rPr>
        <w:t>谈判与销售训练专家</w:t>
      </w:r>
      <w:r>
        <w:rPr>
          <w:rFonts w:hint="eastAsia" w:ascii="宋体" w:hAnsi="宋体" w:cs="宋体"/>
          <w:bCs/>
          <w:sz w:val="24"/>
          <w:szCs w:val="24"/>
          <w:lang w:eastAsia="zh-CN"/>
        </w:rPr>
        <w:t>，</w:t>
      </w:r>
      <w:r>
        <w:rPr>
          <w:rFonts w:hint="eastAsia" w:ascii="宋体" w:hAnsi="宋体" w:cs="宋体"/>
          <w:bCs/>
          <w:sz w:val="24"/>
          <w:szCs w:val="24"/>
        </w:rPr>
        <w:t>搜狐网络营销谈判顾问。中央人民广播电台、搜狐娱乐节目特聘嘉宾</w:t>
      </w:r>
      <w:r>
        <w:rPr>
          <w:rFonts w:hint="eastAsia" w:ascii="宋体" w:hAnsi="宋体" w:cs="宋体"/>
          <w:bCs/>
          <w:sz w:val="24"/>
          <w:szCs w:val="24"/>
          <w:lang w:eastAsia="zh-CN"/>
        </w:rPr>
        <w:t>，</w:t>
      </w:r>
      <w:r>
        <w:rPr>
          <w:rFonts w:hint="eastAsia" w:ascii="宋体" w:hAnsi="宋体" w:cs="宋体"/>
          <w:bCs/>
          <w:sz w:val="24"/>
          <w:szCs w:val="24"/>
        </w:rPr>
        <w:t>《东方视野》特聘培训专家</w:t>
      </w:r>
      <w:r>
        <w:rPr>
          <w:rFonts w:hint="eastAsia" w:ascii="宋体" w:hAnsi="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cs="宋体"/>
          <w:bCs/>
          <w:sz w:val="24"/>
          <w:szCs w:val="24"/>
        </w:rPr>
      </w:pPr>
      <w:r>
        <w:rPr>
          <w:rFonts w:hint="eastAsia" w:ascii="宋体" w:hAnsi="宋体" w:cs="宋体"/>
          <w:b/>
          <w:sz w:val="24"/>
          <w:szCs w:val="24"/>
          <w:lang w:val="en-US" w:eastAsia="zh-CN"/>
        </w:rPr>
        <w:t>陶  矜：</w:t>
      </w:r>
      <w:r>
        <w:rPr>
          <w:rFonts w:hint="eastAsia" w:ascii="宋体" w:hAnsi="宋体" w:cs="宋体"/>
          <w:bCs/>
          <w:sz w:val="24"/>
          <w:szCs w:val="24"/>
        </w:rPr>
        <w:t>合伙人机制股权激励实战专家、数十家</w:t>
      </w:r>
      <w:r>
        <w:rPr>
          <w:rFonts w:hint="default" w:ascii="宋体" w:hAnsi="宋体" w:cs="宋体"/>
          <w:bCs/>
          <w:sz w:val="24"/>
          <w:szCs w:val="24"/>
        </w:rPr>
        <w:fldChar w:fldCharType="begin"/>
      </w:r>
      <w:r>
        <w:rPr>
          <w:rFonts w:hint="default" w:ascii="宋体" w:hAnsi="宋体" w:cs="宋体"/>
          <w:bCs/>
          <w:sz w:val="24"/>
          <w:szCs w:val="24"/>
        </w:rPr>
        <w:instrText xml:space="preserve"> HYPERLINK "http://www.bosum.com.cn/bszx/zhanlue/2947.html" \t "http://www.bosum.com.cn/bszx/ziben/_blank" </w:instrText>
      </w:r>
      <w:r>
        <w:rPr>
          <w:rFonts w:hint="default" w:ascii="宋体" w:hAnsi="宋体" w:cs="宋体"/>
          <w:bCs/>
          <w:sz w:val="24"/>
          <w:szCs w:val="24"/>
        </w:rPr>
        <w:fldChar w:fldCharType="separate"/>
      </w:r>
      <w:r>
        <w:rPr>
          <w:rFonts w:hint="default" w:ascii="宋体" w:hAnsi="宋体" w:cs="宋体"/>
          <w:bCs/>
          <w:sz w:val="24"/>
          <w:szCs w:val="24"/>
        </w:rPr>
        <w:t>成长型企业</w:t>
      </w:r>
      <w:r>
        <w:rPr>
          <w:rFonts w:hint="default" w:ascii="宋体" w:hAnsi="宋体" w:cs="宋体"/>
          <w:bCs/>
          <w:sz w:val="24"/>
          <w:szCs w:val="24"/>
        </w:rPr>
        <w:fldChar w:fldCharType="end"/>
      </w:r>
      <w:r>
        <w:rPr>
          <w:rFonts w:hint="default" w:ascii="宋体" w:hAnsi="宋体" w:cs="宋体"/>
          <w:bCs/>
          <w:sz w:val="24"/>
          <w:szCs w:val="24"/>
        </w:rPr>
        <w:t>独立董事、富陶林咨询创始人、清华大学、中山大学EMBA特聘讲师、民企股权设计带头人。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cs="宋体"/>
          <w:bCs/>
          <w:sz w:val="24"/>
          <w:szCs w:val="24"/>
          <w:lang w:val="en-US" w:eastAsia="zh-CN"/>
        </w:rPr>
      </w:pPr>
      <w:r>
        <w:rPr>
          <w:rFonts w:hint="eastAsia" w:ascii="宋体" w:hAnsi="宋体" w:cs="宋体"/>
          <w:b/>
          <w:sz w:val="24"/>
          <w:szCs w:val="24"/>
          <w:lang w:val="en-US" w:eastAsia="zh-CN"/>
        </w:rPr>
        <w:t>宋  华</w:t>
      </w:r>
      <w:r>
        <w:rPr>
          <w:rFonts w:hint="eastAsia" w:ascii="宋体" w:hAnsi="宋体" w:cs="宋体"/>
          <w:bCs/>
          <w:sz w:val="24"/>
          <w:szCs w:val="24"/>
          <w:lang w:val="en-US" w:eastAsia="zh-CN"/>
        </w:rPr>
        <w:t>：</w:t>
      </w:r>
      <w:r>
        <w:rPr>
          <w:rFonts w:hint="eastAsia" w:ascii="宋体" w:hAnsi="宋体" w:cs="宋体"/>
          <w:bCs/>
          <w:sz w:val="24"/>
          <w:szCs w:val="24"/>
        </w:rPr>
        <w:t>中国人民大学商学院教授、博士研究生导师、副院长。兼任北京现代管理研究会会长、中国管理现代化研究会副秘书长、商务部市场调控专家库专家、南开现代物流研究中心兼职研究员等职。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Arial" w:hAnsi="Arial" w:cs="Arial"/>
          <w:sz w:val="24"/>
          <w:szCs w:val="24"/>
          <w:shd w:val="clear" w:color="auto" w:fill="FFFFFF"/>
        </w:rPr>
      </w:pPr>
      <w:r>
        <w:rPr>
          <w:rFonts w:hint="eastAsia" w:ascii="宋体" w:hAnsi="宋体" w:cs="宋体"/>
          <w:b/>
          <w:sz w:val="24"/>
          <w:szCs w:val="24"/>
        </w:rPr>
        <w:t>房西苑：</w:t>
      </w:r>
      <w:r>
        <w:rPr>
          <w:rFonts w:hint="eastAsia" w:ascii="Arial" w:hAnsi="Arial" w:cs="Arial"/>
          <w:sz w:val="24"/>
          <w:szCs w:val="24"/>
          <w:shd w:val="clear" w:color="auto" w:fill="FFFFFF"/>
        </w:rPr>
        <w:t>北京大学国际</w:t>
      </w:r>
      <w:r>
        <w:fldChar w:fldCharType="begin"/>
      </w:r>
      <w:r>
        <w:instrText xml:space="preserve"> HYPERLINK "https://baike.baidu.com/item/%E6%B3%95%E5%AD%A6%E5%A3%AB/3038574" \t "https://baike.baidu.com/item/%E6%88%BF%E8%A5%BF%E8%8B%91/_blank" </w:instrText>
      </w:r>
      <w:r>
        <w:fldChar w:fldCharType="separate"/>
      </w:r>
      <w:r>
        <w:rPr>
          <w:rStyle w:val="13"/>
          <w:rFonts w:ascii="Arial" w:hAnsi="Arial" w:cs="Arial"/>
          <w:color w:val="auto"/>
          <w:sz w:val="24"/>
          <w:szCs w:val="24"/>
          <w:u w:val="none"/>
          <w:shd w:val="clear" w:color="auto" w:fill="FFFFFF"/>
        </w:rPr>
        <w:t>法学士</w:t>
      </w:r>
      <w:r>
        <w:rPr>
          <w:rStyle w:val="13"/>
          <w:rFonts w:ascii="Arial" w:hAnsi="Arial" w:cs="Arial"/>
          <w:color w:val="auto"/>
          <w:sz w:val="24"/>
          <w:szCs w:val="24"/>
          <w:u w:val="none"/>
          <w:shd w:val="clear" w:color="auto" w:fill="FFFFFF"/>
        </w:rPr>
        <w:fldChar w:fldCharType="end"/>
      </w:r>
      <w:r>
        <w:rPr>
          <w:rFonts w:ascii="Arial" w:hAnsi="Arial" w:cs="Arial"/>
          <w:sz w:val="24"/>
          <w:szCs w:val="24"/>
          <w:shd w:val="clear" w:color="auto" w:fill="FFFFFF"/>
        </w:rPr>
        <w:t>，并获得</w:t>
      </w:r>
      <w:r>
        <w:fldChar w:fldCharType="begin"/>
      </w:r>
      <w:r>
        <w:instrText xml:space="preserve"> HYPERLINK "https://baike.baidu.com/item/%E7%BE%8E%E5%9B%BD%E7%BA%BD%E7%BA%A6%E9%95%BF%E5%B2%9B%E5%A4%A7%E5%AD%A6/8104870" \t "https://baike.baidu.com/item/%E6%88%BF%E8%A5%BF%E8%8B%91/_blank" </w:instrText>
      </w:r>
      <w:r>
        <w:fldChar w:fldCharType="separate"/>
      </w:r>
      <w:r>
        <w:rPr>
          <w:rStyle w:val="13"/>
          <w:rFonts w:ascii="Arial" w:hAnsi="Arial" w:cs="Arial"/>
          <w:color w:val="auto"/>
          <w:sz w:val="24"/>
          <w:szCs w:val="24"/>
          <w:u w:val="none"/>
          <w:shd w:val="clear" w:color="auto" w:fill="FFFFFF"/>
        </w:rPr>
        <w:t>美国纽约长岛大学</w:t>
      </w:r>
      <w:r>
        <w:rPr>
          <w:rStyle w:val="13"/>
          <w:rFonts w:ascii="Arial" w:hAnsi="Arial" w:cs="Arial"/>
          <w:color w:val="auto"/>
          <w:sz w:val="24"/>
          <w:szCs w:val="24"/>
          <w:u w:val="none"/>
          <w:shd w:val="clear" w:color="auto" w:fill="FFFFFF"/>
        </w:rPr>
        <w:fldChar w:fldCharType="end"/>
      </w:r>
      <w:r>
        <w:rPr>
          <w:rFonts w:ascii="Arial" w:hAnsi="Arial" w:cs="Arial"/>
          <w:sz w:val="24"/>
          <w:szCs w:val="24"/>
          <w:shd w:val="clear" w:color="auto" w:fill="FFFFFF"/>
        </w:rPr>
        <w:t>硕士学位，</w:t>
      </w:r>
      <w:r>
        <w:fldChar w:fldCharType="begin"/>
      </w:r>
      <w:r>
        <w:instrText xml:space="preserve"> HYPERLINK "https://baike.baidu.com/item/%E4%B8%AD%E5%9B%BD%E7%A7%91%E5%AD%A6%E9%99%A2%E7%A0%94%E7%A9%B6%E7%94%9F%E9%99%A2/112414" \t "https://baike.baidu.com/item/%E6%88%BF%E8%A5%BF%E8%8B%91/_blank" </w:instrText>
      </w:r>
      <w:r>
        <w:fldChar w:fldCharType="separate"/>
      </w:r>
      <w:r>
        <w:rPr>
          <w:rStyle w:val="13"/>
          <w:rFonts w:ascii="Arial" w:hAnsi="Arial" w:cs="Arial"/>
          <w:color w:val="auto"/>
          <w:sz w:val="24"/>
          <w:szCs w:val="24"/>
          <w:u w:val="none"/>
          <w:shd w:val="clear" w:color="auto" w:fill="FFFFFF"/>
        </w:rPr>
        <w:t>中国科学院研究生院</w:t>
      </w:r>
      <w:r>
        <w:rPr>
          <w:rStyle w:val="13"/>
          <w:rFonts w:ascii="Arial" w:hAnsi="Arial" w:cs="Arial"/>
          <w:color w:val="auto"/>
          <w:sz w:val="24"/>
          <w:szCs w:val="24"/>
          <w:u w:val="none"/>
          <w:shd w:val="clear" w:color="auto" w:fill="FFFFFF"/>
        </w:rPr>
        <w:fldChar w:fldCharType="end"/>
      </w:r>
      <w:r>
        <w:rPr>
          <w:rFonts w:ascii="Arial" w:hAnsi="Arial" w:cs="Arial"/>
          <w:sz w:val="24"/>
          <w:szCs w:val="24"/>
          <w:shd w:val="clear" w:color="auto" w:fill="FFFFFF"/>
        </w:rPr>
        <w:t>客座教授，北大教授、北京大学国情研究中心研究员，美加学院兼职</w:t>
      </w:r>
      <w:r>
        <w:fldChar w:fldCharType="begin"/>
      </w:r>
      <w:r>
        <w:instrText xml:space="preserve"> HYPERLINK "https://baike.baidu.com/item/%E6%95%99%E6%8E%88/9205820" \t "https://baike.baidu.com/item/%E6%88%BF%E8%A5%BF%E8%8B%91/_blank" </w:instrText>
      </w:r>
      <w:r>
        <w:fldChar w:fldCharType="separate"/>
      </w:r>
      <w:r>
        <w:rPr>
          <w:rStyle w:val="13"/>
          <w:rFonts w:ascii="Arial" w:hAnsi="Arial" w:cs="Arial"/>
          <w:color w:val="auto"/>
          <w:sz w:val="24"/>
          <w:szCs w:val="24"/>
          <w:u w:val="none"/>
          <w:shd w:val="clear" w:color="auto" w:fill="FFFFFF"/>
        </w:rPr>
        <w:t>教授</w:t>
      </w:r>
      <w:r>
        <w:rPr>
          <w:rStyle w:val="13"/>
          <w:rFonts w:ascii="Arial" w:hAnsi="Arial" w:cs="Arial"/>
          <w:color w:val="auto"/>
          <w:sz w:val="24"/>
          <w:szCs w:val="24"/>
          <w:u w:val="none"/>
          <w:shd w:val="clear" w:color="auto" w:fill="FFFFFF"/>
        </w:rPr>
        <w:fldChar w:fldCharType="end"/>
      </w:r>
      <w:r>
        <w:rPr>
          <w:rFonts w:ascii="Arial" w:hAnsi="Arial" w:cs="Arial"/>
          <w:sz w:val="24"/>
          <w:szCs w:val="24"/>
          <w:shd w:val="clear" w:color="auto" w:fill="FFFFFF"/>
        </w:rPr>
        <w:t>，</w:t>
      </w:r>
      <w:r>
        <w:fldChar w:fldCharType="begin"/>
      </w:r>
      <w:r>
        <w:instrText xml:space="preserve"> HYPERLINK "https://baike.baidu.com/item/%E7%BE%8E%E5%9B%BD%E9%A1%B9%E7%9B%AE%E7%AE%A1%E7%90%86%E5%8D%8F%E4%BC%9A/6852259" \t "https://baike.baidu.com/item/%E6%88%BF%E8%A5%BF%E8%8B%91/_blank" </w:instrText>
      </w:r>
      <w:r>
        <w:fldChar w:fldCharType="separate"/>
      </w:r>
      <w:r>
        <w:rPr>
          <w:rStyle w:val="13"/>
          <w:rFonts w:ascii="Arial" w:hAnsi="Arial" w:cs="Arial"/>
          <w:color w:val="auto"/>
          <w:sz w:val="24"/>
          <w:szCs w:val="24"/>
          <w:u w:val="none"/>
          <w:shd w:val="clear" w:color="auto" w:fill="FFFFFF"/>
        </w:rPr>
        <w:t>美国项目管理协会</w:t>
      </w:r>
      <w:r>
        <w:rPr>
          <w:rStyle w:val="13"/>
          <w:rFonts w:ascii="Arial" w:hAnsi="Arial" w:cs="Arial"/>
          <w:color w:val="auto"/>
          <w:sz w:val="24"/>
          <w:szCs w:val="24"/>
          <w:u w:val="none"/>
          <w:shd w:val="clear" w:color="auto" w:fill="FFFFFF"/>
        </w:rPr>
        <w:fldChar w:fldCharType="end"/>
      </w:r>
      <w:r>
        <w:rPr>
          <w:rFonts w:ascii="Arial" w:hAnsi="Arial" w:cs="Arial"/>
          <w:sz w:val="24"/>
          <w:szCs w:val="24"/>
          <w:shd w:val="clear" w:color="auto" w:fill="FFFFFF"/>
        </w:rPr>
        <w:t>会员兼培训教授，清华经管学院MBA教授。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Arial" w:hAnsi="Arial" w:cs="Arial"/>
          <w:b/>
          <w:bCs/>
          <w:sz w:val="24"/>
          <w:szCs w:val="24"/>
          <w:shd w:val="clear" w:color="auto" w:fill="FFFFFF"/>
          <w:lang w:val="en-US" w:eastAsia="zh-CN"/>
        </w:rPr>
        <w:t>金岩石：</w:t>
      </w:r>
      <w:r>
        <w:rPr>
          <w:rFonts w:hint="eastAsia" w:ascii="宋体" w:hAnsi="宋体" w:eastAsia="宋体" w:cs="宋体"/>
          <w:sz w:val="24"/>
          <w:szCs w:val="24"/>
          <w:lang w:val="en-US" w:eastAsia="zh-CN"/>
        </w:rPr>
        <w:t>博士、</w:t>
      </w:r>
      <w:r>
        <w:rPr>
          <w:rFonts w:hint="eastAsia" w:ascii="宋体" w:hAnsi="宋体" w:eastAsia="宋体" w:cs="宋体"/>
          <w:sz w:val="24"/>
          <w:szCs w:val="24"/>
        </w:rPr>
        <w:t>独立经济学家</w:t>
      </w:r>
      <w:r>
        <w:rPr>
          <w:rFonts w:hint="eastAsia" w:ascii="宋体" w:hAnsi="宋体" w:eastAsia="宋体" w:cs="宋体"/>
          <w:sz w:val="24"/>
          <w:szCs w:val="24"/>
          <w:lang w:eastAsia="zh-CN"/>
        </w:rPr>
        <w:t>，</w:t>
      </w:r>
      <w:r>
        <w:rPr>
          <w:rFonts w:hint="eastAsia" w:ascii="宋体" w:hAnsi="宋体" w:eastAsia="宋体" w:cs="宋体"/>
          <w:sz w:val="24"/>
          <w:szCs w:val="24"/>
        </w:rPr>
        <w:t>曾为</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"https://baike.so.com/doc/6154765-6367978.html" \t "https://baike.so.com/doc/_blank" </w:instrText>
      </w:r>
      <w:r>
        <w:rPr>
          <w:rFonts w:hint="eastAsia" w:ascii="宋体" w:hAnsi="宋体" w:eastAsia="宋体" w:cs="宋体"/>
          <w:sz w:val="24"/>
          <w:szCs w:val="24"/>
        </w:rPr>
        <w:fldChar w:fldCharType="separate"/>
      </w:r>
      <w:r>
        <w:rPr>
          <w:rFonts w:hint="eastAsia" w:ascii="宋体" w:hAnsi="宋体" w:eastAsia="宋体" w:cs="宋体"/>
          <w:sz w:val="24"/>
          <w:szCs w:val="24"/>
        </w:rPr>
        <w:t>国金证券</w:t>
      </w:r>
      <w:r>
        <w:rPr>
          <w:rFonts w:hint="eastAsia" w:ascii="宋体" w:hAnsi="宋体" w:eastAsia="宋体" w:cs="宋体"/>
          <w:sz w:val="24"/>
          <w:szCs w:val="24"/>
        </w:rPr>
        <w:fldChar w:fldCharType="end"/>
      </w:r>
      <w:r>
        <w:rPr>
          <w:rFonts w:hint="eastAsia" w:ascii="宋体" w:hAnsi="宋体" w:eastAsia="宋体" w:cs="宋体"/>
          <w:sz w:val="24"/>
          <w:szCs w:val="24"/>
        </w:rPr>
        <w:t>首席经济学家，被海内外媒体誉为"索罗斯的中国门徒"、"</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"https://baike.so.com/doc/1338282-1414840.html" \t "https://baike.so.com/doc/_blank" </w:instrText>
      </w:r>
      <w:r>
        <w:rPr>
          <w:rFonts w:hint="eastAsia" w:ascii="宋体" w:hAnsi="宋体" w:eastAsia="宋体" w:cs="宋体"/>
          <w:sz w:val="24"/>
          <w:szCs w:val="24"/>
        </w:rPr>
        <w:fldChar w:fldCharType="separate"/>
      </w:r>
      <w:r>
        <w:rPr>
          <w:rFonts w:hint="eastAsia" w:ascii="宋体" w:hAnsi="宋体" w:eastAsia="宋体" w:cs="宋体"/>
          <w:sz w:val="24"/>
          <w:szCs w:val="24"/>
        </w:rPr>
        <w:t>纳斯达克</w:t>
      </w:r>
      <w:r>
        <w:rPr>
          <w:rFonts w:hint="eastAsia" w:ascii="宋体" w:hAnsi="宋体" w:eastAsia="宋体" w:cs="宋体"/>
          <w:sz w:val="24"/>
          <w:szCs w:val="24"/>
        </w:rPr>
        <w:fldChar w:fldCharType="end"/>
      </w:r>
      <w:r>
        <w:rPr>
          <w:rFonts w:hint="eastAsia" w:ascii="宋体" w:hAnsi="宋体" w:eastAsia="宋体" w:cs="宋体"/>
          <w:sz w:val="24"/>
          <w:szCs w:val="24"/>
        </w:rPr>
        <w:t>市场的活字典"。</w:t>
      </w:r>
    </w:p>
    <w:p>
      <w:pPr>
        <w:pStyle w:val="5"/>
        <w:keepNext w:val="0"/>
        <w:keepLines w:val="0"/>
        <w:widowControl/>
        <w:suppressLineNumbers w:val="0"/>
        <w:shd w:val="clear" w:fill="FFFFFF"/>
        <w:spacing w:before="0" w:beforeAutospacing="0" w:after="120" w:afterAutospacing="0"/>
        <w:ind w:left="0" w:right="0" w:firstLine="482" w:firstLineChars="200"/>
        <w:rPr>
          <w:rFonts w:hint="default" w:ascii="Arial" w:hAnsi="Arial" w:eastAsia="宋体" w:cs="Arial"/>
          <w:kern w:val="2"/>
          <w:sz w:val="24"/>
          <w:szCs w:val="24"/>
          <w:shd w:val="clear" w:color="auto" w:fill="FFFFFF"/>
          <w:lang w:val="en-US" w:eastAsia="zh-CN" w:bidi="ar-SA"/>
        </w:rPr>
      </w:pPr>
      <w:r>
        <w:rPr>
          <w:rFonts w:hint="eastAsia" w:ascii="宋体" w:hAnsi="宋体" w:cs="宋体"/>
          <w:b/>
          <w:sz w:val="24"/>
          <w:szCs w:val="24"/>
          <w:lang w:val="en-US" w:eastAsia="zh-CN"/>
        </w:rPr>
        <w:t>吴梓境</w:t>
      </w:r>
      <w:r>
        <w:rPr>
          <w:rFonts w:hint="eastAsia" w:ascii="宋体" w:hAnsi="宋体" w:cs="宋体"/>
          <w:b/>
          <w:kern w:val="2"/>
          <w:sz w:val="24"/>
          <w:szCs w:val="24"/>
          <w:lang w:val="en-US" w:eastAsia="zh-CN" w:bidi="ar-SA"/>
        </w:rPr>
        <w:t>：</w:t>
      </w:r>
      <w:r>
        <w:rPr>
          <w:rFonts w:hint="eastAsia" w:ascii="Arial" w:hAnsi="Arial" w:eastAsia="宋体" w:cs="Arial"/>
          <w:kern w:val="2"/>
          <w:sz w:val="24"/>
          <w:szCs w:val="24"/>
          <w:shd w:val="clear" w:color="auto" w:fill="FFFFFF"/>
          <w:lang w:val="en-US" w:eastAsia="zh-CN" w:bidi="ar-SA"/>
        </w:rPr>
        <w:t>资本运营实战专家</w:t>
      </w:r>
      <w:r>
        <w:rPr>
          <w:rFonts w:hint="eastAsia" w:ascii="Arial" w:hAnsi="Arial" w:cs="Arial"/>
          <w:kern w:val="2"/>
          <w:sz w:val="24"/>
          <w:szCs w:val="24"/>
          <w:shd w:val="clear" w:color="auto" w:fill="FFFFFF"/>
          <w:lang w:val="en-US" w:eastAsia="zh-CN" w:bidi="ar-SA"/>
        </w:rPr>
        <w:t>，</w:t>
      </w:r>
      <w:r>
        <w:rPr>
          <w:rFonts w:hint="eastAsia" w:ascii="Arial" w:hAnsi="Arial" w:eastAsia="宋体" w:cs="Arial"/>
          <w:kern w:val="2"/>
          <w:sz w:val="24"/>
          <w:szCs w:val="24"/>
          <w:shd w:val="clear" w:color="auto" w:fill="FFFFFF"/>
          <w:lang w:val="en-US" w:eastAsia="zh-CN" w:bidi="ar-SA"/>
        </w:rPr>
        <w:t>北京师范大学博士</w:t>
      </w:r>
      <w:r>
        <w:rPr>
          <w:rFonts w:hint="eastAsia" w:ascii="Arial" w:hAnsi="Arial" w:cs="Arial"/>
          <w:kern w:val="2"/>
          <w:sz w:val="24"/>
          <w:szCs w:val="24"/>
          <w:shd w:val="clear" w:color="auto" w:fill="FFFFFF"/>
          <w:lang w:val="en-US" w:eastAsia="zh-CN" w:bidi="ar-SA"/>
        </w:rPr>
        <w:t>，</w:t>
      </w:r>
      <w:r>
        <w:rPr>
          <w:rFonts w:hint="eastAsia" w:ascii="Arial" w:hAnsi="Arial" w:eastAsia="宋体" w:cs="Arial"/>
          <w:kern w:val="2"/>
          <w:sz w:val="24"/>
          <w:szCs w:val="24"/>
          <w:shd w:val="clear" w:color="auto" w:fill="FFFFFF"/>
          <w:lang w:val="en-US" w:eastAsia="zh-CN" w:bidi="ar-SA"/>
        </w:rPr>
        <w:t>北京大学总裁班高级讲师</w:t>
      </w:r>
      <w:r>
        <w:rPr>
          <w:rFonts w:hint="eastAsia" w:ascii="Arial" w:hAnsi="Arial" w:cs="Arial"/>
          <w:kern w:val="2"/>
          <w:sz w:val="24"/>
          <w:szCs w:val="24"/>
          <w:shd w:val="clear" w:color="auto" w:fill="FFFFFF"/>
          <w:lang w:val="en-US" w:eastAsia="zh-CN" w:bidi="ar-SA"/>
        </w:rPr>
        <w:t>，</w:t>
      </w:r>
      <w:r>
        <w:rPr>
          <w:rFonts w:hint="eastAsia" w:ascii="Arial" w:hAnsi="Arial" w:eastAsia="宋体" w:cs="Arial"/>
          <w:kern w:val="2"/>
          <w:sz w:val="24"/>
          <w:szCs w:val="24"/>
          <w:shd w:val="clear" w:color="auto" w:fill="FFFFFF"/>
          <w:lang w:val="en-US" w:eastAsia="zh-CN" w:bidi="ar-SA"/>
        </w:rPr>
        <w:t>共享资本高级合伙人</w:t>
      </w:r>
      <w:r>
        <w:rPr>
          <w:rFonts w:hint="eastAsia" w:ascii="Arial" w:hAnsi="Arial" w:cs="Arial"/>
          <w:kern w:val="2"/>
          <w:sz w:val="24"/>
          <w:szCs w:val="24"/>
          <w:shd w:val="clear" w:color="auto" w:fill="FFFFFF"/>
          <w:lang w:val="en-US" w:eastAsia="zh-CN" w:bidi="ar-SA"/>
        </w:rPr>
        <w:t>，</w:t>
      </w:r>
      <w:r>
        <w:rPr>
          <w:rFonts w:hint="eastAsia" w:ascii="Arial" w:hAnsi="Arial" w:eastAsia="宋体" w:cs="Arial"/>
          <w:kern w:val="2"/>
          <w:sz w:val="24"/>
          <w:szCs w:val="24"/>
          <w:shd w:val="clear" w:color="auto" w:fill="FFFFFF"/>
          <w:lang w:val="en-US" w:eastAsia="zh-CN" w:bidi="ar-SA"/>
        </w:rPr>
        <w:t>资本模式理论（CMT）创始人</w:t>
      </w:r>
      <w:r>
        <w:rPr>
          <w:rFonts w:hint="eastAsia" w:ascii="Arial" w:hAnsi="Arial" w:cs="Arial"/>
          <w:kern w:val="2"/>
          <w:sz w:val="24"/>
          <w:szCs w:val="24"/>
          <w:shd w:val="clear" w:color="auto" w:fill="FFFFFF"/>
          <w:lang w:val="en-US" w:eastAsia="zh-CN" w:bidi="ar-SA"/>
        </w:rPr>
        <w:t>，</w:t>
      </w:r>
      <w:r>
        <w:rPr>
          <w:rFonts w:hint="eastAsia" w:ascii="Arial" w:hAnsi="Arial" w:eastAsia="宋体" w:cs="Arial"/>
          <w:kern w:val="2"/>
          <w:sz w:val="24"/>
          <w:szCs w:val="24"/>
          <w:shd w:val="clear" w:color="auto" w:fill="FFFFFF"/>
          <w:lang w:val="en-US" w:eastAsia="zh-CN" w:bidi="ar-SA"/>
        </w:rPr>
        <w:t>十多年金融行业经验、实操近百个资本运营项目</w:t>
      </w:r>
      <w:r>
        <w:rPr>
          <w:rFonts w:hint="eastAsia" w:ascii="Arial" w:hAnsi="Arial" w:cs="Arial"/>
          <w:kern w:val="2"/>
          <w:sz w:val="24"/>
          <w:szCs w:val="24"/>
          <w:shd w:val="clear" w:color="auto" w:fill="FFFFFF"/>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Arial" w:hAnsi="Arial" w:eastAsia="宋体" w:cs="Arial"/>
          <w:kern w:val="2"/>
          <w:sz w:val="24"/>
          <w:szCs w:val="24"/>
          <w:shd w:val="clear" w:color="auto" w:fill="FFFFFF"/>
          <w:lang w:val="en-US" w:eastAsia="zh-CN" w:bidi="ar-SA"/>
        </w:rPr>
      </w:pPr>
      <w:r>
        <w:rPr>
          <w:rFonts w:hint="eastAsia" w:ascii="宋体" w:hAnsi="宋体" w:cs="宋体"/>
          <w:b/>
          <w:sz w:val="24"/>
          <w:szCs w:val="24"/>
          <w:lang w:val="en-US" w:eastAsia="zh-CN"/>
        </w:rPr>
        <w:t>庞  红：</w:t>
      </w:r>
      <w:r>
        <w:rPr>
          <w:rFonts w:hint="eastAsia" w:ascii="Arial" w:hAnsi="Arial" w:eastAsia="宋体" w:cs="Arial"/>
          <w:kern w:val="2"/>
          <w:sz w:val="24"/>
          <w:szCs w:val="24"/>
          <w:shd w:val="clear" w:color="auto" w:fill="FFFFFF"/>
          <w:lang w:val="en-US" w:eastAsia="zh-CN" w:bidi="ar-SA"/>
        </w:rPr>
        <w:t>中国人大财政金融学院教授</w:t>
      </w:r>
      <w:r>
        <w:rPr>
          <w:rFonts w:hint="eastAsia" w:ascii="Arial" w:hAnsi="Arial" w:cs="Arial"/>
          <w:kern w:val="2"/>
          <w:sz w:val="24"/>
          <w:szCs w:val="24"/>
          <w:shd w:val="clear" w:color="auto" w:fill="FFFFFF"/>
          <w:lang w:val="en-US" w:eastAsia="zh-CN" w:bidi="ar-SA"/>
        </w:rPr>
        <w:t>，</w:t>
      </w:r>
      <w:r>
        <w:rPr>
          <w:rFonts w:hint="eastAsia" w:ascii="Arial" w:hAnsi="Arial" w:eastAsia="宋体" w:cs="Arial"/>
          <w:kern w:val="2"/>
          <w:sz w:val="24"/>
          <w:szCs w:val="24"/>
          <w:shd w:val="clear" w:color="auto" w:fill="FFFFFF"/>
          <w:lang w:val="en-US" w:eastAsia="zh-CN" w:bidi="ar-SA"/>
        </w:rPr>
        <w:t>清华金融MBA特聘教授，北京经济学院金融高管培训特聘教授，西交大EMBA特聘教授，中原银行独立董事，国家职业技能鉴定专家委员会理财规划师专业委员会专家委员。</w:t>
      </w:r>
    </w:p>
    <w:p>
      <w:pPr>
        <w:ind w:left="141" w:hanging="161" w:hangingChars="50"/>
        <w:rPr>
          <w:rStyle w:val="9"/>
          <w:rFonts w:hint="eastAsia" w:ascii="Calibri" w:hAnsi="Calibri" w:eastAsia="楷体" w:cs="Calibri"/>
          <w:color w:val="9C0000"/>
          <w:sz w:val="32"/>
          <w:szCs w:val="32"/>
          <w:shd w:val="clear" w:color="auto" w:fill="FFFFFF"/>
          <w:lang w:val="en-US" w:eastAsia="zh-CN"/>
        </w:rPr>
      </w:pPr>
      <w:r>
        <w:rPr>
          <w:rStyle w:val="9"/>
          <w:rFonts w:hint="eastAsia" w:ascii="Calibri" w:hAnsi="Calibri" w:eastAsia="楷体" w:cs="Calibri"/>
          <w:color w:val="9C0000"/>
          <w:sz w:val="32"/>
          <w:szCs w:val="32"/>
          <w:shd w:val="clear" w:color="auto" w:fill="FFFFFF"/>
          <w:lang w:val="en-US" w:eastAsia="zh-CN"/>
        </w:rPr>
        <w:t>【招生报名】</w:t>
      </w:r>
    </w:p>
    <w:p>
      <w:pPr>
        <w:ind w:left="141" w:hanging="161" w:hangingChars="50"/>
        <w:rPr>
          <w:rStyle w:val="9"/>
          <w:rFonts w:hint="eastAsia" w:ascii="Calibri" w:hAnsi="Calibri" w:eastAsia="楷体" w:cs="Calibri"/>
          <w:color w:val="9C000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Style w:val="9"/>
          <w:rFonts w:hint="eastAsia" w:ascii="仿宋" w:hAnsi="仿宋" w:eastAsia="仿宋" w:cs="仿宋"/>
          <w:color w:val="000000"/>
          <w:sz w:val="28"/>
          <w:szCs w:val="28"/>
        </w:rPr>
      </w:pPr>
      <w:r>
        <w:rPr>
          <w:rStyle w:val="9"/>
          <w:rFonts w:hint="eastAsia" w:ascii="仿宋" w:hAnsi="仿宋" w:eastAsia="仿宋" w:cs="仿宋"/>
          <w:color w:val="000000"/>
          <w:sz w:val="28"/>
          <w:szCs w:val="28"/>
        </w:rPr>
        <w:t>招生对象：</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宋体" w:hAnsi="宋体" w:cs="宋体"/>
          <w:kern w:val="2"/>
          <w:sz w:val="24"/>
          <w:szCs w:val="24"/>
          <w:lang w:eastAsia="zh-CN"/>
        </w:rPr>
      </w:pPr>
      <w:r>
        <w:rPr>
          <w:rFonts w:hint="eastAsia" w:ascii="宋体" w:hAnsi="宋体" w:cs="宋体"/>
          <w:kern w:val="2"/>
          <w:sz w:val="24"/>
          <w:szCs w:val="24"/>
          <w:lang w:val="en-US" w:eastAsia="zh-CN"/>
        </w:rPr>
        <w:t>个人</w:t>
      </w:r>
      <w:r>
        <w:rPr>
          <w:rFonts w:hint="eastAsia" w:ascii="宋体" w:hAnsi="宋体" w:cs="宋体"/>
          <w:kern w:val="2"/>
          <w:sz w:val="24"/>
          <w:szCs w:val="24"/>
        </w:rPr>
        <w:t>投资者、公司董事长、执行董事、控股股东、成长型企业负责人、新生代企业家及传承人等</w:t>
      </w:r>
      <w:r>
        <w:rPr>
          <w:rFonts w:hint="eastAsia" w:ascii="宋体" w:hAnsi="宋体" w:cs="宋体"/>
          <w:kern w:val="2"/>
          <w:sz w:val="24"/>
          <w:szCs w:val="24"/>
          <w:lang w:eastAsia="zh-CN"/>
        </w:rPr>
        <w:t>；</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宋体" w:hAnsi="宋体" w:cs="宋体"/>
          <w:kern w:val="2"/>
          <w:sz w:val="24"/>
          <w:szCs w:val="24"/>
          <w:lang w:val="en-US" w:eastAsia="zh-CN"/>
        </w:rPr>
      </w:pPr>
      <w:r>
        <w:rPr>
          <w:rFonts w:hint="eastAsia" w:ascii="宋体" w:hAnsi="宋体" w:cs="宋体"/>
          <w:kern w:val="2"/>
          <w:sz w:val="24"/>
          <w:szCs w:val="24"/>
          <w:lang w:val="en-US" w:eastAsia="zh-CN"/>
        </w:rPr>
        <w:t>企业年营业2000万以上，总资产5000万以上；</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宋体" w:hAnsi="宋体" w:cs="宋体"/>
          <w:kern w:val="2"/>
          <w:sz w:val="24"/>
          <w:szCs w:val="24"/>
          <w:lang w:val="en-US" w:eastAsia="zh-CN"/>
        </w:rPr>
      </w:pPr>
      <w:r>
        <w:rPr>
          <w:rFonts w:hint="eastAsia" w:ascii="宋体" w:hAnsi="宋体" w:cs="宋体"/>
          <w:kern w:val="2"/>
          <w:sz w:val="24"/>
          <w:szCs w:val="24"/>
          <w:lang w:val="en-US" w:eastAsia="zh-CN"/>
        </w:rPr>
        <w:t>管理经验3年及以上。</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kern w:val="2"/>
          <w:sz w:val="24"/>
          <w:szCs w:val="24"/>
          <w:lang w:val="en-US" w:eastAsia="zh-CN" w:bidi="ar-SA"/>
        </w:rPr>
      </w:pPr>
      <w:r>
        <w:rPr>
          <w:rStyle w:val="9"/>
          <w:rFonts w:hint="eastAsia" w:ascii="仿宋" w:hAnsi="仿宋" w:eastAsia="仿宋" w:cs="仿宋"/>
          <w:color w:val="000000"/>
          <w:kern w:val="2"/>
          <w:sz w:val="28"/>
          <w:szCs w:val="28"/>
          <w:lang w:val="en-US" w:eastAsia="zh-CN" w:bidi="ar-SA"/>
        </w:rPr>
        <w:t>学制学时</w:t>
      </w:r>
      <w:r>
        <w:rPr>
          <w:rStyle w:val="9"/>
          <w:rFonts w:hint="eastAsia" w:ascii="仿宋" w:hAnsi="仿宋" w:eastAsia="仿宋" w:cs="仿宋"/>
          <w:color w:val="000000"/>
        </w:rPr>
        <w:t>：</w:t>
      </w:r>
      <w:r>
        <w:rPr>
          <w:rFonts w:hint="eastAsia" w:ascii="宋体" w:hAnsi="宋体" w:eastAsia="宋体" w:cs="宋体"/>
          <w:kern w:val="2"/>
          <w:sz w:val="24"/>
          <w:szCs w:val="24"/>
          <w:lang w:val="en-US" w:eastAsia="zh-CN" w:bidi="ar-SA"/>
        </w:rPr>
        <w:t>学制1</w:t>
      </w:r>
      <w:r>
        <w:rPr>
          <w:rFonts w:hint="eastAsia" w:ascii="宋体" w:hAnsi="宋体" w:cs="宋体"/>
          <w:kern w:val="2"/>
          <w:sz w:val="24"/>
          <w:szCs w:val="24"/>
          <w:lang w:val="en-US" w:eastAsia="zh-CN" w:bidi="ar-SA"/>
        </w:rPr>
        <w:t>6</w:t>
      </w:r>
      <w:r>
        <w:rPr>
          <w:rFonts w:hint="eastAsia" w:ascii="宋体" w:hAnsi="宋体" w:eastAsia="宋体" w:cs="宋体"/>
          <w:kern w:val="2"/>
          <w:sz w:val="24"/>
          <w:szCs w:val="24"/>
          <w:lang w:val="en-US" w:eastAsia="zh-CN" w:bidi="ar-SA"/>
        </w:rPr>
        <w:t>个月</w:t>
      </w:r>
      <w:r>
        <w:rPr>
          <w:rFonts w:hint="eastAsia" w:ascii="宋体" w:hAnsi="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，每月集中2天(周六、周日)授课，12门核心课程，循环上课。</w:t>
      </w:r>
    </w:p>
    <w:p>
      <w:pPr>
        <w:pStyle w:val="5"/>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kern w:val="2"/>
          <w:sz w:val="24"/>
          <w:szCs w:val="24"/>
          <w:lang w:val="en-US" w:eastAsia="zh-CN" w:bidi="ar-SA"/>
        </w:rPr>
      </w:pPr>
      <w:r>
        <w:rPr>
          <w:rStyle w:val="9"/>
          <w:rFonts w:hint="eastAsia" w:ascii="仿宋" w:hAnsi="仿宋" w:eastAsia="仿宋" w:cs="仿宋"/>
          <w:color w:val="000000"/>
          <w:kern w:val="2"/>
          <w:sz w:val="28"/>
          <w:szCs w:val="28"/>
          <w:lang w:val="en-US" w:eastAsia="zh-CN" w:bidi="ar-SA"/>
        </w:rPr>
        <w:t>课程时间</w:t>
      </w:r>
      <w:r>
        <w:rPr>
          <w:rFonts w:hint="eastAsia" w:ascii="仿宋" w:hAnsi="仿宋" w:eastAsia="仿宋" w:cs="仿宋"/>
          <w:color w:val="000000"/>
          <w:lang w:val="en-US" w:eastAsia="zh-CN"/>
        </w:rPr>
        <w:t>：</w:t>
      </w:r>
      <w:r>
        <w:rPr>
          <w:rFonts w:hint="eastAsia" w:ascii="宋体" w:hAnsi="宋体" w:eastAsia="宋体" w:cs="宋体"/>
          <w:kern w:val="2"/>
          <w:sz w:val="24"/>
          <w:szCs w:val="24"/>
          <w:lang w:val="en-US" w:eastAsia="zh-CN" w:bidi="ar-SA"/>
        </w:rPr>
        <w:t>上午：09：00—12：00、下午：14：00—17：00。</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default" w:ascii="宋体" w:hAnsi="宋体" w:eastAsia="宋体" w:cs="宋体"/>
          <w:kern w:val="2"/>
          <w:sz w:val="24"/>
          <w:szCs w:val="24"/>
          <w:lang w:val="en-US" w:eastAsia="zh-CN" w:bidi="ar-SA"/>
        </w:rPr>
      </w:pPr>
      <w:r>
        <w:rPr>
          <w:rStyle w:val="9"/>
          <w:rFonts w:hint="eastAsia" w:ascii="仿宋" w:hAnsi="仿宋" w:eastAsia="仿宋" w:cs="仿宋"/>
          <w:color w:val="000000"/>
          <w:kern w:val="2"/>
          <w:sz w:val="28"/>
          <w:szCs w:val="28"/>
          <w:lang w:val="en-US" w:eastAsia="zh-CN" w:bidi="ar-SA"/>
        </w:rPr>
        <w:t>证书颁发</w:t>
      </w:r>
      <w:r>
        <w:rPr>
          <w:rFonts w:hint="eastAsia" w:ascii="仿宋" w:hAnsi="仿宋" w:eastAsia="仿宋" w:cs="仿宋"/>
          <w:color w:val="000000"/>
          <w:lang w:val="en-US" w:eastAsia="zh-CN"/>
        </w:rPr>
        <w:t>：</w:t>
      </w:r>
      <w:r>
        <w:rPr>
          <w:rFonts w:hint="eastAsia" w:ascii="宋体" w:hAnsi="宋体" w:eastAsia="宋体" w:cs="宋体"/>
          <w:kern w:val="2"/>
          <w:sz w:val="24"/>
          <w:szCs w:val="24"/>
          <w:lang w:val="en-US" w:eastAsia="zh-CN" w:bidi="ar-SA"/>
        </w:rPr>
        <w:t>完成所有课程并经中心考评合格后，可获得郑州大学</w:t>
      </w:r>
      <w:r>
        <w:rPr>
          <w:rFonts w:hint="eastAsia" w:ascii="宋体" w:hAnsi="宋体" w:cs="宋体"/>
          <w:kern w:val="2"/>
          <w:sz w:val="24"/>
          <w:szCs w:val="24"/>
          <w:lang w:val="en-US" w:eastAsia="zh-CN" w:bidi="ar-SA"/>
        </w:rPr>
        <w:t>干部培训中心</w:t>
      </w:r>
      <w:r>
        <w:rPr>
          <w:rFonts w:hint="eastAsia" w:ascii="宋体" w:hAnsi="宋体" w:eastAsia="宋体" w:cs="宋体"/>
          <w:kern w:val="2"/>
          <w:sz w:val="24"/>
          <w:szCs w:val="24"/>
          <w:lang w:val="en-US" w:eastAsia="zh-CN" w:bidi="ar-SA"/>
        </w:rPr>
        <w:t>颁发的结业证书。</w:t>
      </w:r>
    </w:p>
    <w:p>
      <w:pPr>
        <w:pStyle w:val="5"/>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kern w:val="2"/>
          <w:sz w:val="24"/>
          <w:szCs w:val="24"/>
          <w:lang w:val="en-US" w:eastAsia="zh-CN" w:bidi="ar-SA"/>
        </w:rPr>
      </w:pPr>
      <w:r>
        <w:rPr>
          <w:rStyle w:val="9"/>
          <w:rFonts w:hint="eastAsia" w:ascii="仿宋" w:hAnsi="仿宋" w:eastAsia="仿宋" w:cs="仿宋"/>
          <w:color w:val="000000"/>
          <w:kern w:val="2"/>
          <w:sz w:val="28"/>
          <w:szCs w:val="28"/>
          <w:lang w:val="en-US" w:eastAsia="zh-CN" w:bidi="ar-SA"/>
        </w:rPr>
        <w:t>授课地点</w:t>
      </w:r>
      <w:r>
        <w:rPr>
          <w:rFonts w:hint="eastAsia" w:ascii="仿宋" w:hAnsi="仿宋" w:eastAsia="仿宋" w:cs="仿宋"/>
          <w:color w:val="000000"/>
        </w:rPr>
        <w:t>：</w:t>
      </w:r>
      <w:r>
        <w:rPr>
          <w:rFonts w:hint="eastAsia" w:ascii="宋体" w:hAnsi="宋体" w:eastAsia="宋体" w:cs="宋体"/>
          <w:kern w:val="2"/>
          <w:sz w:val="24"/>
          <w:szCs w:val="24"/>
          <w:lang w:val="en-US" w:eastAsia="zh-CN" w:bidi="ar-SA"/>
        </w:rPr>
        <w:t>郑州大学</w:t>
      </w:r>
    </w:p>
    <w:p>
      <w:pPr>
        <w:pStyle w:val="5"/>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kern w:val="2"/>
          <w:sz w:val="24"/>
          <w:szCs w:val="24"/>
          <w:lang w:val="en-US" w:eastAsia="zh-CN" w:bidi="ar-SA"/>
        </w:rPr>
      </w:pPr>
      <w:r>
        <w:rPr>
          <w:rStyle w:val="9"/>
          <w:rFonts w:hint="eastAsia" w:ascii="仿宋" w:hAnsi="仿宋" w:eastAsia="仿宋" w:cs="仿宋"/>
          <w:color w:val="000000"/>
          <w:kern w:val="2"/>
          <w:sz w:val="28"/>
          <w:szCs w:val="28"/>
          <w:lang w:val="en-US" w:eastAsia="zh-CN" w:bidi="ar-SA"/>
        </w:rPr>
        <w:t>学   费</w:t>
      </w:r>
      <w:r>
        <w:rPr>
          <w:rFonts w:hint="eastAsia" w:ascii="仿宋" w:hAnsi="仿宋" w:eastAsia="仿宋" w:cs="仿宋"/>
          <w:color w:val="000000"/>
        </w:rPr>
        <w:t>：</w:t>
      </w:r>
      <w:r>
        <w:rPr>
          <w:rFonts w:hint="eastAsia" w:ascii="宋体" w:hAnsi="宋体" w:cs="宋体"/>
          <w:kern w:val="2"/>
          <w:sz w:val="24"/>
          <w:szCs w:val="24"/>
          <w:lang w:val="en-US" w:eastAsia="zh-CN" w:bidi="ar-SA"/>
        </w:rPr>
        <w:t>42</w:t>
      </w:r>
      <w:r>
        <w:rPr>
          <w:rFonts w:hint="eastAsia" w:ascii="宋体" w:hAnsi="宋体" w:eastAsia="宋体" w:cs="宋体"/>
          <w:kern w:val="2"/>
          <w:sz w:val="24"/>
          <w:szCs w:val="24"/>
          <w:lang w:val="en-US" w:eastAsia="zh-CN" w:bidi="ar-SA"/>
        </w:rPr>
        <w:t>800元/人，包括授课费、讲义资料费、茶点费用等（餐费、住宿费、交通费及游学期间的其他费用自理）</w:t>
      </w:r>
    </w:p>
    <w:p>
      <w:pPr>
        <w:pStyle w:val="5"/>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4"/>
          <w:szCs w:val="24"/>
          <w:lang w:val="en-US" w:eastAsia="zh-CN"/>
        </w:rPr>
      </w:pPr>
      <w:bookmarkStart w:id="0" w:name="_GoBack"/>
      <w:bookmarkEnd w:id="0"/>
    </w:p>
    <w:sectPr>
      <w:headerReference r:id="rId3" w:type="default"/>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onsolas">
    <w:panose1 w:val="020B0609020204030204"/>
    <w:charset w:val="00"/>
    <w:family w:val="modern"/>
    <w:pitch w:val="default"/>
    <w:sig w:usb0="E10002FF" w:usb1="4000FCFF" w:usb2="00000009" w:usb3="00000000" w:csb0="6000019F" w:csb1="DFD7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方正正中黑简体">
    <w:altName w:val="黑体"/>
    <w:panose1 w:val="02000000000000000000"/>
    <w:charset w:val="86"/>
    <w:family w:val="auto"/>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E97990"/>
    <w:multiLevelType w:val="singleLevel"/>
    <w:tmpl w:val="0BE9799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32"/>
    <w:rsid w:val="00005BCC"/>
    <w:rsid w:val="00020299"/>
    <w:rsid w:val="00035422"/>
    <w:rsid w:val="00041B53"/>
    <w:rsid w:val="000A0132"/>
    <w:rsid w:val="000A0FE3"/>
    <w:rsid w:val="000A43F6"/>
    <w:rsid w:val="000D2258"/>
    <w:rsid w:val="000E6DA9"/>
    <w:rsid w:val="00171AE3"/>
    <w:rsid w:val="0019063D"/>
    <w:rsid w:val="001A0577"/>
    <w:rsid w:val="00216139"/>
    <w:rsid w:val="00223B11"/>
    <w:rsid w:val="0022611A"/>
    <w:rsid w:val="00294B46"/>
    <w:rsid w:val="0037144E"/>
    <w:rsid w:val="00417C96"/>
    <w:rsid w:val="00457845"/>
    <w:rsid w:val="00475E7B"/>
    <w:rsid w:val="00490156"/>
    <w:rsid w:val="004E4FF8"/>
    <w:rsid w:val="004F4A2E"/>
    <w:rsid w:val="00527DA5"/>
    <w:rsid w:val="005437F0"/>
    <w:rsid w:val="00544738"/>
    <w:rsid w:val="00571445"/>
    <w:rsid w:val="00582147"/>
    <w:rsid w:val="005B0ACE"/>
    <w:rsid w:val="005C2079"/>
    <w:rsid w:val="00623558"/>
    <w:rsid w:val="0068355B"/>
    <w:rsid w:val="0069419E"/>
    <w:rsid w:val="006A19A9"/>
    <w:rsid w:val="006A32C1"/>
    <w:rsid w:val="006C35E2"/>
    <w:rsid w:val="00731778"/>
    <w:rsid w:val="00741261"/>
    <w:rsid w:val="00750FA1"/>
    <w:rsid w:val="0078426B"/>
    <w:rsid w:val="007E1927"/>
    <w:rsid w:val="00814301"/>
    <w:rsid w:val="008171F1"/>
    <w:rsid w:val="008203F2"/>
    <w:rsid w:val="008C7001"/>
    <w:rsid w:val="00937A2A"/>
    <w:rsid w:val="00990429"/>
    <w:rsid w:val="009E2C53"/>
    <w:rsid w:val="00A1305F"/>
    <w:rsid w:val="00A258FE"/>
    <w:rsid w:val="00A32DA7"/>
    <w:rsid w:val="00A43700"/>
    <w:rsid w:val="00B11B40"/>
    <w:rsid w:val="00BE7740"/>
    <w:rsid w:val="00C56BB6"/>
    <w:rsid w:val="00C716D0"/>
    <w:rsid w:val="00C9492E"/>
    <w:rsid w:val="00CA0378"/>
    <w:rsid w:val="00CA3632"/>
    <w:rsid w:val="00CD02D0"/>
    <w:rsid w:val="00CD3632"/>
    <w:rsid w:val="00CF4041"/>
    <w:rsid w:val="00D22501"/>
    <w:rsid w:val="00D33F8A"/>
    <w:rsid w:val="00D651DF"/>
    <w:rsid w:val="00D81CEB"/>
    <w:rsid w:val="00DC4674"/>
    <w:rsid w:val="00DE1D98"/>
    <w:rsid w:val="00E066B3"/>
    <w:rsid w:val="00E155D9"/>
    <w:rsid w:val="00E765CD"/>
    <w:rsid w:val="00E805A5"/>
    <w:rsid w:val="00E9696A"/>
    <w:rsid w:val="00EC1333"/>
    <w:rsid w:val="00EE7912"/>
    <w:rsid w:val="00F00C38"/>
    <w:rsid w:val="00F52AE9"/>
    <w:rsid w:val="00FA2CD4"/>
    <w:rsid w:val="00FB197C"/>
    <w:rsid w:val="00FC3A43"/>
    <w:rsid w:val="01170FC1"/>
    <w:rsid w:val="016A1030"/>
    <w:rsid w:val="01CA5E71"/>
    <w:rsid w:val="033943CF"/>
    <w:rsid w:val="034E54DA"/>
    <w:rsid w:val="03F325EA"/>
    <w:rsid w:val="05C50DC4"/>
    <w:rsid w:val="06CF515C"/>
    <w:rsid w:val="09237387"/>
    <w:rsid w:val="09AB14FD"/>
    <w:rsid w:val="0A093E11"/>
    <w:rsid w:val="0A184D0A"/>
    <w:rsid w:val="0A766F3D"/>
    <w:rsid w:val="0A9C7448"/>
    <w:rsid w:val="0AB91F23"/>
    <w:rsid w:val="0B425E44"/>
    <w:rsid w:val="0BD20CDE"/>
    <w:rsid w:val="0BE275C5"/>
    <w:rsid w:val="0D29648F"/>
    <w:rsid w:val="0D2D298E"/>
    <w:rsid w:val="0D575867"/>
    <w:rsid w:val="0D735301"/>
    <w:rsid w:val="0EC875A7"/>
    <w:rsid w:val="0EFC1F90"/>
    <w:rsid w:val="0F672675"/>
    <w:rsid w:val="0FEF43D3"/>
    <w:rsid w:val="10FE1E1E"/>
    <w:rsid w:val="110B75D2"/>
    <w:rsid w:val="11FD2289"/>
    <w:rsid w:val="12123010"/>
    <w:rsid w:val="125A04DF"/>
    <w:rsid w:val="12650C6F"/>
    <w:rsid w:val="131A299F"/>
    <w:rsid w:val="140A78B5"/>
    <w:rsid w:val="146A1656"/>
    <w:rsid w:val="14B63009"/>
    <w:rsid w:val="14D3081F"/>
    <w:rsid w:val="15C01502"/>
    <w:rsid w:val="15C51EE4"/>
    <w:rsid w:val="16243845"/>
    <w:rsid w:val="16A4440B"/>
    <w:rsid w:val="16CB3564"/>
    <w:rsid w:val="16D830CA"/>
    <w:rsid w:val="17542269"/>
    <w:rsid w:val="17D55D06"/>
    <w:rsid w:val="17E452AF"/>
    <w:rsid w:val="1899415F"/>
    <w:rsid w:val="18E3364D"/>
    <w:rsid w:val="19F937FA"/>
    <w:rsid w:val="1A4247B5"/>
    <w:rsid w:val="1A500FCE"/>
    <w:rsid w:val="1B640804"/>
    <w:rsid w:val="1BC1315D"/>
    <w:rsid w:val="1BC5269E"/>
    <w:rsid w:val="1BFA3C23"/>
    <w:rsid w:val="1C5E6583"/>
    <w:rsid w:val="1D1B2F15"/>
    <w:rsid w:val="1DE34AAE"/>
    <w:rsid w:val="1EC3753B"/>
    <w:rsid w:val="1ED836E7"/>
    <w:rsid w:val="1F8C1DB8"/>
    <w:rsid w:val="1FB750B4"/>
    <w:rsid w:val="1FCE2CB7"/>
    <w:rsid w:val="205974FD"/>
    <w:rsid w:val="20704DA0"/>
    <w:rsid w:val="212200F5"/>
    <w:rsid w:val="22364F74"/>
    <w:rsid w:val="22BB790F"/>
    <w:rsid w:val="22E64EFB"/>
    <w:rsid w:val="23704753"/>
    <w:rsid w:val="23D50D0E"/>
    <w:rsid w:val="23EE4D4A"/>
    <w:rsid w:val="2402653F"/>
    <w:rsid w:val="24200541"/>
    <w:rsid w:val="24BC760E"/>
    <w:rsid w:val="2622747B"/>
    <w:rsid w:val="262F4611"/>
    <w:rsid w:val="26596479"/>
    <w:rsid w:val="27242051"/>
    <w:rsid w:val="279C4930"/>
    <w:rsid w:val="280C4BB3"/>
    <w:rsid w:val="290D718E"/>
    <w:rsid w:val="294F609D"/>
    <w:rsid w:val="299B2E22"/>
    <w:rsid w:val="2A151327"/>
    <w:rsid w:val="2A501E01"/>
    <w:rsid w:val="2AD03B96"/>
    <w:rsid w:val="2AE768A4"/>
    <w:rsid w:val="2B491A9D"/>
    <w:rsid w:val="2BAA35F1"/>
    <w:rsid w:val="2C937A82"/>
    <w:rsid w:val="2D267053"/>
    <w:rsid w:val="2E2F5B74"/>
    <w:rsid w:val="2F0354A4"/>
    <w:rsid w:val="2F8F52A6"/>
    <w:rsid w:val="30207D87"/>
    <w:rsid w:val="30586F29"/>
    <w:rsid w:val="305A1587"/>
    <w:rsid w:val="3075122C"/>
    <w:rsid w:val="32B13C30"/>
    <w:rsid w:val="33A45611"/>
    <w:rsid w:val="33F77605"/>
    <w:rsid w:val="34075E0A"/>
    <w:rsid w:val="35594870"/>
    <w:rsid w:val="357550F1"/>
    <w:rsid w:val="36394BB0"/>
    <w:rsid w:val="36D34A4D"/>
    <w:rsid w:val="382B717B"/>
    <w:rsid w:val="38B308D0"/>
    <w:rsid w:val="3A2A5879"/>
    <w:rsid w:val="3B4535D6"/>
    <w:rsid w:val="3B5E227E"/>
    <w:rsid w:val="3B9D3A3A"/>
    <w:rsid w:val="3BBA2568"/>
    <w:rsid w:val="3C5F2F61"/>
    <w:rsid w:val="3C890A6D"/>
    <w:rsid w:val="3C905D61"/>
    <w:rsid w:val="3D106C9B"/>
    <w:rsid w:val="3E5D18BF"/>
    <w:rsid w:val="3F515A62"/>
    <w:rsid w:val="4003196A"/>
    <w:rsid w:val="40360B11"/>
    <w:rsid w:val="404325FD"/>
    <w:rsid w:val="40695BAC"/>
    <w:rsid w:val="40B81294"/>
    <w:rsid w:val="40C70592"/>
    <w:rsid w:val="415E0A24"/>
    <w:rsid w:val="41636D5D"/>
    <w:rsid w:val="417F2E7E"/>
    <w:rsid w:val="41D2264F"/>
    <w:rsid w:val="42663D04"/>
    <w:rsid w:val="42BE3AFA"/>
    <w:rsid w:val="4324295A"/>
    <w:rsid w:val="43F93868"/>
    <w:rsid w:val="44552876"/>
    <w:rsid w:val="44CC3718"/>
    <w:rsid w:val="45143326"/>
    <w:rsid w:val="45AE4A55"/>
    <w:rsid w:val="45EF4201"/>
    <w:rsid w:val="46EC1CAF"/>
    <w:rsid w:val="4761223A"/>
    <w:rsid w:val="47660933"/>
    <w:rsid w:val="47922B8D"/>
    <w:rsid w:val="47B313F1"/>
    <w:rsid w:val="48E43EF9"/>
    <w:rsid w:val="49376EFC"/>
    <w:rsid w:val="49651FE1"/>
    <w:rsid w:val="498158FF"/>
    <w:rsid w:val="4A0548B3"/>
    <w:rsid w:val="4A542D00"/>
    <w:rsid w:val="4AC64F92"/>
    <w:rsid w:val="4AE0080E"/>
    <w:rsid w:val="4B2F76E5"/>
    <w:rsid w:val="4B383024"/>
    <w:rsid w:val="4B512F56"/>
    <w:rsid w:val="4B9117A8"/>
    <w:rsid w:val="4C073C42"/>
    <w:rsid w:val="4C356E5C"/>
    <w:rsid w:val="4CE07A8F"/>
    <w:rsid w:val="4D344B3A"/>
    <w:rsid w:val="4D7E42C7"/>
    <w:rsid w:val="4E4E11C6"/>
    <w:rsid w:val="4E712616"/>
    <w:rsid w:val="4E954D1E"/>
    <w:rsid w:val="4EA47494"/>
    <w:rsid w:val="4ED35A01"/>
    <w:rsid w:val="4EF96A6A"/>
    <w:rsid w:val="4F236FCD"/>
    <w:rsid w:val="4F350A8B"/>
    <w:rsid w:val="4F367123"/>
    <w:rsid w:val="4FC150CE"/>
    <w:rsid w:val="4FD2411A"/>
    <w:rsid w:val="50D72B75"/>
    <w:rsid w:val="51AE4770"/>
    <w:rsid w:val="52AC37C4"/>
    <w:rsid w:val="52FF5B94"/>
    <w:rsid w:val="535D221A"/>
    <w:rsid w:val="544A5C39"/>
    <w:rsid w:val="548F7946"/>
    <w:rsid w:val="54A0080A"/>
    <w:rsid w:val="554A6151"/>
    <w:rsid w:val="558A1144"/>
    <w:rsid w:val="55B56F51"/>
    <w:rsid w:val="564377A9"/>
    <w:rsid w:val="56A22302"/>
    <w:rsid w:val="56C66358"/>
    <w:rsid w:val="56D124F6"/>
    <w:rsid w:val="57452A50"/>
    <w:rsid w:val="575F0112"/>
    <w:rsid w:val="57AA4733"/>
    <w:rsid w:val="57C217FF"/>
    <w:rsid w:val="58447F22"/>
    <w:rsid w:val="58D42C1A"/>
    <w:rsid w:val="58EB0B2E"/>
    <w:rsid w:val="59202F95"/>
    <w:rsid w:val="59761DE6"/>
    <w:rsid w:val="5A8950E2"/>
    <w:rsid w:val="5AA96559"/>
    <w:rsid w:val="5AC86799"/>
    <w:rsid w:val="5B903CB4"/>
    <w:rsid w:val="5BA61C56"/>
    <w:rsid w:val="5CF742A2"/>
    <w:rsid w:val="5D235E87"/>
    <w:rsid w:val="5D317C34"/>
    <w:rsid w:val="5D3732EA"/>
    <w:rsid w:val="5D40028F"/>
    <w:rsid w:val="5E010FA3"/>
    <w:rsid w:val="5ED5707C"/>
    <w:rsid w:val="5FE854B9"/>
    <w:rsid w:val="61C86514"/>
    <w:rsid w:val="62184F63"/>
    <w:rsid w:val="62D976A2"/>
    <w:rsid w:val="63E07021"/>
    <w:rsid w:val="649A74F1"/>
    <w:rsid w:val="64C26512"/>
    <w:rsid w:val="64D640C4"/>
    <w:rsid w:val="6529617C"/>
    <w:rsid w:val="652F752A"/>
    <w:rsid w:val="65B754E3"/>
    <w:rsid w:val="65EA74AB"/>
    <w:rsid w:val="666E4079"/>
    <w:rsid w:val="67032235"/>
    <w:rsid w:val="67327C6C"/>
    <w:rsid w:val="67F60EBD"/>
    <w:rsid w:val="681356EC"/>
    <w:rsid w:val="68BD080C"/>
    <w:rsid w:val="68FF6520"/>
    <w:rsid w:val="6968114D"/>
    <w:rsid w:val="6A707AC7"/>
    <w:rsid w:val="6B29666B"/>
    <w:rsid w:val="6B2E77A4"/>
    <w:rsid w:val="6B6A520E"/>
    <w:rsid w:val="6B9A5E39"/>
    <w:rsid w:val="6C162B36"/>
    <w:rsid w:val="6C552C24"/>
    <w:rsid w:val="6D632337"/>
    <w:rsid w:val="6D6A4D36"/>
    <w:rsid w:val="6E1F0D1C"/>
    <w:rsid w:val="6EA60BA4"/>
    <w:rsid w:val="6EDB7195"/>
    <w:rsid w:val="70AE6511"/>
    <w:rsid w:val="710C334B"/>
    <w:rsid w:val="71193B3C"/>
    <w:rsid w:val="71920F77"/>
    <w:rsid w:val="72BD2204"/>
    <w:rsid w:val="740D53AB"/>
    <w:rsid w:val="74AF20EC"/>
    <w:rsid w:val="74FB0687"/>
    <w:rsid w:val="757D0EAB"/>
    <w:rsid w:val="75BB031F"/>
    <w:rsid w:val="761338D4"/>
    <w:rsid w:val="76966639"/>
    <w:rsid w:val="76C9305C"/>
    <w:rsid w:val="76E76904"/>
    <w:rsid w:val="77820311"/>
    <w:rsid w:val="77A42B95"/>
    <w:rsid w:val="77D21369"/>
    <w:rsid w:val="784F316E"/>
    <w:rsid w:val="78B20D7A"/>
    <w:rsid w:val="792A49DD"/>
    <w:rsid w:val="7A411C87"/>
    <w:rsid w:val="7A8C430B"/>
    <w:rsid w:val="7A9E556E"/>
    <w:rsid w:val="7AEE7B12"/>
    <w:rsid w:val="7B8A7D90"/>
    <w:rsid w:val="7C165BF2"/>
    <w:rsid w:val="7CEF697A"/>
    <w:rsid w:val="7D1264F1"/>
    <w:rsid w:val="7D4B106F"/>
    <w:rsid w:val="7D5F1814"/>
    <w:rsid w:val="7D8D47D8"/>
    <w:rsid w:val="7DE16984"/>
    <w:rsid w:val="7F2627C9"/>
    <w:rsid w:val="7F9E311A"/>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unhideWhenUsed/>
    <w:qFormat/>
    <w:uiPriority w:val="99"/>
    <w:pPr>
      <w:spacing w:before="100" w:beforeAutospacing="1" w:after="100" w:afterAutospacing="1"/>
      <w:jc w:val="left"/>
    </w:pPr>
    <w:rPr>
      <w:rFonts w:ascii="Calibri" w:hAnsi="Calibri"/>
      <w:kern w:val="0"/>
      <w:sz w:val="24"/>
      <w:szCs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rFonts w:ascii="微软雅黑" w:hAnsi="微软雅黑" w:eastAsia="微软雅黑" w:cs="微软雅黑"/>
      <w:b/>
    </w:rPr>
  </w:style>
  <w:style w:type="character" w:styleId="10">
    <w:name w:val="FollowedHyperlink"/>
    <w:basedOn w:val="8"/>
    <w:semiHidden/>
    <w:unhideWhenUsed/>
    <w:qFormat/>
    <w:uiPriority w:val="99"/>
    <w:rPr>
      <w:color w:val="333333"/>
      <w:u w:val="none"/>
    </w:rPr>
  </w:style>
  <w:style w:type="character" w:styleId="11">
    <w:name w:val="Emphasis"/>
    <w:basedOn w:val="8"/>
    <w:qFormat/>
    <w:uiPriority w:val="20"/>
    <w:rPr>
      <w:i/>
    </w:rPr>
  </w:style>
  <w:style w:type="character" w:styleId="12">
    <w:name w:val="HTML Definition"/>
    <w:basedOn w:val="8"/>
    <w:semiHidden/>
    <w:unhideWhenUsed/>
    <w:qFormat/>
    <w:uiPriority w:val="99"/>
    <w:rPr>
      <w:i/>
    </w:rPr>
  </w:style>
  <w:style w:type="character" w:styleId="13">
    <w:name w:val="Hyperlink"/>
    <w:basedOn w:val="8"/>
    <w:unhideWhenUsed/>
    <w:qFormat/>
    <w:uiPriority w:val="99"/>
    <w:rPr>
      <w:color w:val="0563C1" w:themeColor="hyperlink"/>
      <w:u w:val="single"/>
      <w14:textFill>
        <w14:solidFill>
          <w14:schemeClr w14:val="hlink"/>
        </w14:solidFill>
      </w14:textFill>
    </w:rPr>
  </w:style>
  <w:style w:type="character" w:styleId="14">
    <w:name w:val="HTML Code"/>
    <w:basedOn w:val="8"/>
    <w:semiHidden/>
    <w:unhideWhenUsed/>
    <w:qFormat/>
    <w:uiPriority w:val="99"/>
    <w:rPr>
      <w:rFonts w:hint="default" w:ascii="Consolas" w:hAnsi="Consolas" w:eastAsia="Consolas" w:cs="Consolas"/>
      <w:color w:val="C7254E"/>
      <w:sz w:val="21"/>
      <w:szCs w:val="21"/>
      <w:shd w:val="clear" w:color="auto" w:fill="F9F2F4"/>
    </w:rPr>
  </w:style>
  <w:style w:type="character" w:styleId="15">
    <w:name w:val="HTML Keyboard"/>
    <w:basedOn w:val="8"/>
    <w:semiHidden/>
    <w:unhideWhenUsed/>
    <w:qFormat/>
    <w:uiPriority w:val="99"/>
    <w:rPr>
      <w:rFonts w:ascii="Consolas" w:hAnsi="Consolas" w:eastAsia="Consolas" w:cs="Consolas"/>
      <w:color w:val="FFFFFF"/>
      <w:sz w:val="21"/>
      <w:szCs w:val="21"/>
      <w:shd w:val="clear" w:color="auto" w:fill="333333"/>
    </w:rPr>
  </w:style>
  <w:style w:type="character" w:styleId="16">
    <w:name w:val="HTML Sample"/>
    <w:basedOn w:val="8"/>
    <w:semiHidden/>
    <w:unhideWhenUsed/>
    <w:qFormat/>
    <w:uiPriority w:val="99"/>
    <w:rPr>
      <w:rFonts w:hint="default" w:ascii="Consolas" w:hAnsi="Consolas" w:eastAsia="Consolas" w:cs="Consolas"/>
      <w:sz w:val="21"/>
      <w:szCs w:val="21"/>
    </w:rPr>
  </w:style>
  <w:style w:type="character" w:customStyle="1" w:styleId="17">
    <w:name w:val="font01"/>
    <w:basedOn w:val="8"/>
    <w:qFormat/>
    <w:uiPriority w:val="0"/>
    <w:rPr>
      <w:rFonts w:hint="eastAsia" w:ascii="宋体" w:hAnsi="宋体" w:eastAsia="宋体"/>
      <w:color w:val="000000"/>
      <w:sz w:val="28"/>
      <w:szCs w:val="28"/>
      <w:u w:val="none"/>
    </w:rPr>
  </w:style>
  <w:style w:type="character" w:customStyle="1" w:styleId="18">
    <w:name w:val="newsdate"/>
    <w:basedOn w:val="8"/>
    <w:qFormat/>
    <w:uiPriority w:val="0"/>
    <w:rPr>
      <w:rFonts w:hint="eastAsia" w:ascii="宋体" w:hAnsi="宋体" w:eastAsia="宋体" w:cs="宋体"/>
      <w:sz w:val="14"/>
      <w:szCs w:val="14"/>
    </w:rPr>
  </w:style>
  <w:style w:type="character" w:customStyle="1" w:styleId="19">
    <w:name w:val="right"/>
    <w:basedOn w:val="8"/>
    <w:qFormat/>
    <w:uiPriority w:val="0"/>
  </w:style>
  <w:style w:type="character" w:customStyle="1" w:styleId="20">
    <w:name w:val="left4"/>
    <w:basedOn w:val="8"/>
    <w:qFormat/>
    <w:uiPriority w:val="0"/>
  </w:style>
  <w:style w:type="character" w:customStyle="1" w:styleId="21">
    <w:name w:val="more"/>
    <w:basedOn w:val="8"/>
    <w:qFormat/>
    <w:uiPriority w:val="0"/>
  </w:style>
  <w:style w:type="character" w:customStyle="1" w:styleId="22">
    <w:name w:val="right4"/>
    <w:basedOn w:val="8"/>
    <w:qFormat/>
    <w:uiPriority w:val="0"/>
  </w:style>
  <w:style w:type="character" w:customStyle="1" w:styleId="23">
    <w:name w:val="left6"/>
    <w:basedOn w:val="8"/>
    <w:qFormat/>
    <w:uiPriority w:val="0"/>
  </w:style>
  <w:style w:type="character" w:customStyle="1" w:styleId="24">
    <w:name w:val="first-child"/>
    <w:basedOn w:val="8"/>
    <w:qFormat/>
    <w:uiPriority w:val="0"/>
  </w:style>
  <w:style w:type="character" w:customStyle="1" w:styleId="25">
    <w:name w:val="hover2"/>
    <w:basedOn w:val="8"/>
    <w:qFormat/>
    <w:uiPriority w:val="0"/>
    <w:rPr>
      <w:color w:val="5FB878"/>
    </w:rPr>
  </w:style>
  <w:style w:type="character" w:customStyle="1" w:styleId="26">
    <w:name w:val="hover3"/>
    <w:basedOn w:val="8"/>
    <w:qFormat/>
    <w:uiPriority w:val="0"/>
    <w:rPr>
      <w:color w:val="5FB878"/>
    </w:rPr>
  </w:style>
  <w:style w:type="character" w:customStyle="1" w:styleId="27">
    <w:name w:val="hover4"/>
    <w:basedOn w:val="8"/>
    <w:qFormat/>
    <w:uiPriority w:val="0"/>
    <w:rPr>
      <w:color w:val="FFFFFF"/>
    </w:rPr>
  </w:style>
  <w:style w:type="character" w:customStyle="1" w:styleId="28">
    <w:name w:val="layui-this"/>
    <w:basedOn w:val="8"/>
    <w:qFormat/>
    <w:uiPriority w:val="0"/>
    <w:rPr>
      <w:bdr w:val="single" w:color="EEEEEE" w:sz="4" w:space="0"/>
      <w:shd w:val="clear" w:color="auto" w:fill="FFFFFF"/>
    </w:rPr>
  </w:style>
  <w:style w:type="character" w:customStyle="1" w:styleId="29">
    <w:name w:val="layui-this2"/>
    <w:basedOn w:val="8"/>
    <w:qFormat/>
    <w:uiPriority w:val="0"/>
    <w:rPr>
      <w:bdr w:val="single" w:color="EEEEEE" w:sz="4" w:space="0"/>
      <w:shd w:val="clear" w:color="auto" w:fill="FFFFFF"/>
    </w:rPr>
  </w:style>
  <w:style w:type="character" w:customStyle="1" w:styleId="30">
    <w:name w:val="bds_more2"/>
    <w:basedOn w:val="8"/>
    <w:qFormat/>
    <w:uiPriority w:val="0"/>
  </w:style>
  <w:style w:type="character" w:customStyle="1" w:styleId="31">
    <w:name w:val="bds_more3"/>
    <w:basedOn w:val="8"/>
    <w:qFormat/>
    <w:uiPriority w:val="0"/>
    <w:rPr>
      <w:rFonts w:hint="eastAsia" w:ascii="宋体" w:hAnsi="宋体" w:eastAsia="宋体" w:cs="宋体"/>
    </w:rPr>
  </w:style>
  <w:style w:type="character" w:customStyle="1" w:styleId="32">
    <w:name w:val="bds_more4"/>
    <w:basedOn w:val="8"/>
    <w:qFormat/>
    <w:uiPriority w:val="0"/>
  </w:style>
  <w:style w:type="character" w:customStyle="1" w:styleId="33">
    <w:name w:val="bds_nopic"/>
    <w:basedOn w:val="8"/>
    <w:qFormat/>
    <w:uiPriority w:val="0"/>
  </w:style>
  <w:style w:type="character" w:customStyle="1" w:styleId="34">
    <w:name w:val="bds_nopic1"/>
    <w:basedOn w:val="8"/>
    <w:qFormat/>
    <w:uiPriority w:val="0"/>
  </w:style>
  <w:style w:type="character" w:customStyle="1" w:styleId="35">
    <w:name w:val="bds_nopic2"/>
    <w:basedOn w:val="8"/>
    <w:qFormat/>
    <w:uiPriority w:val="0"/>
  </w:style>
  <w:style w:type="character" w:customStyle="1" w:styleId="36">
    <w:name w:val="bds_more"/>
    <w:basedOn w:val="8"/>
    <w:qFormat/>
    <w:uiPriority w:val="0"/>
    <w:rPr>
      <w:rFonts w:hint="eastAsia" w:ascii="宋体" w:hAnsi="宋体" w:eastAsia="宋体" w:cs="宋体"/>
    </w:rPr>
  </w:style>
  <w:style w:type="character" w:customStyle="1" w:styleId="37">
    <w:name w:val="bds_more1"/>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970</Words>
  <Characters>5533</Characters>
  <Lines>46</Lines>
  <Paragraphs>12</Paragraphs>
  <TotalTime>24</TotalTime>
  <ScaleCrop>false</ScaleCrop>
  <LinksUpToDate>false</LinksUpToDate>
  <CharactersWithSpaces>6491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2020-07-17T02:52:00Z</dcterms:created>
  <dc:creator>Microsoft Office 用户</dc:creator>
  <cp:lastModifiedBy>郭朋云</cp:lastModifiedBy>
  <cp:lastPrinted>2020-07-28T01:46:00Z</cp:lastPrinted>
  <dcterms:modified xsi:type="dcterms:W3CDTF">2021-07-06T03:05:48Z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86C66A7008F94651985051FA621A4865</vt:lpwstr>
  </property>
</Properties>
</file>