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40" w:lineRule="exact"/>
        <w:jc w:val="center"/>
        <w:rPr>
          <w:rFonts w:ascii="微软雅黑" w:hAnsi="微软雅黑" w:eastAsia="微软雅黑" w:cs="Times New Roman"/>
          <w:bCs/>
          <w:i/>
          <w:color w:val="E46C0A" w:themeColor="accent6" w:themeShade="BF"/>
          <w:sz w:val="24"/>
          <w:szCs w:val="24"/>
        </w:rPr>
      </w:pPr>
      <w:r>
        <w:rPr>
          <w:rFonts w:hint="eastAsia" w:ascii="微软雅黑" w:hAnsi="微软雅黑" w:eastAsia="微软雅黑" w:cs="黑体"/>
          <w:bCs/>
          <w:i/>
          <w:color w:val="E46C0A" w:themeColor="accent6" w:themeShade="BF"/>
          <w:sz w:val="24"/>
          <w:szCs w:val="24"/>
        </w:rPr>
        <w:t>陪您营销路上的每一步成长，让营销从偶然变成必然</w:t>
      </w:r>
    </w:p>
    <w:p>
      <w:pPr>
        <w:spacing w:line="940" w:lineRule="exact"/>
        <w:jc w:val="center"/>
        <w:rPr>
          <w:rFonts w:ascii="微软雅黑" w:hAnsi="微软雅黑" w:eastAsia="微软雅黑" w:cs="Times New Roman"/>
          <w:b/>
          <w:bCs/>
          <w:color w:val="993300"/>
          <w:sz w:val="44"/>
          <w:szCs w:val="44"/>
        </w:rPr>
      </w:pPr>
      <w:r>
        <w:rPr>
          <w:rFonts w:hint="eastAsia" w:ascii="微软雅黑" w:hAnsi="微软雅黑" w:eastAsia="微软雅黑" w:cs="黑体"/>
          <w:b/>
          <w:bCs/>
          <w:color w:val="993300"/>
          <w:sz w:val="44"/>
          <w:szCs w:val="44"/>
        </w:rPr>
        <w:t>首席营销官C</w:t>
      </w:r>
      <w:r>
        <w:rPr>
          <w:rFonts w:ascii="微软雅黑" w:hAnsi="微软雅黑" w:eastAsia="微软雅黑" w:cs="黑体"/>
          <w:b/>
          <w:bCs/>
          <w:color w:val="993300"/>
          <w:sz w:val="44"/>
          <w:szCs w:val="44"/>
        </w:rPr>
        <w:t>MO</w:t>
      </w:r>
      <w:r>
        <w:rPr>
          <w:rFonts w:hint="eastAsia" w:ascii="微软雅黑" w:hAnsi="微软雅黑" w:eastAsia="微软雅黑" w:cs="黑体"/>
          <w:b/>
          <w:bCs/>
          <w:color w:val="993300"/>
          <w:sz w:val="44"/>
          <w:szCs w:val="44"/>
        </w:rPr>
        <w:t>体系化实战研修班</w:t>
      </w:r>
    </w:p>
    <w:p>
      <w:pPr>
        <w:spacing w:line="940" w:lineRule="exact"/>
        <w:jc w:val="center"/>
        <w:rPr>
          <w:rFonts w:ascii="微软雅黑" w:hAnsi="微软雅黑" w:eastAsia="微软雅黑" w:cs="Times New Roman"/>
          <w:b/>
          <w:bCs/>
          <w:color w:val="E46C0A" w:themeColor="accent6" w:themeShade="BF"/>
          <w:sz w:val="48"/>
          <w:szCs w:val="48"/>
        </w:rPr>
      </w:pPr>
    </w:p>
    <w:p>
      <w:pPr>
        <w:widowControl/>
        <w:shd w:val="clear" w:color="auto" w:fill="9F0606"/>
        <w:snapToGrid w:val="0"/>
        <w:spacing w:before="480" w:line="440" w:lineRule="exact"/>
        <w:jc w:val="left"/>
        <w:rPr>
          <w:rFonts w:ascii="微软雅黑" w:hAnsi="微软雅黑" w:eastAsia="微软雅黑" w:cs="Times New Roman"/>
          <w:color w:val="FFFFFF"/>
          <w:kern w:val="0"/>
          <w:sz w:val="28"/>
          <w:szCs w:val="28"/>
        </w:rPr>
      </w:pPr>
      <w:r>
        <w:rPr>
          <w:rFonts w:hint="eastAsia" w:ascii="微软雅黑" w:hAnsi="微软雅黑" w:eastAsia="微软雅黑" w:cs="黑体"/>
          <w:b/>
          <w:bCs/>
          <w:color w:val="FFFFFF"/>
          <w:kern w:val="0"/>
          <w:sz w:val="28"/>
          <w:szCs w:val="28"/>
        </w:rPr>
        <w:t>【效能思维商学院】</w:t>
      </w:r>
    </w:p>
    <w:p>
      <w:pPr>
        <w:spacing w:line="420" w:lineRule="atLeast"/>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 xml:space="preserve">     效能思维商学院致力于培养视野开阔、情怀卓越、富有创造力得商业精英领袖，助力企业快速增长，赋能有追求的企业实现从0-1-10-100的经营效能指数级增长，成就一流行业领导者，成就下一个行业华为。</w:t>
      </w:r>
    </w:p>
    <w:p>
      <w:pPr>
        <w:spacing w:line="420" w:lineRule="atLeast"/>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 xml:space="preserve"> </w:t>
      </w:r>
      <w:r>
        <w:rPr>
          <w:rFonts w:ascii="微软雅黑" w:hAnsi="微软雅黑" w:eastAsia="微软雅黑" w:cs="宋体"/>
          <w:kern w:val="0"/>
          <w:sz w:val="24"/>
          <w:szCs w:val="24"/>
        </w:rPr>
        <w:t xml:space="preserve">    </w:t>
      </w:r>
      <w:r>
        <w:rPr>
          <w:rFonts w:hint="eastAsia" w:ascii="微软雅黑" w:hAnsi="微软雅黑" w:eastAsia="微软雅黑" w:cs="宋体"/>
          <w:kern w:val="0"/>
          <w:sz w:val="24"/>
          <w:szCs w:val="24"/>
        </w:rPr>
        <w:t>商学院成立以来，聚焦于企业成为一流行业领导者必须打造的系统能力和经营体系上，积累了「首席营销官CMO研修班」、「对标华为E</w:t>
      </w:r>
      <w:r>
        <w:rPr>
          <w:rFonts w:ascii="微软雅黑" w:hAnsi="微软雅黑" w:eastAsia="微软雅黑" w:cs="宋体"/>
          <w:kern w:val="0"/>
          <w:sz w:val="24"/>
          <w:szCs w:val="24"/>
        </w:rPr>
        <w:t>MBA</w:t>
      </w:r>
      <w:r>
        <w:rPr>
          <w:rFonts w:hint="eastAsia" w:ascii="微软雅黑" w:hAnsi="微软雅黑" w:eastAsia="微软雅黑" w:cs="宋体"/>
          <w:kern w:val="0"/>
          <w:sz w:val="24"/>
          <w:szCs w:val="24"/>
        </w:rPr>
        <w:t>」、「系统思维E</w:t>
      </w:r>
      <w:r>
        <w:rPr>
          <w:rFonts w:ascii="微软雅黑" w:hAnsi="微软雅黑" w:eastAsia="微软雅黑" w:cs="宋体"/>
          <w:kern w:val="0"/>
          <w:sz w:val="24"/>
          <w:szCs w:val="24"/>
        </w:rPr>
        <w:t>MBA</w:t>
      </w:r>
      <w:r>
        <w:rPr>
          <w:rFonts w:hint="eastAsia" w:ascii="微软雅黑" w:hAnsi="微软雅黑" w:eastAsia="微软雅黑" w:cs="宋体"/>
          <w:kern w:val="0"/>
          <w:sz w:val="24"/>
          <w:szCs w:val="24"/>
        </w:rPr>
        <w:t>」、「黄金创客E</w:t>
      </w:r>
      <w:r>
        <w:rPr>
          <w:rFonts w:ascii="微软雅黑" w:hAnsi="微软雅黑" w:eastAsia="微软雅黑" w:cs="宋体"/>
          <w:kern w:val="0"/>
          <w:sz w:val="24"/>
          <w:szCs w:val="24"/>
        </w:rPr>
        <w:t>MBA</w:t>
      </w:r>
      <w:r>
        <w:rPr>
          <w:rFonts w:hint="eastAsia" w:ascii="微软雅黑" w:hAnsi="微软雅黑" w:eastAsia="微软雅黑" w:cs="宋体"/>
          <w:kern w:val="0"/>
          <w:sz w:val="24"/>
          <w:szCs w:val="24"/>
        </w:rPr>
        <w:t>」、「国际学位M</w:t>
      </w:r>
      <w:r>
        <w:rPr>
          <w:rFonts w:ascii="微软雅黑" w:hAnsi="微软雅黑" w:eastAsia="微软雅黑" w:cs="宋体"/>
          <w:kern w:val="0"/>
          <w:sz w:val="24"/>
          <w:szCs w:val="24"/>
        </w:rPr>
        <w:t>BA/DBA</w:t>
      </w:r>
      <w:r>
        <w:rPr>
          <w:rFonts w:hint="eastAsia" w:ascii="微软雅黑" w:hAnsi="微软雅黑" w:eastAsia="微软雅黑" w:cs="宋体"/>
          <w:kern w:val="0"/>
          <w:sz w:val="24"/>
          <w:szCs w:val="24"/>
        </w:rPr>
        <w:t>」五大体系化课程，管理咨询+高端人才+投资孵化+经营外包四大增值业务，旨在系统帮助企业快速生存，突破瓶颈，有效增长。</w:t>
      </w:r>
    </w:p>
    <w:p>
      <w:pPr>
        <w:spacing w:line="420" w:lineRule="atLeast"/>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 xml:space="preserve"> </w:t>
      </w:r>
      <w:r>
        <w:rPr>
          <w:rFonts w:ascii="微软雅黑" w:hAnsi="微软雅黑" w:eastAsia="微软雅黑" w:cs="宋体"/>
          <w:kern w:val="0"/>
          <w:sz w:val="24"/>
          <w:szCs w:val="24"/>
        </w:rPr>
        <w:t xml:space="preserve">    </w:t>
      </w:r>
      <w:r>
        <w:rPr>
          <w:rFonts w:hint="eastAsia" w:ascii="微软雅黑" w:hAnsi="微软雅黑" w:eastAsia="微软雅黑" w:cs="宋体"/>
          <w:kern w:val="0"/>
          <w:sz w:val="24"/>
          <w:szCs w:val="24"/>
        </w:rPr>
        <w:t>自成立以来，服务的企业数量超过2000+家，累积为1万+人提供培训，深度上门辅导为超过百家企业量身构建一流的有效增长和永续经营的管理体系。成功合作案例包括中国移动、美的集团、西建集团、宝丰集团、中国石油、方正国际、杉杉股份等各行业头部企业。</w:t>
      </w:r>
    </w:p>
    <w:p>
      <w:pPr>
        <w:spacing w:line="420" w:lineRule="atLeast"/>
        <w:ind w:firstLine="480"/>
        <w:jc w:val="left"/>
        <w:rPr>
          <w:rFonts w:hint="eastAsia" w:ascii="微软雅黑" w:hAnsi="微软雅黑" w:eastAsia="微软雅黑" w:cs="宋体"/>
          <w:kern w:val="0"/>
          <w:sz w:val="24"/>
          <w:szCs w:val="24"/>
        </w:rPr>
      </w:pPr>
      <w:r>
        <w:rPr>
          <w:rFonts w:hint="eastAsia" w:ascii="微软雅黑" w:hAnsi="微软雅黑" w:eastAsia="微软雅黑" w:cs="宋体"/>
          <w:kern w:val="0"/>
          <w:sz w:val="24"/>
          <w:szCs w:val="24"/>
        </w:rPr>
        <w:t>致力于中国企业的转型升级事业，为帮助中国企业通过价值创新实现可持续成长，实现强企梦、强国梦而矢志奋斗。</w:t>
      </w:r>
    </w:p>
    <w:p>
      <w:pPr>
        <w:widowControl/>
        <w:shd w:val="clear" w:color="auto" w:fill="9F0606"/>
        <w:snapToGrid w:val="0"/>
        <w:spacing w:before="480" w:line="460" w:lineRule="atLeast"/>
        <w:jc w:val="left"/>
        <w:outlineLvl w:val="0"/>
        <w:rPr>
          <w:rFonts w:ascii="微软雅黑" w:hAnsi="微软雅黑" w:eastAsia="微软雅黑" w:cs="Times New Roman"/>
          <w:b/>
          <w:bCs/>
          <w:color w:val="FFFFFF"/>
          <w:kern w:val="0"/>
          <w:sz w:val="28"/>
          <w:szCs w:val="28"/>
        </w:rPr>
      </w:pPr>
      <w:r>
        <w:rPr>
          <w:rFonts w:hint="eastAsia" w:ascii="微软雅黑" w:hAnsi="微软雅黑" w:eastAsia="微软雅黑" w:cs="黑体"/>
          <w:b/>
          <w:bCs/>
          <w:color w:val="FFFFFF"/>
          <w:kern w:val="0"/>
          <w:sz w:val="28"/>
          <w:szCs w:val="28"/>
        </w:rPr>
        <w:t>【突破增长瓶颈】</w:t>
      </w:r>
    </w:p>
    <w:p>
      <w:pPr>
        <w:spacing w:line="420" w:lineRule="atLeast"/>
        <w:jc w:val="left"/>
        <w:rPr>
          <w:rFonts w:ascii="微软雅黑" w:hAnsi="微软雅黑" w:eastAsia="微软雅黑" w:cs="宋体"/>
          <w:b/>
          <w:bCs/>
          <w:kern w:val="0"/>
          <w:sz w:val="24"/>
          <w:szCs w:val="24"/>
        </w:rPr>
      </w:pPr>
      <w:r>
        <w:rPr>
          <w:rFonts w:ascii="微软雅黑" w:hAnsi="微软雅黑" w:eastAsia="微软雅黑" w:cs="宋体"/>
          <w:sz w:val="24"/>
          <w:szCs w:val="24"/>
        </w:rPr>
        <w:t xml:space="preserve">    </w:t>
      </w:r>
      <w:r>
        <w:rPr>
          <w:rFonts w:hint="eastAsia" w:ascii="微软雅黑" w:hAnsi="微软雅黑" w:eastAsia="微软雅黑" w:cs="宋体"/>
          <w:b/>
          <w:bCs/>
          <w:kern w:val="0"/>
          <w:sz w:val="24"/>
          <w:szCs w:val="24"/>
        </w:rPr>
        <w:t>你想突破营销瓶颈实现业绩从0—1—10—100 指数级增长吗？</w:t>
      </w:r>
    </w:p>
    <w:p>
      <w:pPr>
        <w:spacing w:line="420" w:lineRule="atLeast"/>
        <w:ind w:firstLine="480" w:firstLineChars="200"/>
        <w:jc w:val="left"/>
        <w:rPr>
          <w:rFonts w:ascii="微软雅黑" w:hAnsi="微软雅黑" w:eastAsia="微软雅黑" w:cs="宋体"/>
          <w:b/>
          <w:bCs/>
          <w:kern w:val="0"/>
          <w:sz w:val="24"/>
          <w:szCs w:val="24"/>
        </w:rPr>
      </w:pPr>
      <w:r>
        <w:rPr>
          <w:rFonts w:hint="eastAsia" w:ascii="微软雅黑" w:hAnsi="微软雅黑" w:eastAsia="微软雅黑" w:cs="宋体"/>
          <w:b/>
          <w:bCs/>
          <w:kern w:val="0"/>
          <w:sz w:val="24"/>
          <w:szCs w:val="24"/>
        </w:rPr>
        <w:t>你想培养一流营销干部，通过优秀干部攻下一座座山头吗？</w:t>
      </w:r>
    </w:p>
    <w:p>
      <w:pPr>
        <w:spacing w:line="420" w:lineRule="atLeast"/>
        <w:ind w:firstLine="480" w:firstLineChars="200"/>
        <w:jc w:val="left"/>
        <w:rPr>
          <w:rFonts w:ascii="微软雅黑" w:hAnsi="微软雅黑" w:eastAsia="微软雅黑" w:cs="宋体"/>
          <w:b/>
          <w:bCs/>
          <w:kern w:val="0"/>
          <w:sz w:val="24"/>
          <w:szCs w:val="24"/>
        </w:rPr>
      </w:pPr>
      <w:r>
        <w:rPr>
          <w:rFonts w:hint="eastAsia" w:ascii="微软雅黑" w:hAnsi="微软雅黑" w:eastAsia="微软雅黑" w:cs="宋体"/>
          <w:b/>
          <w:bCs/>
          <w:kern w:val="0"/>
          <w:sz w:val="24"/>
          <w:szCs w:val="24"/>
        </w:rPr>
        <w:t>你想打造一支营销铁军，全面面向客户，所向披靡吗？</w:t>
      </w:r>
    </w:p>
    <w:p>
      <w:pPr>
        <w:spacing w:line="420" w:lineRule="atLeast"/>
        <w:ind w:firstLine="480" w:firstLineChars="200"/>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企业要想逐步摆脱对资源的依赖，对精英的依赖，对资金的依赖，对个别客户的依赖，使营销从偶然走向必然，建立自由王国。这一切都需要依赖科学、规范及有序的体系化营销管理体制。只有摆脱以上依赖，才能通过确定的科学决策，通过系统性的营销管理变革，构建一个赋能客户、赋能员工、赋能社会、赋能股东的多赢平台。</w:t>
      </w:r>
    </w:p>
    <w:p>
      <w:pPr>
        <w:spacing w:line="420" w:lineRule="atLeast"/>
        <w:ind w:firstLine="480" w:firstLineChars="200"/>
        <w:jc w:val="left"/>
        <w:rPr>
          <w:rFonts w:ascii="微软雅黑" w:hAnsi="微软雅黑" w:eastAsia="微软雅黑" w:cs="宋体"/>
          <w:kern w:val="0"/>
          <w:sz w:val="24"/>
          <w:szCs w:val="24"/>
        </w:rPr>
      </w:pPr>
      <w:r>
        <w:rPr>
          <w:rFonts w:hint="eastAsia" w:ascii="微软雅黑" w:hAnsi="微软雅黑" w:eastAsia="微软雅黑" w:cs="宋体"/>
          <w:kern w:val="0"/>
          <w:sz w:val="24"/>
          <w:szCs w:val="24"/>
        </w:rPr>
        <w:t>营销核心思维在于利他，通过利他的指导思想，加上确定的规则，才能从容面对未来的不确定性，我们的营销业绩才能持续实现有效增长。</w:t>
      </w:r>
    </w:p>
    <w:p>
      <w:pPr>
        <w:widowControl/>
        <w:shd w:val="clear" w:color="auto" w:fill="9F0606"/>
        <w:snapToGrid w:val="0"/>
        <w:spacing w:before="480" w:line="380" w:lineRule="atLeast"/>
        <w:jc w:val="left"/>
        <w:rPr>
          <w:rFonts w:ascii="微软雅黑" w:hAnsi="微软雅黑" w:eastAsia="微软雅黑" w:cs="Times New Roman"/>
          <w:color w:val="FFFFFF"/>
          <w:kern w:val="0"/>
          <w:sz w:val="28"/>
          <w:szCs w:val="28"/>
        </w:rPr>
      </w:pPr>
      <w:r>
        <w:rPr>
          <w:rFonts w:hint="eastAsia" w:ascii="微软雅黑" w:hAnsi="微软雅黑" w:eastAsia="微软雅黑" w:cs="黑体"/>
          <w:color w:val="FFFFFF"/>
          <w:kern w:val="0"/>
          <w:sz w:val="28"/>
          <w:szCs w:val="28"/>
        </w:rPr>
        <w:t>【</w:t>
      </w:r>
      <w:r>
        <w:rPr>
          <w:rFonts w:hint="eastAsia" w:ascii="微软雅黑" w:hAnsi="微软雅黑" w:eastAsia="微软雅黑" w:cs="黑体"/>
          <w:b/>
          <w:bCs/>
          <w:color w:val="FFFFFF"/>
          <w:kern w:val="0"/>
          <w:sz w:val="28"/>
          <w:szCs w:val="28"/>
        </w:rPr>
        <w:t>课程价值</w:t>
      </w:r>
      <w:r>
        <w:rPr>
          <w:rFonts w:hint="eastAsia" w:ascii="微软雅黑" w:hAnsi="微软雅黑" w:eastAsia="微软雅黑" w:cs="黑体"/>
          <w:color w:val="FFFFFF"/>
          <w:kern w:val="0"/>
          <w:sz w:val="28"/>
          <w:szCs w:val="28"/>
        </w:rPr>
        <w:t>】</w:t>
      </w:r>
    </w:p>
    <w:p>
      <w:pPr>
        <w:spacing w:line="380" w:lineRule="atLeast"/>
        <w:rPr>
          <w:rFonts w:ascii="微软雅黑" w:hAnsi="微软雅黑" w:eastAsia="微软雅黑" w:cs="黑体"/>
          <w:color w:val="993300"/>
          <w:sz w:val="24"/>
          <w:szCs w:val="24"/>
        </w:rPr>
      </w:pPr>
    </w:p>
    <w:p>
      <w:pPr>
        <w:spacing w:line="380" w:lineRule="atLeast"/>
        <w:rPr>
          <w:rFonts w:ascii="微软雅黑" w:hAnsi="微软雅黑" w:eastAsia="微软雅黑" w:cs="黑体"/>
          <w:color w:val="993300"/>
          <w:sz w:val="24"/>
          <w:szCs w:val="24"/>
        </w:rPr>
      </w:pPr>
      <w:r>
        <w:rPr>
          <w:rFonts w:hint="eastAsia" w:ascii="微软雅黑" w:hAnsi="微软雅黑" w:eastAsia="微软雅黑" w:cs="黑体"/>
          <w:color w:val="993300"/>
          <w:sz w:val="24"/>
          <w:szCs w:val="24"/>
        </w:rPr>
        <w:t>█ 教学层面</w:t>
      </w:r>
    </w:p>
    <w:p>
      <w:pPr>
        <w:spacing w:line="380" w:lineRule="atLeast"/>
        <w:ind w:firstLine="480" w:firstLineChars="200"/>
        <w:rPr>
          <w:rFonts w:ascii="微软雅黑" w:hAnsi="微软雅黑" w:eastAsia="微软雅黑" w:cs="宋体"/>
          <w:sz w:val="24"/>
          <w:szCs w:val="24"/>
        </w:rPr>
      </w:pPr>
      <w:r>
        <w:rPr>
          <w:rFonts w:hint="eastAsia" w:ascii="微软雅黑" w:hAnsi="微软雅黑" w:eastAsia="微软雅黑" w:cs="宋体"/>
          <w:sz w:val="24"/>
          <w:szCs w:val="24"/>
        </w:rPr>
        <w:t>场景式+引导式+案例式+结构式+顾问式+实操式威大家名师</w:t>
      </w:r>
    </w:p>
    <w:p>
      <w:pPr>
        <w:spacing w:line="380" w:lineRule="atLeast"/>
        <w:outlineLvl w:val="0"/>
        <w:rPr>
          <w:rFonts w:ascii="微软雅黑" w:hAnsi="微软雅黑" w:eastAsia="微软雅黑" w:cs="Times New Roman"/>
          <w:color w:val="993300"/>
          <w:sz w:val="24"/>
          <w:szCs w:val="24"/>
        </w:rPr>
      </w:pPr>
      <w:r>
        <w:rPr>
          <w:rFonts w:hint="eastAsia" w:ascii="微软雅黑" w:hAnsi="微软雅黑" w:eastAsia="微软雅黑" w:cs="黑体"/>
          <w:color w:val="993300"/>
          <w:sz w:val="24"/>
          <w:szCs w:val="24"/>
        </w:rPr>
        <w:t>█ 思维层面</w:t>
      </w:r>
    </w:p>
    <w:p>
      <w:pPr>
        <w:spacing w:line="380" w:lineRule="atLeast"/>
        <w:ind w:firstLine="480" w:firstLineChars="200"/>
        <w:rPr>
          <w:rFonts w:ascii="微软雅黑" w:hAnsi="微软雅黑" w:eastAsia="微软雅黑" w:cs="宋体"/>
          <w:sz w:val="24"/>
          <w:szCs w:val="24"/>
        </w:rPr>
      </w:pPr>
      <w:r>
        <w:rPr>
          <w:rFonts w:hint="eastAsia" w:ascii="微软雅黑" w:hAnsi="微软雅黑" w:eastAsia="微软雅黑" w:cs="宋体"/>
          <w:sz w:val="24"/>
          <w:szCs w:val="24"/>
        </w:rPr>
        <w:t>提升营销思维能力，实现收入和利润暴增。</w:t>
      </w:r>
    </w:p>
    <w:p>
      <w:pPr>
        <w:spacing w:line="380" w:lineRule="atLeast"/>
        <w:outlineLvl w:val="0"/>
        <w:rPr>
          <w:rFonts w:ascii="微软雅黑" w:hAnsi="微软雅黑" w:eastAsia="微软雅黑" w:cs="宋体"/>
          <w:sz w:val="24"/>
          <w:szCs w:val="24"/>
        </w:rPr>
      </w:pPr>
      <w:r>
        <w:rPr>
          <w:rFonts w:hint="eastAsia" w:ascii="微软雅黑" w:hAnsi="微软雅黑" w:eastAsia="微软雅黑" w:cs="黑体"/>
          <w:color w:val="993300"/>
          <w:sz w:val="24"/>
          <w:szCs w:val="24"/>
        </w:rPr>
        <w:t>█ 工具层面</w:t>
      </w:r>
    </w:p>
    <w:p>
      <w:pPr>
        <w:spacing w:line="380" w:lineRule="atLeast"/>
        <w:rPr>
          <w:rFonts w:ascii="微软雅黑" w:hAnsi="微软雅黑" w:eastAsia="微软雅黑" w:cs="宋体"/>
          <w:sz w:val="24"/>
          <w:szCs w:val="24"/>
        </w:rPr>
      </w:pPr>
      <w:r>
        <w:rPr>
          <w:rFonts w:hint="eastAsia" w:ascii="微软雅黑" w:hAnsi="微软雅黑" w:eastAsia="微软雅黑" w:cs="宋体"/>
          <w:sz w:val="24"/>
          <w:szCs w:val="24"/>
        </w:rPr>
        <w:t>提供一流营销工具，构建标准化营销动力。比如：</w:t>
      </w:r>
    </w:p>
    <w:p>
      <w:pPr>
        <w:spacing w:line="380" w:lineRule="atLeast"/>
        <w:rPr>
          <w:rFonts w:ascii="微软雅黑" w:hAnsi="微软雅黑" w:eastAsia="微软雅黑" w:cs="宋体"/>
          <w:sz w:val="24"/>
          <w:szCs w:val="24"/>
        </w:rPr>
      </w:pPr>
      <w:r>
        <w:rPr>
          <w:rFonts w:hint="eastAsia" w:ascii="微软雅黑" w:hAnsi="微软雅黑" w:eastAsia="微软雅黑" w:cs="宋体"/>
          <w:sz w:val="24"/>
          <w:szCs w:val="24"/>
        </w:rPr>
        <w:t>1.</w:t>
      </w:r>
      <w:r>
        <w:rPr>
          <w:rFonts w:hint="eastAsia" w:ascii="微软雅黑" w:hAnsi="微软雅黑" w:eastAsia="微软雅黑" w:cs="宋体"/>
          <w:sz w:val="24"/>
          <w:szCs w:val="24"/>
        </w:rPr>
        <w:tab/>
      </w:r>
      <w:r>
        <w:rPr>
          <w:rFonts w:hint="eastAsia" w:ascii="微软雅黑" w:hAnsi="微软雅黑" w:eastAsia="微软雅黑" w:cs="宋体"/>
          <w:sz w:val="24"/>
          <w:szCs w:val="24"/>
        </w:rPr>
        <w:t>营销铁军：战无不胜·攻无不克铁军打造六部曲</w:t>
      </w:r>
    </w:p>
    <w:p>
      <w:pPr>
        <w:spacing w:line="380" w:lineRule="atLeast"/>
        <w:rPr>
          <w:rFonts w:ascii="微软雅黑" w:hAnsi="微软雅黑" w:eastAsia="微软雅黑" w:cs="宋体"/>
          <w:sz w:val="24"/>
          <w:szCs w:val="24"/>
        </w:rPr>
      </w:pPr>
      <w:r>
        <w:rPr>
          <w:rFonts w:hint="eastAsia" w:ascii="微软雅黑" w:hAnsi="微软雅黑" w:eastAsia="微软雅黑" w:cs="宋体"/>
          <w:sz w:val="24"/>
          <w:szCs w:val="24"/>
        </w:rPr>
        <w:t>2.</w:t>
      </w:r>
      <w:r>
        <w:rPr>
          <w:rFonts w:hint="eastAsia" w:ascii="微软雅黑" w:hAnsi="微软雅黑" w:eastAsia="微软雅黑" w:cs="宋体"/>
          <w:sz w:val="24"/>
          <w:szCs w:val="24"/>
        </w:rPr>
        <w:tab/>
      </w:r>
      <w:r>
        <w:rPr>
          <w:rFonts w:hint="eastAsia" w:ascii="微软雅黑" w:hAnsi="微软雅黑" w:eastAsia="微软雅黑" w:cs="宋体"/>
          <w:sz w:val="24"/>
          <w:szCs w:val="24"/>
        </w:rPr>
        <w:t>营销管理：极限生存法则和清晰确定规划</w:t>
      </w:r>
    </w:p>
    <w:p>
      <w:pPr>
        <w:spacing w:line="380" w:lineRule="atLeast"/>
        <w:rPr>
          <w:rFonts w:ascii="微软雅黑" w:hAnsi="微软雅黑" w:eastAsia="微软雅黑" w:cs="宋体"/>
          <w:sz w:val="24"/>
          <w:szCs w:val="24"/>
        </w:rPr>
      </w:pPr>
      <w:r>
        <w:rPr>
          <w:rFonts w:hint="eastAsia" w:ascii="微软雅黑" w:hAnsi="微软雅黑" w:eastAsia="微软雅黑" w:cs="宋体"/>
          <w:sz w:val="24"/>
          <w:szCs w:val="24"/>
        </w:rPr>
        <w:t>3.</w:t>
      </w:r>
      <w:r>
        <w:rPr>
          <w:rFonts w:hint="eastAsia" w:ascii="微软雅黑" w:hAnsi="微软雅黑" w:eastAsia="微软雅黑" w:cs="宋体"/>
          <w:sz w:val="24"/>
          <w:szCs w:val="24"/>
        </w:rPr>
        <w:tab/>
      </w:r>
      <w:r>
        <w:rPr>
          <w:rFonts w:hint="eastAsia" w:ascii="微软雅黑" w:hAnsi="微软雅黑" w:eastAsia="微软雅黑" w:cs="宋体"/>
          <w:sz w:val="24"/>
          <w:szCs w:val="24"/>
        </w:rPr>
        <w:t>营销战略：市场洞察五部曲和营销解码三法则</w:t>
      </w:r>
    </w:p>
    <w:p>
      <w:pPr>
        <w:spacing w:line="380" w:lineRule="atLeast"/>
        <w:rPr>
          <w:rFonts w:ascii="微软雅黑" w:hAnsi="微软雅黑" w:eastAsia="微软雅黑" w:cs="宋体"/>
          <w:sz w:val="24"/>
          <w:szCs w:val="24"/>
        </w:rPr>
      </w:pPr>
      <w:r>
        <w:rPr>
          <w:rFonts w:hint="eastAsia" w:ascii="微软雅黑" w:hAnsi="微软雅黑" w:eastAsia="微软雅黑" w:cs="宋体"/>
          <w:sz w:val="24"/>
          <w:szCs w:val="24"/>
        </w:rPr>
        <w:t>4.</w:t>
      </w:r>
      <w:r>
        <w:rPr>
          <w:rFonts w:hint="eastAsia" w:ascii="微软雅黑" w:hAnsi="微软雅黑" w:eastAsia="微软雅黑" w:cs="宋体"/>
          <w:sz w:val="24"/>
          <w:szCs w:val="24"/>
        </w:rPr>
        <w:tab/>
      </w:r>
      <w:r>
        <w:rPr>
          <w:rFonts w:hint="eastAsia" w:ascii="微软雅黑" w:hAnsi="微软雅黑" w:eastAsia="微软雅黑" w:cs="宋体"/>
          <w:sz w:val="24"/>
          <w:szCs w:val="24"/>
        </w:rPr>
        <w:t>营销需求：中长期全面需求管理及GMT商业成功</w:t>
      </w:r>
    </w:p>
    <w:p>
      <w:pPr>
        <w:spacing w:line="380" w:lineRule="atLeast"/>
        <w:rPr>
          <w:rFonts w:ascii="微软雅黑" w:hAnsi="微软雅黑" w:eastAsia="微软雅黑" w:cs="宋体"/>
          <w:sz w:val="24"/>
          <w:szCs w:val="24"/>
        </w:rPr>
      </w:pPr>
      <w:r>
        <w:rPr>
          <w:rFonts w:hint="eastAsia" w:ascii="微软雅黑" w:hAnsi="微软雅黑" w:eastAsia="微软雅黑" w:cs="宋体"/>
          <w:sz w:val="24"/>
          <w:szCs w:val="24"/>
        </w:rPr>
        <w:t>5.</w:t>
      </w:r>
      <w:r>
        <w:rPr>
          <w:rFonts w:hint="eastAsia" w:ascii="微软雅黑" w:hAnsi="微软雅黑" w:eastAsia="微软雅黑" w:cs="宋体"/>
          <w:sz w:val="24"/>
          <w:szCs w:val="24"/>
        </w:rPr>
        <w:tab/>
      </w:r>
      <w:r>
        <w:rPr>
          <w:rFonts w:hint="eastAsia" w:ascii="微软雅黑" w:hAnsi="微软雅黑" w:eastAsia="微软雅黑" w:cs="宋体"/>
          <w:sz w:val="24"/>
          <w:szCs w:val="24"/>
        </w:rPr>
        <w:t>营销流程：LTC线索到回款、铁三角及组织客户关系</w:t>
      </w:r>
    </w:p>
    <w:p>
      <w:pPr>
        <w:spacing w:line="380" w:lineRule="atLeast"/>
        <w:rPr>
          <w:rFonts w:ascii="微软雅黑" w:hAnsi="微软雅黑" w:eastAsia="微软雅黑" w:cs="Times New Roman"/>
          <w:color w:val="993300"/>
          <w:sz w:val="24"/>
          <w:szCs w:val="24"/>
        </w:rPr>
      </w:pPr>
      <w:r>
        <w:rPr>
          <w:rFonts w:hint="eastAsia" w:ascii="微软雅黑" w:hAnsi="微软雅黑" w:eastAsia="微软雅黑" w:cs="黑体"/>
          <w:color w:val="993300"/>
          <w:sz w:val="24"/>
          <w:szCs w:val="24"/>
        </w:rPr>
        <w:t>█ 研讨层面</w:t>
      </w:r>
    </w:p>
    <w:p>
      <w:pPr>
        <w:spacing w:line="380" w:lineRule="atLeast"/>
        <w:rPr>
          <w:rFonts w:ascii="微软雅黑" w:hAnsi="微软雅黑" w:eastAsia="微软雅黑" w:cs="宋体"/>
          <w:color w:val="000000"/>
          <w:sz w:val="24"/>
          <w:szCs w:val="24"/>
        </w:rPr>
      </w:pPr>
      <w:r>
        <w:rPr>
          <w:rFonts w:hint="eastAsia" w:ascii="微软雅黑" w:hAnsi="微软雅黑" w:eastAsia="微软雅黑" w:cs="宋体"/>
          <w:color w:val="000000"/>
          <w:sz w:val="24"/>
          <w:szCs w:val="24"/>
        </w:rPr>
        <w:t>注重落地，以结果为导向。比如：</w:t>
      </w:r>
    </w:p>
    <w:p>
      <w:pPr>
        <w:numPr>
          <w:ilvl w:val="0"/>
          <w:numId w:val="1"/>
        </w:numPr>
        <w:spacing w:line="380" w:lineRule="atLeast"/>
        <w:rPr>
          <w:rFonts w:ascii="微软雅黑" w:hAnsi="微软雅黑" w:eastAsia="微软雅黑" w:cs="宋体"/>
          <w:color w:val="000000"/>
          <w:sz w:val="24"/>
          <w:szCs w:val="24"/>
        </w:rPr>
      </w:pPr>
      <w:r>
        <w:rPr>
          <w:rFonts w:hint="eastAsia" w:ascii="微软雅黑" w:hAnsi="微软雅黑" w:eastAsia="微软雅黑" w:cs="宋体"/>
          <w:color w:val="000000"/>
          <w:sz w:val="24"/>
          <w:szCs w:val="24"/>
        </w:rPr>
        <w:t>案例化教学：输出方法、工具、经验</w:t>
      </w:r>
    </w:p>
    <w:p>
      <w:pPr>
        <w:numPr>
          <w:ilvl w:val="0"/>
          <w:numId w:val="1"/>
        </w:numPr>
        <w:spacing w:line="380" w:lineRule="atLeast"/>
        <w:rPr>
          <w:rFonts w:ascii="微软雅黑" w:hAnsi="微软雅黑" w:eastAsia="微软雅黑" w:cs="宋体"/>
          <w:color w:val="000000"/>
          <w:sz w:val="24"/>
          <w:szCs w:val="24"/>
        </w:rPr>
      </w:pPr>
      <w:r>
        <w:rPr>
          <w:rFonts w:hint="eastAsia" w:ascii="微软雅黑" w:hAnsi="微软雅黑" w:eastAsia="微软雅黑" w:cs="宋体"/>
          <w:color w:val="000000"/>
          <w:sz w:val="24"/>
          <w:szCs w:val="24"/>
        </w:rPr>
        <w:t>系统化赋能：从思维、本质层面突破</w:t>
      </w:r>
    </w:p>
    <w:p>
      <w:pPr>
        <w:numPr>
          <w:ilvl w:val="0"/>
          <w:numId w:val="1"/>
        </w:numPr>
        <w:spacing w:line="380" w:lineRule="atLeast"/>
        <w:rPr>
          <w:rFonts w:ascii="微软雅黑" w:hAnsi="微软雅黑" w:eastAsia="微软雅黑" w:cs="宋体"/>
          <w:color w:val="000000"/>
          <w:sz w:val="24"/>
          <w:szCs w:val="24"/>
        </w:rPr>
      </w:pPr>
      <w:r>
        <w:rPr>
          <w:rFonts w:hint="eastAsia" w:ascii="微软雅黑" w:hAnsi="微软雅黑" w:eastAsia="微软雅黑" w:cs="宋体"/>
          <w:color w:val="000000"/>
          <w:sz w:val="24"/>
          <w:szCs w:val="24"/>
        </w:rPr>
        <w:t>场景化研讨：学员需边讨论，边输出</w:t>
      </w:r>
    </w:p>
    <w:p>
      <w:pPr>
        <w:numPr>
          <w:ilvl w:val="0"/>
          <w:numId w:val="1"/>
        </w:numPr>
        <w:spacing w:line="380" w:lineRule="atLeast"/>
        <w:rPr>
          <w:rFonts w:ascii="微软雅黑" w:hAnsi="微软雅黑" w:eastAsia="微软雅黑" w:cs="宋体"/>
          <w:color w:val="000000"/>
          <w:sz w:val="24"/>
          <w:szCs w:val="24"/>
        </w:rPr>
      </w:pPr>
      <w:r>
        <w:rPr>
          <w:rFonts w:hint="eastAsia" w:ascii="微软雅黑" w:hAnsi="微软雅黑" w:eastAsia="微软雅黑" w:cs="宋体"/>
          <w:color w:val="000000"/>
          <w:sz w:val="24"/>
          <w:szCs w:val="24"/>
        </w:rPr>
        <w:t>突破发展瓶颈：结果落地，提升业务</w:t>
      </w:r>
    </w:p>
    <w:p>
      <w:pPr>
        <w:widowControl/>
        <w:shd w:val="clear" w:color="auto" w:fill="9F0606"/>
        <w:snapToGrid w:val="0"/>
        <w:spacing w:before="480" w:line="380" w:lineRule="atLeast"/>
        <w:jc w:val="left"/>
        <w:rPr>
          <w:rFonts w:ascii="微软雅黑" w:hAnsi="微软雅黑" w:eastAsia="微软雅黑" w:cs="Times New Roman"/>
          <w:b/>
          <w:bCs/>
          <w:color w:val="FFFFFF"/>
          <w:kern w:val="0"/>
          <w:sz w:val="28"/>
          <w:szCs w:val="28"/>
        </w:rPr>
      </w:pPr>
      <w:r>
        <w:rPr>
          <w:rFonts w:hint="eastAsia" w:ascii="微软雅黑" w:hAnsi="微软雅黑" w:eastAsia="微软雅黑" w:cs="黑体"/>
          <w:b/>
          <w:bCs/>
          <w:color w:val="FFFFFF"/>
          <w:kern w:val="0"/>
          <w:sz w:val="28"/>
          <w:szCs w:val="28"/>
        </w:rPr>
        <w:t>【</w:t>
      </w:r>
      <w:r>
        <w:rPr>
          <w:rFonts w:hint="eastAsia" w:ascii="微软雅黑" w:hAnsi="微软雅黑" w:eastAsia="微软雅黑" w:cs="黑体"/>
          <w:b/>
          <w:bCs/>
          <w:color w:val="FFFFFF"/>
          <w:sz w:val="28"/>
          <w:szCs w:val="28"/>
        </w:rPr>
        <w:t>课程附加值</w:t>
      </w:r>
      <w:r>
        <w:rPr>
          <w:rFonts w:hint="eastAsia" w:ascii="微软雅黑" w:hAnsi="微软雅黑" w:eastAsia="微软雅黑" w:cs="黑体"/>
          <w:b/>
          <w:bCs/>
          <w:color w:val="FFFFFF"/>
          <w:kern w:val="0"/>
          <w:sz w:val="28"/>
          <w:szCs w:val="28"/>
        </w:rPr>
        <w:t>】</w:t>
      </w:r>
    </w:p>
    <w:p>
      <w:pPr>
        <w:spacing w:line="380" w:lineRule="atLeast"/>
        <w:rPr>
          <w:rFonts w:ascii="微软雅黑" w:hAnsi="微软雅黑" w:eastAsia="微软雅黑" w:cs="黑体"/>
          <w:color w:val="993300"/>
          <w:sz w:val="24"/>
          <w:szCs w:val="24"/>
        </w:rPr>
      </w:pPr>
    </w:p>
    <w:p>
      <w:pPr>
        <w:pStyle w:val="11"/>
        <w:numPr>
          <w:ilvl w:val="0"/>
          <w:numId w:val="2"/>
        </w:numPr>
        <w:spacing w:line="380" w:lineRule="atLeast"/>
        <w:ind w:firstLineChars="0"/>
        <w:rPr>
          <w:rFonts w:ascii="微软雅黑" w:hAnsi="微软雅黑" w:eastAsia="微软雅黑" w:cs="Times New Roman"/>
          <w:color w:val="993300"/>
          <w:sz w:val="24"/>
          <w:szCs w:val="24"/>
        </w:rPr>
      </w:pPr>
      <w:r>
        <w:rPr>
          <w:rFonts w:hint="eastAsia" w:ascii="微软雅黑" w:hAnsi="微软雅黑" w:eastAsia="微软雅黑" w:cs="黑体"/>
          <w:color w:val="993300"/>
          <w:sz w:val="24"/>
          <w:szCs w:val="24"/>
        </w:rPr>
        <w:t>课前：学员微调查</w:t>
      </w:r>
    </w:p>
    <w:p>
      <w:pPr>
        <w:spacing w:line="380" w:lineRule="atLeast"/>
        <w:rPr>
          <w:rFonts w:ascii="微软雅黑" w:hAnsi="微软雅黑" w:eastAsia="微软雅黑" w:cs="宋体"/>
          <w:b/>
          <w:bCs/>
          <w:sz w:val="24"/>
          <w:szCs w:val="24"/>
        </w:rPr>
      </w:pPr>
      <w:r>
        <w:rPr>
          <w:rFonts w:hint="eastAsia" w:ascii="微软雅黑" w:hAnsi="微软雅黑" w:eastAsia="微软雅黑" w:cs="宋体"/>
          <w:sz w:val="24"/>
          <w:szCs w:val="24"/>
        </w:rPr>
        <w:t>微调查—每个企业5个问题</w:t>
      </w:r>
      <w:r>
        <w:rPr>
          <w:rFonts w:hint="eastAsia" w:ascii="微软雅黑" w:hAnsi="微软雅黑" w:eastAsia="微软雅黑" w:cs="宋体"/>
          <w:b/>
          <w:bCs/>
          <w:sz w:val="24"/>
          <w:szCs w:val="24"/>
        </w:rPr>
        <w:t>（免费）</w:t>
      </w:r>
    </w:p>
    <w:p>
      <w:pPr>
        <w:pStyle w:val="11"/>
        <w:numPr>
          <w:ilvl w:val="0"/>
          <w:numId w:val="2"/>
        </w:numPr>
        <w:spacing w:line="380" w:lineRule="atLeast"/>
        <w:ind w:firstLineChars="0"/>
        <w:rPr>
          <w:rFonts w:ascii="微软雅黑" w:hAnsi="微软雅黑" w:eastAsia="微软雅黑" w:cs="黑体"/>
          <w:color w:val="993300"/>
          <w:sz w:val="24"/>
          <w:szCs w:val="24"/>
        </w:rPr>
      </w:pPr>
      <w:r>
        <w:rPr>
          <w:rFonts w:hint="eastAsia" w:ascii="微软雅黑" w:hAnsi="微软雅黑" w:eastAsia="微软雅黑" w:cs="黑体"/>
          <w:color w:val="993300"/>
          <w:sz w:val="24"/>
          <w:szCs w:val="24"/>
        </w:rPr>
        <w:t>课中：全面解决问题</w:t>
      </w:r>
    </w:p>
    <w:p>
      <w:pPr>
        <w:spacing w:line="380" w:lineRule="atLeast"/>
        <w:rPr>
          <w:rFonts w:ascii="微软雅黑" w:hAnsi="微软雅黑" w:eastAsia="微软雅黑" w:cs="宋体"/>
          <w:b/>
          <w:bCs/>
          <w:sz w:val="24"/>
          <w:szCs w:val="24"/>
        </w:rPr>
      </w:pPr>
      <w:r>
        <w:rPr>
          <w:rFonts w:hint="eastAsia" w:ascii="微软雅黑" w:hAnsi="微软雅黑" w:eastAsia="微软雅黑" w:cs="宋体"/>
          <w:sz w:val="24"/>
          <w:szCs w:val="24"/>
        </w:rPr>
        <w:t>聚焦性—解决企业所有提交问题</w:t>
      </w:r>
      <w:r>
        <w:rPr>
          <w:rFonts w:hint="eastAsia" w:ascii="微软雅黑" w:hAnsi="微软雅黑" w:eastAsia="微软雅黑" w:cs="宋体"/>
          <w:b/>
          <w:bCs/>
          <w:sz w:val="24"/>
          <w:szCs w:val="24"/>
        </w:rPr>
        <w:t>（免费）</w:t>
      </w:r>
    </w:p>
    <w:p>
      <w:pPr>
        <w:pStyle w:val="11"/>
        <w:numPr>
          <w:ilvl w:val="0"/>
          <w:numId w:val="2"/>
        </w:numPr>
        <w:spacing w:line="380" w:lineRule="atLeast"/>
        <w:ind w:firstLineChars="0"/>
        <w:rPr>
          <w:rFonts w:ascii="微软雅黑" w:hAnsi="微软雅黑" w:eastAsia="微软雅黑" w:cs="黑体"/>
          <w:color w:val="993300"/>
          <w:sz w:val="24"/>
          <w:szCs w:val="24"/>
        </w:rPr>
      </w:pPr>
      <w:r>
        <w:rPr>
          <w:rFonts w:hint="eastAsia" w:ascii="微软雅黑" w:hAnsi="微软雅黑" w:eastAsia="微软雅黑" w:cs="黑体"/>
          <w:color w:val="993300"/>
          <w:sz w:val="24"/>
          <w:szCs w:val="24"/>
        </w:rPr>
        <w:t>课后：落地复习会</w:t>
      </w:r>
    </w:p>
    <w:p>
      <w:pPr>
        <w:spacing w:line="380" w:lineRule="atLeast"/>
        <w:rPr>
          <w:rFonts w:ascii="微软雅黑" w:hAnsi="微软雅黑" w:eastAsia="微软雅黑" w:cs="宋体"/>
          <w:sz w:val="24"/>
          <w:szCs w:val="24"/>
        </w:rPr>
      </w:pPr>
      <w:r>
        <w:rPr>
          <w:rFonts w:hint="eastAsia" w:ascii="微软雅黑" w:hAnsi="微软雅黑" w:eastAsia="微软雅黑" w:cs="宋体"/>
          <w:sz w:val="24"/>
          <w:szCs w:val="24"/>
        </w:rPr>
        <w:t>线下集中落地复习会</w:t>
      </w:r>
      <w:r>
        <w:rPr>
          <w:rFonts w:hint="eastAsia" w:ascii="微软雅黑" w:hAnsi="微软雅黑" w:eastAsia="微软雅黑" w:cs="宋体"/>
          <w:b/>
          <w:bCs/>
          <w:sz w:val="24"/>
          <w:szCs w:val="24"/>
        </w:rPr>
        <w:t>（免费）</w:t>
      </w:r>
    </w:p>
    <w:p>
      <w:pPr>
        <w:pStyle w:val="11"/>
        <w:numPr>
          <w:ilvl w:val="0"/>
          <w:numId w:val="2"/>
        </w:numPr>
        <w:spacing w:line="380" w:lineRule="atLeast"/>
        <w:ind w:firstLineChars="0"/>
        <w:rPr>
          <w:rFonts w:ascii="微软雅黑" w:hAnsi="微软雅黑" w:eastAsia="微软雅黑" w:cs="黑体"/>
          <w:color w:val="993300"/>
          <w:sz w:val="24"/>
          <w:szCs w:val="24"/>
        </w:rPr>
      </w:pPr>
      <w:r>
        <w:rPr>
          <w:rFonts w:hint="eastAsia" w:ascii="微软雅黑" w:hAnsi="微软雅黑" w:eastAsia="微软雅黑" w:cs="黑体"/>
          <w:color w:val="993300"/>
          <w:sz w:val="24"/>
          <w:szCs w:val="24"/>
        </w:rPr>
        <w:t>日常：共创私董会</w:t>
      </w:r>
    </w:p>
    <w:p>
      <w:pPr>
        <w:spacing w:line="380" w:lineRule="atLeast"/>
        <w:rPr>
          <w:rFonts w:hint="eastAsia" w:ascii="微软雅黑" w:hAnsi="微软雅黑" w:eastAsia="微软雅黑" w:cs="宋体"/>
          <w:b/>
          <w:bCs/>
          <w:sz w:val="24"/>
          <w:szCs w:val="24"/>
        </w:rPr>
      </w:pPr>
      <w:r>
        <w:rPr>
          <w:rFonts w:hint="eastAsia" w:ascii="微软雅黑" w:hAnsi="微软雅黑" w:eastAsia="微软雅黑" w:cs="宋体"/>
          <w:sz w:val="24"/>
          <w:szCs w:val="24"/>
        </w:rPr>
        <w:t>每次甄选12+8家优秀企业、定期召开，每次挑选一个企业问题</w:t>
      </w:r>
      <w:r>
        <w:rPr>
          <w:rFonts w:hint="eastAsia" w:ascii="微软雅黑" w:hAnsi="微软雅黑" w:eastAsia="微软雅黑" w:cs="宋体"/>
          <w:b/>
          <w:bCs/>
          <w:sz w:val="24"/>
          <w:szCs w:val="24"/>
        </w:rPr>
        <w:t>（免费）</w:t>
      </w:r>
    </w:p>
    <w:p>
      <w:pPr>
        <w:spacing w:line="380" w:lineRule="atLeast"/>
        <w:rPr>
          <w:rFonts w:hint="eastAsia" w:ascii="微软雅黑" w:hAnsi="微软雅黑" w:eastAsia="微软雅黑" w:cs="宋体"/>
          <w:b/>
          <w:bCs/>
          <w:sz w:val="24"/>
          <w:szCs w:val="24"/>
        </w:rPr>
      </w:pPr>
    </w:p>
    <w:p>
      <w:pPr>
        <w:spacing w:line="380" w:lineRule="atLeast"/>
        <w:rPr>
          <w:rFonts w:ascii="微软雅黑" w:hAnsi="微软雅黑" w:eastAsia="微软雅黑" w:cs="宋体"/>
          <w:b/>
          <w:bCs/>
          <w:sz w:val="24"/>
          <w:szCs w:val="24"/>
        </w:rPr>
      </w:pPr>
    </w:p>
    <w:p>
      <w:pPr>
        <w:widowControl/>
        <w:shd w:val="clear" w:color="auto" w:fill="9F0606"/>
        <w:snapToGrid w:val="0"/>
        <w:spacing w:before="480" w:line="420" w:lineRule="atLeast"/>
        <w:jc w:val="left"/>
        <w:rPr>
          <w:rFonts w:ascii="微软雅黑" w:hAnsi="微软雅黑" w:eastAsia="微软雅黑" w:cs="黑体"/>
          <w:b/>
          <w:bCs/>
          <w:color w:val="FFFFFF"/>
          <w:kern w:val="0"/>
          <w:sz w:val="28"/>
          <w:szCs w:val="28"/>
        </w:rPr>
      </w:pPr>
      <w:r>
        <w:rPr>
          <w:rFonts w:hint="eastAsia" w:ascii="微软雅黑" w:hAnsi="微软雅黑" w:eastAsia="微软雅黑" w:cs="黑体"/>
          <w:b/>
          <w:bCs/>
          <w:color w:val="FFFFFF"/>
          <w:kern w:val="0"/>
          <w:sz w:val="28"/>
          <w:szCs w:val="28"/>
        </w:rPr>
        <w:t>【课程设置】</w:t>
      </w:r>
    </w:p>
    <w:p>
      <w:pPr>
        <w:spacing w:line="380" w:lineRule="atLeast"/>
        <w:rPr>
          <w:rFonts w:ascii="微软雅黑" w:hAnsi="微软雅黑" w:eastAsia="微软雅黑" w:cs="宋体"/>
          <w:b/>
          <w:bCs/>
          <w:sz w:val="24"/>
          <w:szCs w:val="24"/>
        </w:rPr>
      </w:pPr>
    </w:p>
    <w:tbl>
      <w:tblPr>
        <w:tblStyle w:val="6"/>
        <w:tblpPr w:leftFromText="180" w:rightFromText="180" w:vertAnchor="text" w:horzAnchor="margin" w:tblpY="1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Times New Roman"/>
                <w:b/>
                <w:bCs/>
                <w:color w:val="993300"/>
                <w:sz w:val="28"/>
                <w:szCs w:val="28"/>
              </w:rPr>
            </w:pPr>
            <w:r>
              <w:rPr>
                <w:rFonts w:hint="eastAsia" w:ascii="微软雅黑" w:hAnsi="微软雅黑" w:eastAsia="微软雅黑" w:cs="黑体"/>
                <w:b/>
                <w:color w:val="993300"/>
                <w:sz w:val="28"/>
                <w:szCs w:val="28"/>
              </w:rPr>
              <w:t>营销战略---构建「持续经营·有效增长」的营销战略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9288" w:type="dxa"/>
          </w:tcPr>
          <w:p>
            <w:pPr>
              <w:numPr>
                <w:ilvl w:val="0"/>
                <w:numId w:val="3"/>
              </w:numPr>
              <w:spacing w:line="420" w:lineRule="atLeast"/>
              <w:rPr>
                <w:rFonts w:ascii="微软雅黑" w:hAnsi="微软雅黑" w:eastAsia="微软雅黑" w:cs="仿宋"/>
                <w:bCs/>
              </w:rPr>
            </w:pPr>
            <w:r>
              <w:rPr>
                <w:rFonts w:hint="eastAsia" w:ascii="微软雅黑" w:hAnsi="微软雅黑" w:eastAsia="微软雅黑" w:cs="仿宋"/>
                <w:bCs/>
              </w:rPr>
              <w:t>没有前瞻的市场洞察，就没有可落地的营销战略</w:t>
            </w:r>
            <w:r>
              <w:rPr>
                <w:rFonts w:hint="eastAsia" w:ascii="微软雅黑" w:hAnsi="微软雅黑" w:eastAsia="微软雅黑"/>
              </w:rPr>
              <w:t xml:space="preserve"> </w:t>
            </w:r>
          </w:p>
          <w:p>
            <w:pPr>
              <w:numPr>
                <w:ilvl w:val="0"/>
                <w:numId w:val="3"/>
              </w:numPr>
              <w:spacing w:line="420" w:lineRule="atLeast"/>
              <w:rPr>
                <w:rFonts w:ascii="微软雅黑" w:hAnsi="微软雅黑" w:eastAsia="微软雅黑" w:cs="仿宋"/>
                <w:bCs/>
              </w:rPr>
            </w:pPr>
            <w:r>
              <w:rPr>
                <w:rFonts w:hint="eastAsia" w:ascii="微软雅黑" w:hAnsi="微软雅黑" w:eastAsia="微软雅黑" w:cs="仿宋"/>
                <w:bCs/>
              </w:rPr>
              <w:t>着眼于未来的业务设计，确保业绩保持有效增长</w:t>
            </w:r>
          </w:p>
          <w:p>
            <w:pPr>
              <w:numPr>
                <w:ilvl w:val="0"/>
                <w:numId w:val="3"/>
              </w:numPr>
              <w:spacing w:line="420" w:lineRule="atLeast"/>
              <w:rPr>
                <w:rFonts w:ascii="微软雅黑" w:hAnsi="微软雅黑" w:eastAsia="微软雅黑" w:cs="仿宋"/>
                <w:bCs/>
              </w:rPr>
            </w:pPr>
            <w:r>
              <w:rPr>
                <w:rFonts w:hint="eastAsia" w:ascii="微软雅黑" w:hAnsi="微软雅黑" w:eastAsia="微软雅黑" w:cs="仿宋"/>
                <w:bCs/>
              </w:rPr>
              <w:t>营销业绩从偶然到必然，源于高质量的营销战略与执行</w:t>
            </w:r>
          </w:p>
          <w:p>
            <w:pPr>
              <w:numPr>
                <w:ilvl w:val="0"/>
                <w:numId w:val="3"/>
              </w:numPr>
              <w:spacing w:line="420" w:lineRule="atLeast"/>
              <w:rPr>
                <w:rFonts w:ascii="微软雅黑" w:hAnsi="微软雅黑" w:eastAsia="微软雅黑" w:cs="仿宋"/>
                <w:b/>
                <w:bCs/>
              </w:rPr>
            </w:pPr>
            <w:r>
              <w:rPr>
                <w:rFonts w:hint="eastAsia" w:ascii="微软雅黑" w:hAnsi="微软雅黑" w:eastAsia="微软雅黑" w:cs="仿宋"/>
                <w:bCs/>
              </w:rPr>
              <w:t>构造「面向客户·以客户为中心」的营销价值创造管理体系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Times New Roman"/>
                <w:b/>
                <w:bCs/>
                <w:color w:val="993300"/>
                <w:sz w:val="28"/>
                <w:szCs w:val="28"/>
              </w:rPr>
            </w:pPr>
            <w:r>
              <w:rPr>
                <w:rFonts w:hint="eastAsia" w:ascii="微软雅黑" w:hAnsi="微软雅黑" w:eastAsia="微软雅黑" w:cs="黑体"/>
                <w:b/>
                <w:color w:val="993300"/>
                <w:sz w:val="28"/>
                <w:szCs w:val="28"/>
              </w:rPr>
              <w:t>营销铁军---打造「召之则来·来之能战·战之必胜」的无敌铁军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仿宋"/>
                <w:bCs/>
              </w:rPr>
            </w:pPr>
            <w:r>
              <w:rPr>
                <w:rFonts w:hint="eastAsia" w:ascii="微软雅黑" w:hAnsi="微软雅黑" w:eastAsia="微软雅黑" w:cs="仿宋"/>
                <w:bCs/>
              </w:rPr>
              <w:t>1.</w:t>
            </w:r>
            <w:r>
              <w:rPr>
                <w:rFonts w:hint="eastAsia" w:ascii="微软雅黑" w:hAnsi="微软雅黑" w:eastAsia="微软雅黑" w:cs="仿宋"/>
                <w:bCs/>
              </w:rPr>
              <w:tab/>
            </w:r>
            <w:r>
              <w:rPr>
                <w:rFonts w:hint="eastAsia" w:ascii="微软雅黑" w:hAnsi="微软雅黑" w:eastAsia="微软雅黑" w:cs="仿宋"/>
                <w:bCs/>
              </w:rPr>
              <w:t>打造面向客户和聚焦一线的无敌铁军</w:t>
            </w:r>
          </w:p>
          <w:p>
            <w:pPr>
              <w:spacing w:line="420" w:lineRule="atLeast"/>
              <w:rPr>
                <w:rFonts w:ascii="微软雅黑" w:hAnsi="微软雅黑" w:eastAsia="微软雅黑" w:cs="仿宋"/>
                <w:bCs/>
              </w:rPr>
            </w:pPr>
            <w:r>
              <w:rPr>
                <w:rFonts w:hint="eastAsia" w:ascii="微软雅黑" w:hAnsi="微软雅黑" w:eastAsia="微软雅黑" w:cs="仿宋"/>
                <w:bCs/>
              </w:rPr>
              <w:t>2.</w:t>
            </w:r>
            <w:r>
              <w:rPr>
                <w:rFonts w:hint="eastAsia" w:ascii="微软雅黑" w:hAnsi="微软雅黑" w:eastAsia="微软雅黑" w:cs="仿宋"/>
                <w:bCs/>
              </w:rPr>
              <w:tab/>
            </w:r>
            <w:r>
              <w:rPr>
                <w:rFonts w:hint="eastAsia" w:ascii="微软雅黑" w:hAnsi="微软雅黑" w:eastAsia="微软雅黑" w:cs="仿宋"/>
                <w:bCs/>
              </w:rPr>
              <w:t>「召之则来·来之能战·战之必胜」营销铁军打造六部曲</w:t>
            </w:r>
          </w:p>
          <w:p>
            <w:pPr>
              <w:spacing w:line="420" w:lineRule="atLeast"/>
              <w:rPr>
                <w:rFonts w:ascii="微软雅黑" w:hAnsi="微软雅黑" w:eastAsia="微软雅黑" w:cs="仿宋"/>
                <w:bCs/>
              </w:rPr>
            </w:pPr>
            <w:r>
              <w:rPr>
                <w:rFonts w:hint="eastAsia" w:ascii="微软雅黑" w:hAnsi="微软雅黑" w:eastAsia="微软雅黑" w:cs="仿宋"/>
                <w:bCs/>
              </w:rPr>
              <w:t>3.</w:t>
            </w:r>
            <w:r>
              <w:rPr>
                <w:rFonts w:hint="eastAsia" w:ascii="微软雅黑" w:hAnsi="微软雅黑" w:eastAsia="微软雅黑" w:cs="仿宋"/>
                <w:bCs/>
              </w:rPr>
              <w:tab/>
            </w:r>
            <w:r>
              <w:rPr>
                <w:rFonts w:hint="eastAsia" w:ascii="微软雅黑" w:hAnsi="微软雅黑" w:eastAsia="微软雅黑" w:cs="仿宋"/>
                <w:bCs/>
              </w:rPr>
              <w:t>面向客户和导向冲锋的营销铁军激励机制</w:t>
            </w:r>
          </w:p>
          <w:p>
            <w:pPr>
              <w:spacing w:line="420" w:lineRule="atLeast"/>
              <w:rPr>
                <w:rFonts w:ascii="微软雅黑" w:hAnsi="微软雅黑" w:eastAsia="微软雅黑" w:cs="仿宋"/>
                <w:b/>
                <w:bCs/>
                <w:color w:val="C00000"/>
              </w:rPr>
            </w:pPr>
            <w:r>
              <w:rPr>
                <w:rFonts w:hint="eastAsia" w:ascii="微软雅黑" w:hAnsi="微软雅黑" w:eastAsia="微软雅黑" w:cs="仿宋"/>
                <w:bCs/>
              </w:rPr>
              <w:t>4.</w:t>
            </w:r>
            <w:r>
              <w:rPr>
                <w:rFonts w:hint="eastAsia" w:ascii="微软雅黑" w:hAnsi="微软雅黑" w:eastAsia="微软雅黑" w:cs="仿宋"/>
                <w:bCs/>
              </w:rPr>
              <w:tab/>
            </w:r>
            <w:r>
              <w:rPr>
                <w:rFonts w:hint="eastAsia" w:ascii="微软雅黑" w:hAnsi="微软雅黑" w:eastAsia="微软雅黑" w:cs="仿宋"/>
                <w:bCs/>
              </w:rPr>
              <w:t>“赢”在营销思维罗盘—让营销铁军自动自发，自我驱动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Times New Roman"/>
                <w:b/>
                <w:bCs/>
                <w:color w:val="993300"/>
              </w:rPr>
            </w:pPr>
            <w:r>
              <w:rPr>
                <w:rFonts w:hint="eastAsia" w:ascii="微软雅黑" w:hAnsi="微软雅黑" w:eastAsia="微软雅黑" w:cs="黑体"/>
                <w:b/>
                <w:color w:val="993300"/>
                <w:sz w:val="28"/>
                <w:szCs w:val="28"/>
              </w:rPr>
              <w:t>营销领袖---培养「着眼未来·系统思考」的一流营销干部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仿宋"/>
                <w:bCs/>
              </w:rPr>
            </w:pPr>
            <w:r>
              <w:rPr>
                <w:rFonts w:hint="eastAsia" w:ascii="微软雅黑" w:hAnsi="微软雅黑" w:eastAsia="微软雅黑" w:cs="仿宋"/>
                <w:bCs/>
              </w:rPr>
              <w:t>1.</w:t>
            </w:r>
            <w:r>
              <w:rPr>
                <w:rFonts w:hint="eastAsia" w:ascii="微软雅黑" w:hAnsi="微软雅黑" w:eastAsia="微软雅黑" w:cs="仿宋"/>
                <w:bCs/>
              </w:rPr>
              <w:tab/>
            </w:r>
            <w:r>
              <w:rPr>
                <w:rFonts w:hint="eastAsia" w:ascii="微软雅黑" w:hAnsi="微软雅黑" w:eastAsia="微软雅黑" w:cs="仿宋"/>
                <w:bCs/>
              </w:rPr>
              <w:t>营销干部系统营销核心能力分解---5环15招</w:t>
            </w:r>
          </w:p>
          <w:p>
            <w:pPr>
              <w:spacing w:line="420" w:lineRule="atLeast"/>
              <w:rPr>
                <w:rFonts w:ascii="微软雅黑" w:hAnsi="微软雅黑" w:eastAsia="微软雅黑" w:cs="仿宋"/>
                <w:bCs/>
              </w:rPr>
            </w:pPr>
            <w:r>
              <w:rPr>
                <w:rFonts w:hint="eastAsia" w:ascii="微软雅黑" w:hAnsi="微软雅黑" w:eastAsia="微软雅黑" w:cs="仿宋"/>
                <w:bCs/>
              </w:rPr>
              <w:t>2.</w:t>
            </w:r>
            <w:r>
              <w:rPr>
                <w:rFonts w:hint="eastAsia" w:ascii="微软雅黑" w:hAnsi="微软雅黑" w:eastAsia="微软雅黑" w:cs="仿宋"/>
                <w:bCs/>
              </w:rPr>
              <w:tab/>
            </w:r>
            <w:r>
              <w:rPr>
                <w:rFonts w:hint="eastAsia" w:ascii="微软雅黑" w:hAnsi="微软雅黑" w:eastAsia="微软雅黑" w:cs="仿宋"/>
                <w:bCs/>
              </w:rPr>
              <w:t>营销干部如何构建端到端的营销能力，做到心中有全景，手中有场景</w:t>
            </w:r>
          </w:p>
          <w:p>
            <w:pPr>
              <w:spacing w:line="420" w:lineRule="atLeast"/>
              <w:rPr>
                <w:rFonts w:ascii="微软雅黑" w:hAnsi="微软雅黑" w:eastAsia="微软雅黑" w:cs="仿宋"/>
                <w:bCs/>
              </w:rPr>
            </w:pPr>
            <w:r>
              <w:rPr>
                <w:rFonts w:hint="eastAsia" w:ascii="微软雅黑" w:hAnsi="微软雅黑" w:eastAsia="微软雅黑" w:cs="仿宋"/>
                <w:bCs/>
              </w:rPr>
              <w:t>3.</w:t>
            </w:r>
            <w:r>
              <w:rPr>
                <w:rFonts w:hint="eastAsia" w:ascii="微软雅黑" w:hAnsi="微软雅黑" w:eastAsia="微软雅黑" w:cs="仿宋"/>
                <w:bCs/>
              </w:rPr>
              <w:tab/>
            </w:r>
            <w:r>
              <w:rPr>
                <w:rFonts w:hint="eastAsia" w:ascii="微软雅黑" w:hAnsi="微软雅黑" w:eastAsia="微软雅黑" w:cs="仿宋"/>
                <w:bCs/>
              </w:rPr>
              <w:t>营销干部应如何开展新业务并短期取得竞争优势</w:t>
            </w:r>
          </w:p>
          <w:p>
            <w:pPr>
              <w:spacing w:line="420" w:lineRule="atLeast"/>
              <w:rPr>
                <w:rFonts w:ascii="微软雅黑" w:hAnsi="微软雅黑" w:eastAsia="微软雅黑" w:cs="仿宋"/>
                <w:b/>
                <w:bCs/>
                <w:color w:val="C00000"/>
              </w:rPr>
            </w:pPr>
            <w:r>
              <w:rPr>
                <w:rFonts w:hint="eastAsia" w:ascii="微软雅黑" w:hAnsi="微软雅黑" w:eastAsia="微软雅黑" w:cs="仿宋"/>
                <w:bCs/>
              </w:rPr>
              <w:t>4.</w:t>
            </w:r>
            <w:r>
              <w:rPr>
                <w:rFonts w:hint="eastAsia" w:ascii="微软雅黑" w:hAnsi="微软雅黑" w:eastAsia="微软雅黑" w:cs="仿宋"/>
                <w:bCs/>
              </w:rPr>
              <w:tab/>
            </w:r>
            <w:r>
              <w:rPr>
                <w:rFonts w:hint="eastAsia" w:ascii="微软雅黑" w:hAnsi="微软雅黑" w:eastAsia="微软雅黑" w:cs="仿宋"/>
                <w:bCs/>
              </w:rPr>
              <w:t>没有精准的业务分析，就没有精准的营销干部配置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Times New Roman"/>
                <w:b/>
                <w:bCs/>
                <w:color w:val="993300"/>
              </w:rPr>
            </w:pPr>
            <w:r>
              <w:rPr>
                <w:rFonts w:hint="eastAsia" w:ascii="微软雅黑" w:hAnsi="微软雅黑" w:eastAsia="微软雅黑" w:cs="黑体"/>
                <w:b/>
                <w:color w:val="993300"/>
                <w:sz w:val="28"/>
                <w:szCs w:val="28"/>
              </w:rPr>
              <w:t>营销管理---构建「效率驱动·自动运转」的营销内控体系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仿宋"/>
                <w:bCs/>
              </w:rPr>
            </w:pPr>
            <w:r>
              <w:rPr>
                <w:rFonts w:hint="eastAsia" w:ascii="微软雅黑" w:hAnsi="微软雅黑" w:eastAsia="微软雅黑" w:cs="仿宋"/>
                <w:bCs/>
              </w:rPr>
              <w:t>1.</w:t>
            </w:r>
            <w:r>
              <w:rPr>
                <w:rFonts w:hint="eastAsia" w:ascii="微软雅黑" w:hAnsi="微软雅黑" w:eastAsia="微软雅黑" w:cs="仿宋"/>
                <w:bCs/>
              </w:rPr>
              <w:tab/>
            </w:r>
            <w:r>
              <w:rPr>
                <w:rFonts w:hint="eastAsia" w:ascii="微软雅黑" w:hAnsi="微软雅黑" w:eastAsia="微软雅黑" w:cs="仿宋"/>
                <w:bCs/>
              </w:rPr>
              <w:t>高效搭建营销管理职能部门三大秘诀及六大核心工作要点</w:t>
            </w:r>
          </w:p>
          <w:p>
            <w:pPr>
              <w:spacing w:line="420" w:lineRule="atLeast"/>
              <w:rPr>
                <w:rFonts w:ascii="微软雅黑" w:hAnsi="微软雅黑" w:eastAsia="微软雅黑" w:cs="仿宋"/>
                <w:bCs/>
              </w:rPr>
            </w:pPr>
            <w:r>
              <w:rPr>
                <w:rFonts w:hint="eastAsia" w:ascii="微软雅黑" w:hAnsi="微软雅黑" w:eastAsia="微软雅黑" w:cs="仿宋"/>
                <w:bCs/>
              </w:rPr>
              <w:t>2.</w:t>
            </w:r>
            <w:r>
              <w:rPr>
                <w:rFonts w:hint="eastAsia" w:ascii="微软雅黑" w:hAnsi="微软雅黑" w:eastAsia="微软雅黑" w:cs="仿宋"/>
                <w:bCs/>
              </w:rPr>
              <w:tab/>
            </w:r>
            <w:r>
              <w:rPr>
                <w:rFonts w:hint="eastAsia" w:ascii="微软雅黑" w:hAnsi="微软雅黑" w:eastAsia="微软雅黑" w:cs="仿宋"/>
                <w:bCs/>
              </w:rPr>
              <w:t>构建完善的营销内控管理机制，让营销业绩从偶然到必然</w:t>
            </w:r>
          </w:p>
          <w:p>
            <w:pPr>
              <w:spacing w:line="420" w:lineRule="atLeast"/>
              <w:rPr>
                <w:rFonts w:ascii="微软雅黑" w:hAnsi="微软雅黑" w:eastAsia="微软雅黑" w:cs="仿宋"/>
                <w:bCs/>
              </w:rPr>
            </w:pPr>
            <w:r>
              <w:rPr>
                <w:rFonts w:hint="eastAsia" w:ascii="微软雅黑" w:hAnsi="微软雅黑" w:eastAsia="微软雅黑" w:cs="仿宋"/>
                <w:bCs/>
              </w:rPr>
              <w:t>3.</w:t>
            </w:r>
            <w:r>
              <w:rPr>
                <w:rFonts w:hint="eastAsia" w:ascii="微软雅黑" w:hAnsi="微软雅黑" w:eastAsia="微软雅黑" w:cs="仿宋"/>
                <w:bCs/>
              </w:rPr>
              <w:tab/>
            </w:r>
            <w:r>
              <w:rPr>
                <w:rFonts w:hint="eastAsia" w:ascii="微软雅黑" w:hAnsi="微软雅黑" w:eastAsia="微软雅黑" w:cs="仿宋"/>
                <w:bCs/>
              </w:rPr>
              <w:t>营销快速纠偏能力构建的金钥匙及五大关键</w:t>
            </w:r>
          </w:p>
          <w:p>
            <w:pPr>
              <w:spacing w:line="420" w:lineRule="atLeast"/>
              <w:rPr>
                <w:rFonts w:ascii="微软雅黑" w:hAnsi="微软雅黑" w:eastAsia="微软雅黑" w:cs="仿宋"/>
                <w:b/>
                <w:bCs/>
                <w:color w:val="C00000"/>
              </w:rPr>
            </w:pPr>
            <w:r>
              <w:rPr>
                <w:rFonts w:hint="eastAsia" w:ascii="微软雅黑" w:hAnsi="微软雅黑" w:eastAsia="微软雅黑" w:cs="仿宋"/>
                <w:bCs/>
              </w:rPr>
              <w:t>4.</w:t>
            </w:r>
            <w:r>
              <w:rPr>
                <w:rFonts w:hint="eastAsia" w:ascii="微软雅黑" w:hAnsi="微软雅黑" w:eastAsia="微软雅黑" w:cs="仿宋"/>
                <w:bCs/>
              </w:rPr>
              <w:tab/>
            </w:r>
            <w:r>
              <w:rPr>
                <w:rFonts w:hint="eastAsia" w:ascii="微软雅黑" w:hAnsi="微软雅黑" w:eastAsia="微软雅黑" w:cs="仿宋"/>
                <w:bCs/>
              </w:rPr>
              <w:t>从营销战略到营销执行，打造营销经营全流程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Times New Roman"/>
                <w:b/>
                <w:bCs/>
                <w:color w:val="993300"/>
              </w:rPr>
            </w:pPr>
            <w:r>
              <w:rPr>
                <w:rFonts w:hint="eastAsia" w:ascii="微软雅黑" w:hAnsi="微软雅黑" w:eastAsia="微软雅黑" w:cs="黑体"/>
                <w:b/>
                <w:color w:val="993300"/>
                <w:sz w:val="28"/>
                <w:szCs w:val="28"/>
              </w:rPr>
              <w:t>营销渠道---全方位构建「相互依赖·自动自发」的渠道通路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numPr>
                <w:ilvl w:val="0"/>
                <w:numId w:val="4"/>
              </w:numPr>
              <w:spacing w:line="420" w:lineRule="atLeast"/>
              <w:rPr>
                <w:rFonts w:ascii="微软雅黑" w:hAnsi="微软雅黑" w:eastAsia="微软雅黑" w:cs="仿宋"/>
                <w:bCs/>
              </w:rPr>
            </w:pPr>
            <w:r>
              <w:rPr>
                <w:rFonts w:hint="eastAsia" w:ascii="微软雅黑" w:hAnsi="微软雅黑" w:eastAsia="微软雅黑" w:cs="仿宋"/>
                <w:bCs/>
              </w:rPr>
              <w:t>营销渠道经营的3大致命错误及6大渠道经营思维</w:t>
            </w:r>
          </w:p>
          <w:p>
            <w:pPr>
              <w:numPr>
                <w:ilvl w:val="0"/>
                <w:numId w:val="4"/>
              </w:numPr>
              <w:spacing w:line="420" w:lineRule="atLeast"/>
              <w:rPr>
                <w:rFonts w:ascii="微软雅黑" w:hAnsi="微软雅黑" w:eastAsia="微软雅黑" w:cs="仿宋"/>
                <w:bCs/>
              </w:rPr>
            </w:pPr>
            <w:r>
              <w:rPr>
                <w:rFonts w:hint="eastAsia" w:ascii="微软雅黑" w:hAnsi="微软雅黑" w:eastAsia="微软雅黑" w:cs="仿宋"/>
                <w:bCs/>
              </w:rPr>
              <w:t>整合优质渠道资源，把游击队变成正规军的六大秘技</w:t>
            </w:r>
          </w:p>
          <w:p>
            <w:pPr>
              <w:numPr>
                <w:ilvl w:val="0"/>
                <w:numId w:val="4"/>
              </w:numPr>
              <w:spacing w:line="420" w:lineRule="atLeast"/>
              <w:rPr>
                <w:rFonts w:ascii="微软雅黑" w:hAnsi="微软雅黑" w:eastAsia="微软雅黑" w:cs="仿宋"/>
                <w:bCs/>
              </w:rPr>
            </w:pPr>
            <w:r>
              <w:rPr>
                <w:rFonts w:hint="eastAsia" w:ascii="微软雅黑" w:hAnsi="微软雅黑" w:eastAsia="微软雅黑" w:cs="仿宋"/>
                <w:bCs/>
              </w:rPr>
              <w:t>构建渠道自动自发，自我驱动的渠道激励及评估体系</w:t>
            </w:r>
          </w:p>
          <w:p>
            <w:pPr>
              <w:numPr>
                <w:ilvl w:val="0"/>
                <w:numId w:val="4"/>
              </w:numPr>
              <w:spacing w:line="420" w:lineRule="atLeast"/>
              <w:rPr>
                <w:rFonts w:ascii="微软雅黑" w:hAnsi="微软雅黑" w:eastAsia="微软雅黑" w:cs="仿宋"/>
                <w:b/>
                <w:bCs/>
              </w:rPr>
            </w:pPr>
            <w:r>
              <w:rPr>
                <w:rFonts w:hint="eastAsia" w:ascii="微软雅黑" w:hAnsi="微软雅黑" w:eastAsia="微软雅黑" w:cs="仿宋"/>
                <w:bCs/>
              </w:rPr>
              <w:t>终端内容的4大类型及营销策略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b/>
              </w:rPr>
            </w:pPr>
            <w:r>
              <w:rPr>
                <w:rFonts w:hint="eastAsia" w:ascii="微软雅黑" w:hAnsi="微软雅黑" w:eastAsia="微软雅黑" w:cs="黑体"/>
                <w:b/>
                <w:color w:val="993300"/>
                <w:sz w:val="28"/>
                <w:szCs w:val="28"/>
              </w:rPr>
              <w:t>营销需求---导向商业成功的「面向客户·需求驱动</w:t>
            </w:r>
            <w:r>
              <w:rPr>
                <w:rFonts w:ascii="微软雅黑" w:hAnsi="微软雅黑" w:eastAsia="微软雅黑" w:cs="黑体"/>
                <w:b/>
                <w:color w:val="993300"/>
                <w:sz w:val="28"/>
                <w:szCs w:val="28"/>
              </w:rPr>
              <w:t>」</w:t>
            </w:r>
            <w:r>
              <w:rPr>
                <w:rFonts w:hint="eastAsia" w:ascii="微软雅黑" w:hAnsi="微软雅黑" w:eastAsia="微软雅黑" w:cs="黑体"/>
                <w:b/>
                <w:color w:val="993300"/>
                <w:sz w:val="28"/>
                <w:szCs w:val="28"/>
              </w:rPr>
              <w:t>的全面需求管理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仿宋"/>
                <w:bCs/>
              </w:rPr>
            </w:pPr>
            <w:r>
              <w:rPr>
                <w:rFonts w:hint="eastAsia" w:ascii="微软雅黑" w:hAnsi="微软雅黑" w:eastAsia="微软雅黑" w:cs="仿宋"/>
                <w:bCs/>
              </w:rPr>
              <w:t>1.</w:t>
            </w:r>
            <w:r>
              <w:rPr>
                <w:rFonts w:hint="eastAsia" w:ascii="微软雅黑" w:hAnsi="微软雅黑" w:eastAsia="微软雅黑" w:cs="仿宋"/>
                <w:bCs/>
              </w:rPr>
              <w:tab/>
            </w:r>
            <w:r>
              <w:rPr>
                <w:rFonts w:hint="eastAsia" w:ascii="微软雅黑" w:hAnsi="微软雅黑" w:eastAsia="微软雅黑" w:cs="仿宋"/>
                <w:bCs/>
              </w:rPr>
              <w:t>客户需求管理是企业的核心竞争能力，洞察需求的企业才有未来</w:t>
            </w:r>
          </w:p>
          <w:p>
            <w:pPr>
              <w:spacing w:line="420" w:lineRule="atLeast"/>
              <w:rPr>
                <w:rFonts w:ascii="微软雅黑" w:hAnsi="微软雅黑" w:eastAsia="微软雅黑" w:cs="仿宋"/>
                <w:bCs/>
              </w:rPr>
            </w:pPr>
            <w:r>
              <w:rPr>
                <w:rFonts w:hint="eastAsia" w:ascii="微软雅黑" w:hAnsi="微软雅黑" w:eastAsia="微软雅黑" w:cs="仿宋"/>
                <w:bCs/>
              </w:rPr>
              <w:t>2.</w:t>
            </w:r>
            <w:r>
              <w:rPr>
                <w:rFonts w:hint="eastAsia" w:ascii="微软雅黑" w:hAnsi="微软雅黑" w:eastAsia="微软雅黑" w:cs="仿宋"/>
                <w:bCs/>
              </w:rPr>
              <w:tab/>
            </w:r>
            <w:r>
              <w:rPr>
                <w:rFonts w:hint="eastAsia" w:ascii="微软雅黑" w:hAnsi="微软雅黑" w:eastAsia="微软雅黑" w:cs="仿宋"/>
                <w:bCs/>
              </w:rPr>
              <w:t>客户需求手机的独特方法及客户全面需求管理</w:t>
            </w:r>
          </w:p>
          <w:p>
            <w:pPr>
              <w:spacing w:line="420" w:lineRule="atLeast"/>
              <w:rPr>
                <w:rFonts w:ascii="微软雅黑" w:hAnsi="微软雅黑" w:eastAsia="微软雅黑" w:cs="仿宋"/>
                <w:bCs/>
              </w:rPr>
            </w:pPr>
            <w:r>
              <w:rPr>
                <w:rFonts w:hint="eastAsia" w:ascii="微软雅黑" w:hAnsi="微软雅黑" w:eastAsia="微软雅黑" w:cs="仿宋"/>
                <w:bCs/>
              </w:rPr>
              <w:t>3.</w:t>
            </w:r>
            <w:r>
              <w:rPr>
                <w:rFonts w:hint="eastAsia" w:ascii="微软雅黑" w:hAnsi="微软雅黑" w:eastAsia="微软雅黑" w:cs="仿宋"/>
                <w:bCs/>
              </w:rPr>
              <w:tab/>
            </w:r>
            <w:r>
              <w:rPr>
                <w:rFonts w:hint="eastAsia" w:ascii="微软雅黑" w:hAnsi="微软雅黑" w:eastAsia="微软雅黑" w:cs="仿宋"/>
                <w:bCs/>
              </w:rPr>
              <w:t>如何从需求到产品，从产品到市场，再到商业成功</w:t>
            </w:r>
          </w:p>
          <w:p>
            <w:pPr>
              <w:spacing w:line="420" w:lineRule="atLeast"/>
              <w:rPr>
                <w:rFonts w:ascii="微软雅黑" w:hAnsi="微软雅黑" w:eastAsia="微软雅黑" w:cs="仿宋"/>
                <w:b/>
                <w:bCs/>
                <w:color w:val="C00000"/>
              </w:rPr>
            </w:pPr>
            <w:r>
              <w:rPr>
                <w:rFonts w:hint="eastAsia" w:ascii="微软雅黑" w:hAnsi="微软雅黑" w:eastAsia="微软雅黑" w:cs="仿宋"/>
                <w:bCs/>
              </w:rPr>
              <w:t>4.</w:t>
            </w:r>
            <w:r>
              <w:rPr>
                <w:rFonts w:hint="eastAsia" w:ascii="微软雅黑" w:hAnsi="微软雅黑" w:eastAsia="微软雅黑" w:cs="仿宋"/>
                <w:bCs/>
              </w:rPr>
              <w:tab/>
            </w:r>
            <w:r>
              <w:rPr>
                <w:rFonts w:hint="eastAsia" w:ascii="微软雅黑" w:hAnsi="微软雅黑" w:eastAsia="微软雅黑" w:cs="仿宋"/>
                <w:bCs/>
              </w:rPr>
              <w:t>产品如何创造价值并上市成功，构建导向经营和流程的研发组织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楷体"/>
                <w:b/>
              </w:rPr>
            </w:pPr>
            <w:r>
              <w:rPr>
                <w:rFonts w:hint="eastAsia" w:ascii="微软雅黑" w:hAnsi="微软雅黑" w:eastAsia="微软雅黑" w:cs="黑体"/>
                <w:b/>
                <w:color w:val="993300"/>
                <w:sz w:val="28"/>
                <w:szCs w:val="28"/>
              </w:rPr>
              <w:t>营销流程---构建「一线呼唤炮火·系统协同作战」的LTC流程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仿宋"/>
                <w:bCs/>
              </w:rPr>
            </w:pPr>
            <w:r>
              <w:rPr>
                <w:rFonts w:hint="eastAsia" w:ascii="微软雅黑" w:hAnsi="微软雅黑" w:eastAsia="微软雅黑" w:cs="仿宋"/>
                <w:bCs/>
              </w:rPr>
              <w:t>1.</w:t>
            </w:r>
            <w:r>
              <w:rPr>
                <w:rFonts w:hint="eastAsia" w:ascii="微软雅黑" w:hAnsi="微软雅黑" w:eastAsia="微软雅黑" w:cs="仿宋"/>
                <w:bCs/>
              </w:rPr>
              <w:tab/>
            </w:r>
            <w:r>
              <w:rPr>
                <w:rFonts w:hint="eastAsia" w:ascii="微软雅黑" w:hAnsi="微软雅黑" w:eastAsia="微软雅黑" w:cs="仿宋"/>
                <w:bCs/>
              </w:rPr>
              <w:t>流程缺乏导致的6大困境及管理体系流程化能力构建</w:t>
            </w:r>
          </w:p>
          <w:p>
            <w:pPr>
              <w:spacing w:line="420" w:lineRule="atLeast"/>
              <w:rPr>
                <w:rFonts w:ascii="微软雅黑" w:hAnsi="微软雅黑" w:eastAsia="微软雅黑" w:cs="仿宋"/>
                <w:bCs/>
              </w:rPr>
            </w:pPr>
            <w:r>
              <w:rPr>
                <w:rFonts w:hint="eastAsia" w:ascii="微软雅黑" w:hAnsi="微软雅黑" w:eastAsia="微软雅黑" w:cs="仿宋"/>
                <w:bCs/>
              </w:rPr>
              <w:t>2.</w:t>
            </w:r>
            <w:r>
              <w:rPr>
                <w:rFonts w:hint="eastAsia" w:ascii="微软雅黑" w:hAnsi="微软雅黑" w:eastAsia="微软雅黑" w:cs="仿宋"/>
                <w:bCs/>
              </w:rPr>
              <w:tab/>
            </w:r>
            <w:r>
              <w:rPr>
                <w:rFonts w:hint="eastAsia" w:ascii="微软雅黑" w:hAnsi="微软雅黑" w:eastAsia="微软雅黑" w:cs="仿宋"/>
                <w:bCs/>
              </w:rPr>
              <w:t>构建「一线呼唤炮火·系统协同作战」流程型组织作战体系</w:t>
            </w:r>
          </w:p>
          <w:p>
            <w:pPr>
              <w:spacing w:line="420" w:lineRule="atLeast"/>
              <w:rPr>
                <w:rFonts w:ascii="微软雅黑" w:hAnsi="微软雅黑" w:eastAsia="微软雅黑" w:cs="仿宋"/>
                <w:bCs/>
              </w:rPr>
            </w:pPr>
            <w:r>
              <w:rPr>
                <w:rFonts w:hint="eastAsia" w:ascii="微软雅黑" w:hAnsi="微软雅黑" w:eastAsia="微软雅黑" w:cs="仿宋"/>
                <w:bCs/>
              </w:rPr>
              <w:t>3.</w:t>
            </w:r>
            <w:r>
              <w:rPr>
                <w:rFonts w:hint="eastAsia" w:ascii="微软雅黑" w:hAnsi="微软雅黑" w:eastAsia="微软雅黑" w:cs="仿宋"/>
                <w:bCs/>
              </w:rPr>
              <w:tab/>
            </w:r>
            <w:r>
              <w:rPr>
                <w:rFonts w:hint="eastAsia" w:ascii="微软雅黑" w:hAnsi="微软雅黑" w:eastAsia="微软雅黑" w:cs="仿宋"/>
                <w:bCs/>
              </w:rPr>
              <w:t>LTC从线索到回款，打一场确定性的战争</w:t>
            </w:r>
          </w:p>
          <w:p>
            <w:pPr>
              <w:spacing w:line="420" w:lineRule="atLeast"/>
              <w:rPr>
                <w:rFonts w:ascii="微软雅黑" w:hAnsi="微软雅黑" w:eastAsia="微软雅黑" w:cs="仿宋"/>
                <w:b/>
                <w:bCs/>
                <w:color w:val="C00000"/>
              </w:rPr>
            </w:pPr>
            <w:r>
              <w:rPr>
                <w:rFonts w:hint="eastAsia" w:ascii="微软雅黑" w:hAnsi="微软雅黑" w:eastAsia="微软雅黑" w:cs="仿宋"/>
                <w:bCs/>
              </w:rPr>
              <w:t>4.</w:t>
            </w:r>
            <w:r>
              <w:rPr>
                <w:rFonts w:hint="eastAsia" w:ascii="微软雅黑" w:hAnsi="微软雅黑" w:eastAsia="微软雅黑" w:cs="仿宋"/>
                <w:bCs/>
              </w:rPr>
              <w:tab/>
            </w:r>
            <w:r>
              <w:rPr>
                <w:rFonts w:hint="eastAsia" w:ascii="微软雅黑" w:hAnsi="微软雅黑" w:eastAsia="微软雅黑" w:cs="仿宋"/>
                <w:bCs/>
              </w:rPr>
              <w:t>打通客户采购流程与企业的营销流程通道，全方位赋能客户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楷体"/>
                <w:b/>
              </w:rPr>
            </w:pPr>
            <w:r>
              <w:rPr>
                <w:rFonts w:hint="eastAsia" w:ascii="微软雅黑" w:hAnsi="微软雅黑" w:eastAsia="微软雅黑" w:cs="黑体"/>
                <w:b/>
                <w:color w:val="993300"/>
                <w:sz w:val="28"/>
                <w:szCs w:val="28"/>
              </w:rPr>
              <w:t>营销项目---构建「层层分解·有序推进」的大项目改变能力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仿宋"/>
                <w:bCs/>
              </w:rPr>
            </w:pPr>
            <w:r>
              <w:rPr>
                <w:rFonts w:hint="eastAsia" w:ascii="微软雅黑" w:hAnsi="微软雅黑" w:eastAsia="微软雅黑" w:cs="仿宋"/>
                <w:bCs/>
              </w:rPr>
              <w:t>1.</w:t>
            </w:r>
            <w:r>
              <w:rPr>
                <w:rFonts w:hint="eastAsia" w:ascii="微软雅黑" w:hAnsi="微软雅黑" w:eastAsia="微软雅黑" w:cs="仿宋"/>
                <w:bCs/>
              </w:rPr>
              <w:tab/>
            </w:r>
            <w:r>
              <w:rPr>
                <w:rFonts w:hint="eastAsia" w:ascii="微软雅黑" w:hAnsi="微软雅黑" w:eastAsia="微软雅黑" w:cs="仿宋"/>
                <w:bCs/>
              </w:rPr>
              <w:t>大项目成功率较低原因解读及大项目营销全流程探讨</w:t>
            </w:r>
          </w:p>
          <w:p>
            <w:pPr>
              <w:spacing w:line="420" w:lineRule="atLeast"/>
              <w:rPr>
                <w:rFonts w:ascii="微软雅黑" w:hAnsi="微软雅黑" w:eastAsia="微软雅黑" w:cs="仿宋"/>
                <w:bCs/>
              </w:rPr>
            </w:pPr>
            <w:r>
              <w:rPr>
                <w:rFonts w:hint="eastAsia" w:ascii="微软雅黑" w:hAnsi="微软雅黑" w:eastAsia="微软雅黑" w:cs="仿宋"/>
                <w:bCs/>
              </w:rPr>
              <w:t>2.</w:t>
            </w:r>
            <w:r>
              <w:rPr>
                <w:rFonts w:hint="eastAsia" w:ascii="微软雅黑" w:hAnsi="微软雅黑" w:eastAsia="微软雅黑" w:cs="仿宋"/>
                <w:bCs/>
              </w:rPr>
              <w:tab/>
            </w:r>
            <w:r>
              <w:rPr>
                <w:rFonts w:hint="eastAsia" w:ascii="微软雅黑" w:hAnsi="微软雅黑" w:eastAsia="微软雅黑" w:cs="仿宋"/>
                <w:bCs/>
              </w:rPr>
              <w:t>大项目决策关键人识别六要素及致胜关键要点</w:t>
            </w:r>
          </w:p>
          <w:p>
            <w:pPr>
              <w:spacing w:line="420" w:lineRule="atLeast"/>
              <w:rPr>
                <w:rFonts w:ascii="微软雅黑" w:hAnsi="微软雅黑" w:eastAsia="微软雅黑" w:cs="仿宋"/>
                <w:bCs/>
              </w:rPr>
            </w:pPr>
            <w:r>
              <w:rPr>
                <w:rFonts w:hint="eastAsia" w:ascii="微软雅黑" w:hAnsi="微软雅黑" w:eastAsia="微软雅黑" w:cs="仿宋"/>
                <w:bCs/>
              </w:rPr>
              <w:t>3.</w:t>
            </w:r>
            <w:r>
              <w:rPr>
                <w:rFonts w:hint="eastAsia" w:ascii="微软雅黑" w:hAnsi="微软雅黑" w:eastAsia="微软雅黑" w:cs="仿宋"/>
                <w:bCs/>
              </w:rPr>
              <w:tab/>
            </w:r>
            <w:r>
              <w:rPr>
                <w:rFonts w:hint="eastAsia" w:ascii="微软雅黑" w:hAnsi="微软雅黑" w:eastAsia="微软雅黑" w:cs="仿宋"/>
                <w:bCs/>
              </w:rPr>
              <w:t>大客户营销之六脉神剑</w:t>
            </w:r>
          </w:p>
          <w:p>
            <w:pPr>
              <w:spacing w:line="420" w:lineRule="atLeast"/>
              <w:rPr>
                <w:rFonts w:ascii="微软雅黑" w:hAnsi="微软雅黑" w:eastAsia="微软雅黑" w:cs="仿宋"/>
                <w:bCs/>
                <w:color w:val="C00000"/>
              </w:rPr>
            </w:pPr>
            <w:r>
              <w:rPr>
                <w:rFonts w:hint="eastAsia" w:ascii="微软雅黑" w:hAnsi="微软雅黑" w:eastAsia="微软雅黑" w:cs="仿宋"/>
                <w:bCs/>
              </w:rPr>
              <w:t>4.</w:t>
            </w:r>
            <w:r>
              <w:rPr>
                <w:rFonts w:hint="eastAsia" w:ascii="微软雅黑" w:hAnsi="微软雅黑" w:eastAsia="微软雅黑" w:cs="仿宋"/>
                <w:bCs/>
              </w:rPr>
              <w:tab/>
            </w:r>
            <w:r>
              <w:rPr>
                <w:rFonts w:hint="eastAsia" w:ascii="微软雅黑" w:hAnsi="微软雅黑" w:eastAsia="微软雅黑" w:cs="仿宋"/>
                <w:bCs/>
              </w:rPr>
              <w:t>向华为学习项目运作—如何攻下一座座山头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楷体"/>
                <w:b/>
              </w:rPr>
            </w:pPr>
            <w:r>
              <w:rPr>
                <w:rFonts w:hint="eastAsia" w:ascii="微软雅黑" w:hAnsi="微软雅黑" w:eastAsia="微软雅黑" w:cs="黑体"/>
                <w:b/>
                <w:color w:val="993300"/>
                <w:sz w:val="24"/>
                <w:szCs w:val="24"/>
              </w:rPr>
              <w:t>营销组织---搭建「面向客户·协同作战·相互关联·效率驱动」的营销组织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仿宋"/>
                <w:bCs/>
              </w:rPr>
            </w:pPr>
            <w:r>
              <w:rPr>
                <w:rFonts w:hint="eastAsia" w:ascii="微软雅黑" w:hAnsi="微软雅黑" w:eastAsia="微软雅黑" w:cs="仿宋"/>
                <w:bCs/>
              </w:rPr>
              <w:t>1.</w:t>
            </w:r>
            <w:r>
              <w:rPr>
                <w:rFonts w:hint="eastAsia" w:ascii="微软雅黑" w:hAnsi="微软雅黑" w:eastAsia="微软雅黑" w:cs="仿宋"/>
                <w:bCs/>
              </w:rPr>
              <w:tab/>
            </w:r>
            <w:r>
              <w:rPr>
                <w:rFonts w:hint="eastAsia" w:ascii="微软雅黑" w:hAnsi="微软雅黑" w:eastAsia="微软雅黑" w:cs="仿宋"/>
                <w:bCs/>
              </w:rPr>
              <w:t>巨无霸公司如何拥有小企业的灵魂，快速响应客户及洞察客户</w:t>
            </w:r>
          </w:p>
          <w:p>
            <w:pPr>
              <w:spacing w:line="420" w:lineRule="atLeast"/>
              <w:rPr>
                <w:rFonts w:ascii="微软雅黑" w:hAnsi="微软雅黑" w:eastAsia="微软雅黑" w:cs="楷体"/>
              </w:rPr>
            </w:pPr>
            <w:r>
              <w:rPr>
                <w:rFonts w:hint="eastAsia" w:ascii="微软雅黑" w:hAnsi="微软雅黑" w:eastAsia="微软雅黑" w:cs="仿宋"/>
                <w:bCs/>
              </w:rPr>
              <w:t>2.</w:t>
            </w:r>
            <w:r>
              <w:rPr>
                <w:rFonts w:hint="eastAsia" w:ascii="微软雅黑" w:hAnsi="微软雅黑" w:eastAsia="微软雅黑" w:cs="仿宋"/>
                <w:bCs/>
              </w:rPr>
              <w:tab/>
            </w:r>
            <w:r>
              <w:rPr>
                <w:rFonts w:hint="eastAsia" w:ascii="微软雅黑" w:hAnsi="微软雅黑" w:eastAsia="微软雅黑" w:cs="仿宋"/>
                <w:bCs/>
              </w:rPr>
              <w:t>构建「铁三角」组织，让听得见炮声的人呼唤炮火</w:t>
            </w:r>
          </w:p>
          <w:p>
            <w:pPr>
              <w:spacing w:line="420" w:lineRule="atLeast"/>
              <w:rPr>
                <w:rFonts w:ascii="微软雅黑" w:hAnsi="微软雅黑" w:eastAsia="微软雅黑" w:cs="仿宋"/>
                <w:bCs/>
              </w:rPr>
            </w:pPr>
            <w:r>
              <w:rPr>
                <w:rFonts w:hint="eastAsia" w:ascii="微软雅黑" w:hAnsi="微软雅黑" w:eastAsia="微软雅黑" w:cs="仿宋"/>
                <w:bCs/>
              </w:rPr>
              <w:t>3.</w:t>
            </w:r>
            <w:r>
              <w:rPr>
                <w:rFonts w:hint="eastAsia" w:ascii="微软雅黑" w:hAnsi="微软雅黑" w:eastAsia="微软雅黑" w:cs="仿宋"/>
                <w:bCs/>
              </w:rPr>
              <w:tab/>
            </w:r>
            <w:r>
              <w:rPr>
                <w:rFonts w:hint="eastAsia" w:ascii="微软雅黑" w:hAnsi="微软雅黑" w:eastAsia="微软雅黑" w:cs="仿宋"/>
                <w:bCs/>
              </w:rPr>
              <w:t>铁三角组织、华为市场营销的四要素、LTC流程，三位一体全方位使能与赋能客户</w:t>
            </w:r>
          </w:p>
          <w:p>
            <w:pPr>
              <w:spacing w:line="420" w:lineRule="atLeast"/>
              <w:rPr>
                <w:rFonts w:ascii="微软雅黑" w:hAnsi="微软雅黑" w:eastAsia="微软雅黑" w:cs="仿宋"/>
                <w:b/>
                <w:bCs/>
                <w:color w:val="C00000"/>
              </w:rPr>
            </w:pPr>
            <w:r>
              <w:rPr>
                <w:rFonts w:hint="eastAsia" w:ascii="微软雅黑" w:hAnsi="微软雅黑" w:eastAsia="微软雅黑" w:cs="仿宋"/>
                <w:bCs/>
              </w:rPr>
              <w:t>4.</w:t>
            </w:r>
            <w:r>
              <w:rPr>
                <w:rFonts w:hint="eastAsia" w:ascii="微软雅黑" w:hAnsi="微软雅黑" w:eastAsia="微软雅黑" w:cs="仿宋"/>
                <w:bCs/>
              </w:rPr>
              <w:tab/>
            </w:r>
            <w:r>
              <w:rPr>
                <w:rFonts w:hint="eastAsia" w:ascii="微软雅黑" w:hAnsi="微软雅黑" w:eastAsia="微软雅黑" w:cs="仿宋"/>
                <w:bCs/>
              </w:rPr>
              <w:t>共同面向客户的组织应用3大核心，激发组织能力和意愿的6大金钥匙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黑体"/>
                <w:b/>
                <w:color w:val="993300"/>
                <w:sz w:val="28"/>
                <w:szCs w:val="28"/>
              </w:rPr>
            </w:pPr>
            <w:r>
              <w:rPr>
                <w:rFonts w:hint="eastAsia" w:ascii="微软雅黑" w:hAnsi="微软雅黑" w:eastAsia="微软雅黑" w:cs="黑体"/>
                <w:b/>
                <w:color w:val="993300"/>
                <w:sz w:val="28"/>
                <w:szCs w:val="28"/>
              </w:rPr>
              <w:t>营销关系---构建「面向未来·相互依存·心灵契约」的立体式客户关系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楷体"/>
              </w:rPr>
            </w:pPr>
            <w:r>
              <w:rPr>
                <w:rFonts w:hint="eastAsia" w:ascii="微软雅黑" w:hAnsi="微软雅黑" w:eastAsia="微软雅黑" w:cs="仿宋"/>
                <w:bCs/>
              </w:rPr>
              <w:t>1.</w:t>
            </w:r>
            <w:r>
              <w:rPr>
                <w:rFonts w:hint="eastAsia" w:ascii="微软雅黑" w:hAnsi="微软雅黑" w:eastAsia="微软雅黑" w:cs="仿宋"/>
                <w:bCs/>
              </w:rPr>
              <w:tab/>
            </w:r>
            <w:r>
              <w:rPr>
                <w:rFonts w:hint="eastAsia" w:ascii="微软雅黑" w:hAnsi="微软雅黑" w:eastAsia="微软雅黑" w:cs="仿宋"/>
                <w:bCs/>
              </w:rPr>
              <w:t>客户关系体系搭建过程中常见的10大核心问题深度解读</w:t>
            </w:r>
          </w:p>
          <w:p>
            <w:pPr>
              <w:spacing w:line="420" w:lineRule="atLeast"/>
              <w:rPr>
                <w:rFonts w:ascii="微软雅黑" w:hAnsi="微软雅黑" w:eastAsia="微软雅黑" w:cs="仿宋"/>
                <w:bCs/>
              </w:rPr>
            </w:pPr>
            <w:r>
              <w:rPr>
                <w:rFonts w:hint="eastAsia" w:ascii="微软雅黑" w:hAnsi="微软雅黑" w:eastAsia="微软雅黑" w:cs="仿宋"/>
                <w:bCs/>
              </w:rPr>
              <w:t>2.</w:t>
            </w:r>
            <w:r>
              <w:rPr>
                <w:rFonts w:hint="eastAsia" w:ascii="微软雅黑" w:hAnsi="微软雅黑" w:eastAsia="微软雅黑" w:cs="仿宋"/>
                <w:bCs/>
              </w:rPr>
              <w:tab/>
            </w:r>
            <w:r>
              <w:rPr>
                <w:rFonts w:hint="eastAsia" w:ascii="微软雅黑" w:hAnsi="微软雅黑" w:eastAsia="微软雅黑" w:cs="仿宋"/>
                <w:bCs/>
              </w:rPr>
              <w:t>构建「以客户为中心」的客户关系、管理体系</w:t>
            </w:r>
          </w:p>
          <w:p>
            <w:pPr>
              <w:spacing w:line="420" w:lineRule="atLeast"/>
              <w:rPr>
                <w:rFonts w:ascii="微软雅黑" w:hAnsi="微软雅黑" w:eastAsia="微软雅黑" w:cs="仿宋"/>
                <w:bCs/>
              </w:rPr>
            </w:pPr>
            <w:r>
              <w:rPr>
                <w:rFonts w:hint="eastAsia" w:ascii="微软雅黑" w:hAnsi="微软雅黑" w:eastAsia="微软雅黑" w:cs="仿宋"/>
                <w:bCs/>
              </w:rPr>
              <w:t>3.</w:t>
            </w:r>
            <w:r>
              <w:rPr>
                <w:rFonts w:hint="eastAsia" w:ascii="微软雅黑" w:hAnsi="微软雅黑" w:eastAsia="微软雅黑" w:cs="仿宋"/>
                <w:bCs/>
              </w:rPr>
              <w:tab/>
            </w:r>
            <w:r>
              <w:rPr>
                <w:rFonts w:hint="eastAsia" w:ascii="微软雅黑" w:hAnsi="微软雅黑" w:eastAsia="微软雅黑" w:cs="仿宋"/>
                <w:bCs/>
              </w:rPr>
              <w:t>如何构建立体式客户关系管理体系</w:t>
            </w:r>
          </w:p>
          <w:p>
            <w:pPr>
              <w:spacing w:line="420" w:lineRule="atLeast"/>
              <w:rPr>
                <w:rFonts w:ascii="微软雅黑" w:hAnsi="微软雅黑" w:eastAsia="微软雅黑" w:cs="仿宋"/>
                <w:b/>
                <w:bCs/>
              </w:rPr>
            </w:pPr>
            <w:r>
              <w:rPr>
                <w:rFonts w:hint="eastAsia" w:ascii="微软雅黑" w:hAnsi="微软雅黑" w:eastAsia="微软雅黑" w:cs="仿宋"/>
                <w:bCs/>
              </w:rPr>
              <w:t>4.</w:t>
            </w:r>
            <w:r>
              <w:rPr>
                <w:rFonts w:hint="eastAsia" w:ascii="微软雅黑" w:hAnsi="微软雅黑" w:eastAsia="微软雅黑" w:cs="仿宋"/>
                <w:bCs/>
              </w:rPr>
              <w:tab/>
            </w:r>
            <w:r>
              <w:rPr>
                <w:rFonts w:hint="eastAsia" w:ascii="微软雅黑" w:hAnsi="微软雅黑" w:eastAsia="微软雅黑" w:cs="仿宋"/>
                <w:bCs/>
              </w:rPr>
              <w:t>如何管理与评价立体式客户关系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楷体"/>
                <w:b/>
              </w:rPr>
            </w:pPr>
            <w:r>
              <w:rPr>
                <w:rFonts w:hint="eastAsia" w:ascii="微软雅黑" w:hAnsi="微软雅黑" w:eastAsia="微软雅黑" w:cs="黑体"/>
                <w:b/>
                <w:color w:val="993300"/>
                <w:sz w:val="28"/>
                <w:szCs w:val="28"/>
              </w:rPr>
              <w:t>营销思维---构建「创新引领·效率为先·效益为本」总裁成长性思维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楷体"/>
              </w:rPr>
            </w:pPr>
            <w:r>
              <w:rPr>
                <w:rFonts w:hint="eastAsia" w:ascii="微软雅黑" w:hAnsi="微软雅黑" w:eastAsia="微软雅黑" w:cs="仿宋"/>
                <w:bCs/>
              </w:rPr>
              <w:t>1.</w:t>
            </w:r>
            <w:r>
              <w:rPr>
                <w:rFonts w:hint="eastAsia" w:ascii="微软雅黑" w:hAnsi="微软雅黑" w:eastAsia="微软雅黑" w:cs="仿宋"/>
                <w:bCs/>
              </w:rPr>
              <w:tab/>
            </w:r>
            <w:r>
              <w:rPr>
                <w:rFonts w:hint="eastAsia" w:ascii="微软雅黑" w:hAnsi="微软雅黑" w:eastAsia="微软雅黑" w:cs="仿宋"/>
                <w:bCs/>
              </w:rPr>
              <w:t>营销管理者认知升级及必备的10大黄金营销思维</w:t>
            </w:r>
          </w:p>
          <w:p>
            <w:pPr>
              <w:spacing w:line="420" w:lineRule="atLeast"/>
              <w:rPr>
                <w:rFonts w:ascii="微软雅黑" w:hAnsi="微软雅黑" w:eastAsia="微软雅黑" w:cs="仿宋"/>
                <w:bCs/>
              </w:rPr>
            </w:pPr>
            <w:r>
              <w:rPr>
                <w:rFonts w:hint="eastAsia" w:ascii="微软雅黑" w:hAnsi="微软雅黑" w:eastAsia="微软雅黑" w:cs="仿宋"/>
                <w:bCs/>
              </w:rPr>
              <w:t>2.</w:t>
            </w:r>
            <w:r>
              <w:rPr>
                <w:rFonts w:hint="eastAsia" w:ascii="微软雅黑" w:hAnsi="微软雅黑" w:eastAsia="微软雅黑" w:cs="仿宋"/>
                <w:bCs/>
              </w:rPr>
              <w:tab/>
            </w:r>
            <w:r>
              <w:rPr>
                <w:rFonts w:hint="eastAsia" w:ascii="微软雅黑" w:hAnsi="微软雅黑" w:eastAsia="微软雅黑" w:cs="仿宋"/>
                <w:bCs/>
              </w:rPr>
              <w:t>对标思维—通过对标快速整合资源成为行业领先者的秘诀</w:t>
            </w:r>
          </w:p>
          <w:p>
            <w:pPr>
              <w:spacing w:line="420" w:lineRule="atLeast"/>
              <w:rPr>
                <w:rFonts w:ascii="微软雅黑" w:hAnsi="微软雅黑" w:eastAsia="微软雅黑" w:cs="仿宋"/>
                <w:bCs/>
              </w:rPr>
            </w:pPr>
            <w:r>
              <w:rPr>
                <w:rFonts w:hint="eastAsia" w:ascii="微软雅黑" w:hAnsi="微软雅黑" w:eastAsia="微软雅黑" w:cs="仿宋"/>
                <w:bCs/>
              </w:rPr>
              <w:t>3.</w:t>
            </w:r>
            <w:r>
              <w:rPr>
                <w:rFonts w:hint="eastAsia" w:ascii="微软雅黑" w:hAnsi="微软雅黑" w:eastAsia="微软雅黑" w:cs="仿宋"/>
                <w:bCs/>
              </w:rPr>
              <w:tab/>
            </w:r>
            <w:r>
              <w:rPr>
                <w:rFonts w:hint="eastAsia" w:ascii="微软雅黑" w:hAnsi="微软雅黑" w:eastAsia="微软雅黑" w:cs="仿宋"/>
                <w:bCs/>
              </w:rPr>
              <w:t>关联思维—你能关联多少大的利益，就能统一多少人的市场</w:t>
            </w:r>
          </w:p>
          <w:p>
            <w:pPr>
              <w:spacing w:line="420" w:lineRule="atLeast"/>
              <w:rPr>
                <w:rFonts w:ascii="微软雅黑" w:hAnsi="微软雅黑" w:eastAsia="微软雅黑" w:cs="仿宋"/>
                <w:bCs/>
                <w:color w:val="C00000"/>
              </w:rPr>
            </w:pPr>
            <w:r>
              <w:rPr>
                <w:rFonts w:hint="eastAsia" w:ascii="微软雅黑" w:hAnsi="微软雅黑" w:eastAsia="微软雅黑" w:cs="仿宋"/>
                <w:bCs/>
              </w:rPr>
              <w:t>4.</w:t>
            </w:r>
            <w:r>
              <w:rPr>
                <w:rFonts w:hint="eastAsia" w:ascii="微软雅黑" w:hAnsi="微软雅黑" w:eastAsia="微软雅黑" w:cs="仿宋"/>
                <w:bCs/>
              </w:rPr>
              <w:tab/>
            </w:r>
            <w:r>
              <w:rPr>
                <w:rFonts w:hint="eastAsia" w:ascii="微软雅黑" w:hAnsi="微软雅黑" w:eastAsia="微软雅黑" w:cs="仿宋"/>
                <w:bCs/>
              </w:rPr>
              <w:t>场景思维—如何做到心中有全景，手中有场景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楷体"/>
                <w:b/>
              </w:rPr>
            </w:pPr>
            <w:r>
              <w:rPr>
                <w:rFonts w:hint="eastAsia" w:ascii="微软雅黑" w:hAnsi="微软雅黑" w:eastAsia="微软雅黑" w:cs="黑体"/>
                <w:b/>
                <w:color w:val="993300"/>
                <w:sz w:val="28"/>
                <w:szCs w:val="28"/>
              </w:rPr>
              <w:t>市场品牌---构建「以业务为导向」的品牌经营体系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仿宋"/>
                <w:bCs/>
              </w:rPr>
            </w:pPr>
            <w:r>
              <w:rPr>
                <w:rFonts w:hint="eastAsia" w:ascii="微软雅黑" w:hAnsi="微软雅黑" w:eastAsia="微软雅黑" w:cs="仿宋"/>
                <w:bCs/>
              </w:rPr>
              <w:t>1.</w:t>
            </w:r>
            <w:r>
              <w:rPr>
                <w:rFonts w:hint="eastAsia" w:ascii="微软雅黑" w:hAnsi="微软雅黑" w:eastAsia="微软雅黑" w:cs="仿宋"/>
                <w:bCs/>
              </w:rPr>
              <w:tab/>
            </w:r>
            <w:r>
              <w:rPr>
                <w:rFonts w:hint="eastAsia" w:ascii="微软雅黑" w:hAnsi="微软雅黑" w:eastAsia="微软雅黑" w:cs="仿宋"/>
                <w:bCs/>
              </w:rPr>
              <w:t>品牌经营过程中常见的6大错误及深度解读</w:t>
            </w:r>
          </w:p>
          <w:p>
            <w:pPr>
              <w:spacing w:line="420" w:lineRule="atLeast"/>
              <w:rPr>
                <w:rFonts w:ascii="微软雅黑" w:hAnsi="微软雅黑" w:eastAsia="微软雅黑" w:cs="仿宋"/>
                <w:bCs/>
              </w:rPr>
            </w:pPr>
            <w:r>
              <w:rPr>
                <w:rFonts w:hint="eastAsia" w:ascii="微软雅黑" w:hAnsi="微软雅黑" w:eastAsia="微软雅黑" w:cs="仿宋"/>
                <w:bCs/>
              </w:rPr>
              <w:t>2.</w:t>
            </w:r>
            <w:r>
              <w:rPr>
                <w:rFonts w:hint="eastAsia" w:ascii="微软雅黑" w:hAnsi="微软雅黑" w:eastAsia="微软雅黑" w:cs="仿宋"/>
                <w:bCs/>
              </w:rPr>
              <w:tab/>
            </w:r>
            <w:r>
              <w:rPr>
                <w:rFonts w:hint="eastAsia" w:ascii="微软雅黑" w:hAnsi="微软雅黑" w:eastAsia="微软雅黑" w:cs="仿宋"/>
                <w:bCs/>
              </w:rPr>
              <w:t>品牌经营管理者及核心管理层必备的10大品牌认知</w:t>
            </w:r>
          </w:p>
          <w:p>
            <w:pPr>
              <w:spacing w:line="420" w:lineRule="atLeast"/>
              <w:rPr>
                <w:rFonts w:ascii="微软雅黑" w:hAnsi="微软雅黑" w:eastAsia="微软雅黑" w:cs="仿宋"/>
                <w:bCs/>
              </w:rPr>
            </w:pPr>
            <w:r>
              <w:rPr>
                <w:rFonts w:hint="eastAsia" w:ascii="微软雅黑" w:hAnsi="微软雅黑" w:eastAsia="微软雅黑" w:cs="仿宋"/>
                <w:bCs/>
              </w:rPr>
              <w:t>3.</w:t>
            </w:r>
            <w:r>
              <w:rPr>
                <w:rFonts w:hint="eastAsia" w:ascii="微软雅黑" w:hAnsi="微软雅黑" w:eastAsia="微软雅黑" w:cs="仿宋"/>
                <w:bCs/>
              </w:rPr>
              <w:tab/>
            </w:r>
            <w:r>
              <w:rPr>
                <w:rFonts w:hint="eastAsia" w:ascii="微软雅黑" w:hAnsi="微软雅黑" w:eastAsia="微软雅黑" w:cs="仿宋"/>
                <w:bCs/>
              </w:rPr>
              <w:t>品牌经营全流程5大维度及核心</w:t>
            </w:r>
          </w:p>
          <w:p>
            <w:pPr>
              <w:spacing w:line="420" w:lineRule="atLeast"/>
              <w:rPr>
                <w:rFonts w:ascii="微软雅黑" w:hAnsi="微软雅黑" w:eastAsia="微软雅黑" w:cs="仿宋"/>
                <w:bCs/>
                <w:color w:val="C00000"/>
              </w:rPr>
            </w:pPr>
            <w:r>
              <w:rPr>
                <w:rFonts w:hint="eastAsia" w:ascii="微软雅黑" w:hAnsi="微软雅黑" w:eastAsia="微软雅黑" w:cs="仿宋"/>
                <w:bCs/>
              </w:rPr>
              <w:t>4.</w:t>
            </w:r>
            <w:r>
              <w:rPr>
                <w:rFonts w:hint="eastAsia" w:ascii="微软雅黑" w:hAnsi="微软雅黑" w:eastAsia="微软雅黑" w:cs="仿宋"/>
                <w:bCs/>
              </w:rPr>
              <w:tab/>
            </w:r>
            <w:r>
              <w:rPr>
                <w:rFonts w:hint="eastAsia" w:ascii="微软雅黑" w:hAnsi="微软雅黑" w:eastAsia="微软雅黑" w:cs="仿宋"/>
                <w:bCs/>
              </w:rPr>
              <w:t>事件营销—如何借力热点事件不断造势，指数级提升品牌知名度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楷体"/>
                <w:b/>
              </w:rPr>
            </w:pPr>
            <w:r>
              <w:rPr>
                <w:rFonts w:hint="eastAsia" w:ascii="微软雅黑" w:hAnsi="微软雅黑" w:eastAsia="微软雅黑" w:cs="黑体"/>
                <w:b/>
                <w:color w:val="993300"/>
                <w:sz w:val="24"/>
                <w:szCs w:val="24"/>
              </w:rPr>
              <w:t>营销模式--构建「客户高度粘性·市场规模扩张·利润暴力增长」营销模式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spacing w:line="420" w:lineRule="atLeast"/>
              <w:rPr>
                <w:rFonts w:ascii="微软雅黑" w:hAnsi="微软雅黑" w:eastAsia="微软雅黑" w:cs="仿宋"/>
                <w:bCs/>
              </w:rPr>
            </w:pPr>
            <w:r>
              <w:rPr>
                <w:rFonts w:hint="eastAsia" w:ascii="微软雅黑" w:hAnsi="微软雅黑" w:eastAsia="微软雅黑" w:cs="仿宋"/>
                <w:bCs/>
              </w:rPr>
              <w:t>1.</w:t>
            </w:r>
            <w:r>
              <w:rPr>
                <w:rFonts w:hint="eastAsia" w:ascii="微软雅黑" w:hAnsi="微软雅黑" w:eastAsia="微软雅黑" w:cs="仿宋"/>
                <w:bCs/>
              </w:rPr>
              <w:tab/>
            </w:r>
            <w:r>
              <w:rPr>
                <w:rFonts w:hint="eastAsia" w:ascii="微软雅黑" w:hAnsi="微软雅黑" w:eastAsia="微软雅黑" w:cs="仿宋"/>
                <w:bCs/>
              </w:rPr>
              <w:t>B2B营销—优化营销模式，快速实现成交，业绩利润暴增</w:t>
            </w:r>
          </w:p>
          <w:p>
            <w:pPr>
              <w:spacing w:line="420" w:lineRule="atLeast"/>
              <w:rPr>
                <w:rFonts w:ascii="微软雅黑" w:hAnsi="微软雅黑" w:eastAsia="微软雅黑" w:cs="仿宋"/>
                <w:bCs/>
              </w:rPr>
            </w:pPr>
            <w:r>
              <w:rPr>
                <w:rFonts w:hint="eastAsia" w:ascii="微软雅黑" w:hAnsi="微软雅黑" w:eastAsia="微软雅黑" w:cs="仿宋"/>
                <w:bCs/>
              </w:rPr>
              <w:t>2.</w:t>
            </w:r>
            <w:r>
              <w:rPr>
                <w:rFonts w:hint="eastAsia" w:ascii="微软雅黑" w:hAnsi="微软雅黑" w:eastAsia="微软雅黑" w:cs="仿宋"/>
                <w:bCs/>
              </w:rPr>
              <w:tab/>
            </w:r>
            <w:r>
              <w:rPr>
                <w:rFonts w:hint="eastAsia" w:ascii="微软雅黑" w:hAnsi="微软雅黑" w:eastAsia="微软雅黑" w:cs="仿宋"/>
                <w:bCs/>
              </w:rPr>
              <w:t>B2C营销—构建标准化，可复制的营销模式，实现快速裂变，业绩指数级增长</w:t>
            </w:r>
          </w:p>
          <w:p>
            <w:pPr>
              <w:spacing w:line="420" w:lineRule="atLeast"/>
              <w:rPr>
                <w:rFonts w:ascii="微软雅黑" w:hAnsi="微软雅黑" w:eastAsia="微软雅黑" w:cs="仿宋"/>
                <w:bCs/>
              </w:rPr>
            </w:pPr>
            <w:r>
              <w:rPr>
                <w:rFonts w:hint="eastAsia" w:ascii="微软雅黑" w:hAnsi="微软雅黑" w:eastAsia="微软雅黑" w:cs="仿宋"/>
                <w:bCs/>
              </w:rPr>
              <w:t>3.</w:t>
            </w:r>
            <w:r>
              <w:rPr>
                <w:rFonts w:hint="eastAsia" w:ascii="微软雅黑" w:hAnsi="微软雅黑" w:eastAsia="微软雅黑" w:cs="仿宋"/>
                <w:bCs/>
              </w:rPr>
              <w:tab/>
            </w:r>
            <w:r>
              <w:rPr>
                <w:rFonts w:hint="eastAsia" w:ascii="微软雅黑" w:hAnsi="微软雅黑" w:eastAsia="微软雅黑" w:cs="仿宋"/>
                <w:bCs/>
              </w:rPr>
              <w:t>B2G营销—搭建双驱动的政府关系营销模式</w:t>
            </w:r>
          </w:p>
          <w:p>
            <w:pPr>
              <w:spacing w:line="420" w:lineRule="atLeast"/>
              <w:rPr>
                <w:rFonts w:ascii="微软雅黑" w:hAnsi="微软雅黑" w:eastAsia="微软雅黑" w:cs="仿宋"/>
                <w:b/>
                <w:bCs/>
                <w:color w:val="C00000"/>
              </w:rPr>
            </w:pPr>
            <w:r>
              <w:rPr>
                <w:rFonts w:hint="eastAsia" w:ascii="微软雅黑" w:hAnsi="微软雅黑" w:eastAsia="微软雅黑" w:cs="仿宋"/>
                <w:bCs/>
              </w:rPr>
              <w:t>4.</w:t>
            </w:r>
            <w:r>
              <w:rPr>
                <w:rFonts w:hint="eastAsia" w:ascii="微软雅黑" w:hAnsi="微软雅黑" w:eastAsia="微软雅黑" w:cs="仿宋"/>
                <w:bCs/>
              </w:rPr>
              <w:tab/>
            </w:r>
            <w:r>
              <w:rPr>
                <w:rFonts w:hint="eastAsia" w:ascii="微软雅黑" w:hAnsi="微软雅黑" w:eastAsia="微软雅黑" w:cs="仿宋"/>
                <w:bCs/>
              </w:rPr>
              <w:t>互联网营销—构建可规模化裂变的互联网营销模式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9288" w:type="dxa"/>
          </w:tcPr>
          <w:p>
            <w:pPr>
              <w:spacing w:line="420" w:lineRule="atLeast"/>
              <w:rPr>
                <w:rFonts w:ascii="微软雅黑" w:hAnsi="微软雅黑" w:eastAsia="微软雅黑" w:cs="仿宋"/>
                <w:b/>
                <w:bCs/>
              </w:rPr>
            </w:pPr>
            <w:r>
              <w:rPr>
                <w:rFonts w:hint="eastAsia" w:ascii="微软雅黑" w:hAnsi="微软雅黑" w:eastAsia="微软雅黑" w:cs="黑体"/>
                <w:b/>
                <w:color w:val="993300"/>
                <w:sz w:val="24"/>
                <w:szCs w:val="24"/>
              </w:rPr>
              <w:t>对标学习--通过学习大标杆，学习最优秀变得更优秀</w:t>
            </w:r>
            <w:r>
              <w:rPr>
                <w:rFonts w:ascii="微软雅黑" w:hAnsi="微软雅黑" w:eastAsia="微软雅黑" w:cs="黑体"/>
                <w:color w:val="993300"/>
                <w:sz w:val="24"/>
                <w:szCs w:val="24"/>
              </w:rPr>
              <w:br w:type="textWrapping"/>
            </w:r>
            <w:r>
              <w:rPr>
                <w:rFonts w:hint="eastAsia" w:ascii="微软雅黑" w:hAnsi="微软雅黑" w:eastAsia="微软雅黑" w:cs="黑体"/>
                <w:i/>
                <w:color w:val="00B0F0"/>
                <w:sz w:val="24"/>
                <w:szCs w:val="24"/>
              </w:rPr>
              <w:t>（游学具体安排会根据情况及高管情况动态调整）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8" w:hRule="atLeast"/>
        </w:trPr>
        <w:tc>
          <w:tcPr>
            <w:tcW w:w="9288" w:type="dxa"/>
          </w:tcPr>
          <w:p>
            <w:pPr>
              <w:numPr>
                <w:ilvl w:val="0"/>
                <w:numId w:val="5"/>
              </w:numPr>
              <w:spacing w:line="420" w:lineRule="atLeast"/>
              <w:rPr>
                <w:rFonts w:ascii="微软雅黑" w:hAnsi="微软雅黑" w:eastAsia="微软雅黑" w:cs="仿宋"/>
                <w:bCs/>
              </w:rPr>
            </w:pPr>
            <w:r>
              <w:rPr>
                <w:rFonts w:hint="eastAsia" w:ascii="微软雅黑" w:hAnsi="微软雅黑" w:eastAsia="微软雅黑" w:cs="仿宋"/>
                <w:bCs/>
              </w:rPr>
              <w:t>优秀同学企业参访学习</w:t>
            </w:r>
          </w:p>
          <w:p>
            <w:pPr>
              <w:numPr>
                <w:ilvl w:val="0"/>
                <w:numId w:val="5"/>
              </w:numPr>
              <w:spacing w:line="420" w:lineRule="atLeast"/>
              <w:rPr>
                <w:rFonts w:ascii="微软雅黑" w:hAnsi="微软雅黑" w:eastAsia="微软雅黑" w:cs="仿宋"/>
                <w:bCs/>
                <w:color w:val="C00000"/>
              </w:rPr>
            </w:pPr>
            <w:r>
              <w:rPr>
                <w:rFonts w:hint="eastAsia" w:ascii="微软雅黑" w:hAnsi="微软雅黑" w:eastAsia="微软雅黑" w:cs="仿宋"/>
                <w:bCs/>
              </w:rPr>
              <w:t>华为集团总部参访学习（双总部</w:t>
            </w:r>
            <w:r>
              <w:rPr>
                <w:rFonts w:hint="eastAsia" w:ascii="微软雅黑" w:hAnsi="微软雅黑" w:eastAsia="微软雅黑" w:cs="黑体"/>
                <w:sz w:val="24"/>
                <w:szCs w:val="24"/>
              </w:rPr>
              <w:t>）</w:t>
            </w:r>
          </w:p>
          <w:p>
            <w:pPr>
              <w:numPr>
                <w:ilvl w:val="0"/>
                <w:numId w:val="6"/>
              </w:numPr>
              <w:spacing w:line="420" w:lineRule="atLeast"/>
              <w:rPr>
                <w:rFonts w:ascii="微软雅黑" w:hAnsi="微软雅黑" w:eastAsia="微软雅黑" w:cs="仿宋"/>
                <w:bCs/>
              </w:rPr>
            </w:pPr>
            <w:r>
              <w:rPr>
                <w:rFonts w:hint="eastAsia" w:ascii="微软雅黑" w:hAnsi="微软雅黑" w:eastAsia="微软雅黑" w:cs="仿宋"/>
                <w:bCs/>
              </w:rPr>
              <w:t>参观华为深圳总部，亲身体验华为文化</w:t>
            </w:r>
          </w:p>
          <w:p>
            <w:pPr>
              <w:numPr>
                <w:ilvl w:val="0"/>
                <w:numId w:val="6"/>
              </w:numPr>
              <w:spacing w:line="420" w:lineRule="atLeast"/>
              <w:rPr>
                <w:rFonts w:hint="eastAsia" w:ascii="微软雅黑" w:hAnsi="微软雅黑" w:eastAsia="微软雅黑" w:cs="仿宋"/>
                <w:bCs/>
              </w:rPr>
            </w:pPr>
            <w:r>
              <w:rPr>
                <w:rFonts w:hint="eastAsia" w:ascii="微软雅黑" w:hAnsi="微软雅黑" w:eastAsia="微软雅黑" w:cs="仿宋"/>
                <w:bCs/>
              </w:rPr>
              <w:t>参观华为东莞总部，体验一流全球化新园区</w:t>
            </w:r>
          </w:p>
        </w:tc>
      </w:tr>
    </w:tbl>
    <w:p>
      <w:pPr>
        <w:spacing w:line="420" w:lineRule="atLeast"/>
        <w:rPr>
          <w:rFonts w:hint="eastAsia" w:ascii="微软雅黑" w:hAnsi="微软雅黑" w:eastAsia="微软雅黑" w:cs="黑体"/>
          <w:b/>
          <w:bCs/>
          <w:color w:val="993300"/>
          <w:sz w:val="28"/>
          <w:szCs w:val="28"/>
        </w:rPr>
      </w:pPr>
    </w:p>
    <w:p>
      <w:pPr>
        <w:widowControl/>
        <w:shd w:val="clear" w:color="auto" w:fill="9F0606"/>
        <w:snapToGrid w:val="0"/>
        <w:spacing w:before="480" w:line="420" w:lineRule="atLeast"/>
        <w:jc w:val="left"/>
        <w:rPr>
          <w:rFonts w:ascii="微软雅黑" w:hAnsi="微软雅黑" w:eastAsia="微软雅黑" w:cs="黑体"/>
          <w:b/>
          <w:bCs/>
          <w:color w:val="FFFFFF"/>
          <w:kern w:val="0"/>
          <w:sz w:val="28"/>
          <w:szCs w:val="28"/>
        </w:rPr>
      </w:pPr>
      <w:r>
        <w:rPr>
          <w:rFonts w:hint="eastAsia" w:ascii="微软雅黑" w:hAnsi="微软雅黑" w:eastAsia="微软雅黑" w:cs="黑体"/>
          <w:b/>
          <w:bCs/>
          <w:color w:val="FFFFFF"/>
          <w:kern w:val="0"/>
          <w:sz w:val="28"/>
          <w:szCs w:val="28"/>
        </w:rPr>
        <w:t>【</w:t>
      </w:r>
      <w:r>
        <w:rPr>
          <w:rFonts w:hint="eastAsia" w:ascii="微软雅黑" w:hAnsi="微软雅黑" w:eastAsia="微软雅黑" w:cs="黑体"/>
          <w:b/>
          <w:bCs/>
          <w:color w:val="FFFFFF"/>
          <w:sz w:val="28"/>
          <w:szCs w:val="28"/>
        </w:rPr>
        <w:t>核心师资</w:t>
      </w:r>
      <w:r>
        <w:rPr>
          <w:rFonts w:hint="eastAsia" w:ascii="微软雅黑" w:hAnsi="微软雅黑" w:eastAsia="微软雅黑" w:cs="黑体"/>
          <w:b/>
          <w:bCs/>
          <w:color w:val="FFFFFF"/>
          <w:kern w:val="0"/>
          <w:sz w:val="28"/>
          <w:szCs w:val="28"/>
        </w:rPr>
        <w:t>】</w:t>
      </w:r>
    </w:p>
    <w:p>
      <w:pPr>
        <w:pStyle w:val="11"/>
        <w:numPr>
          <w:ilvl w:val="0"/>
          <w:numId w:val="2"/>
        </w:numPr>
        <w:spacing w:line="420" w:lineRule="atLeast"/>
        <w:ind w:firstLineChars="0"/>
        <w:rPr>
          <w:rFonts w:ascii="微软雅黑" w:hAnsi="微软雅黑" w:eastAsia="微软雅黑" w:cs="Times New Roman"/>
          <w:b/>
          <w:bCs/>
          <w:color w:val="993300"/>
          <w:sz w:val="24"/>
          <w:szCs w:val="24"/>
        </w:rPr>
      </w:pPr>
      <w:r>
        <w:rPr>
          <w:rFonts w:hint="eastAsia" w:ascii="微软雅黑" w:hAnsi="微软雅黑" w:eastAsia="微软雅黑" w:cs="黑体"/>
          <w:b/>
          <w:bCs/>
          <w:color w:val="993300"/>
          <w:sz w:val="24"/>
          <w:szCs w:val="24"/>
        </w:rPr>
        <w:t xml:space="preserve"> 王程</w:t>
      </w:r>
    </w:p>
    <w:p>
      <w:pPr>
        <w:pStyle w:val="11"/>
        <w:numPr>
          <w:ilvl w:val="0"/>
          <w:numId w:val="7"/>
        </w:numPr>
        <w:spacing w:line="420" w:lineRule="atLeast"/>
        <w:ind w:firstLineChars="0"/>
        <w:rPr>
          <w:rFonts w:ascii="微软雅黑" w:hAnsi="微软雅黑" w:eastAsia="微软雅黑" w:cs="Times New Roman"/>
          <w:bCs/>
          <w:color w:val="993300"/>
          <w:sz w:val="24"/>
          <w:szCs w:val="24"/>
        </w:rPr>
      </w:pPr>
      <w:r>
        <w:rPr>
          <w:rFonts w:hint="eastAsia" w:ascii="微软雅黑" w:hAnsi="微软雅黑" w:eastAsia="微软雅黑" w:cs="宋体"/>
          <w:bCs/>
        </w:rPr>
        <w:t>效能思维</w:t>
      </w:r>
      <w:r>
        <w:rPr>
          <w:rFonts w:hint="eastAsia" w:ascii="微软雅黑" w:hAnsi="微软雅黑" w:eastAsia="微软雅黑" w:cs="Times New Roman"/>
          <w:bCs/>
        </w:rPr>
        <w:t>商学院院长、“</w:t>
      </w:r>
      <w:r>
        <w:rPr>
          <w:rFonts w:ascii="微软雅黑" w:hAnsi="微软雅黑" w:eastAsia="微软雅黑" w:cs="Times New Roman"/>
          <w:bCs/>
        </w:rPr>
        <w:t>ETM-ETT-ETP-ETD</w:t>
      </w:r>
      <w:r>
        <w:rPr>
          <w:rFonts w:hint="eastAsia" w:ascii="微软雅黑" w:hAnsi="微软雅黑" w:eastAsia="微软雅黑" w:cs="Times New Roman"/>
          <w:bCs/>
        </w:rPr>
        <w:t>”创始人</w:t>
      </w:r>
    </w:p>
    <w:p>
      <w:pPr>
        <w:pStyle w:val="11"/>
        <w:numPr>
          <w:ilvl w:val="0"/>
          <w:numId w:val="7"/>
        </w:numPr>
        <w:spacing w:line="420" w:lineRule="atLeast"/>
        <w:ind w:firstLineChars="0"/>
        <w:rPr>
          <w:rFonts w:ascii="微软雅黑" w:hAnsi="微软雅黑" w:eastAsia="微软雅黑" w:cs="宋体"/>
        </w:rPr>
      </w:pPr>
      <w:r>
        <w:rPr>
          <w:rFonts w:hint="eastAsia" w:ascii="微软雅黑" w:hAnsi="微软雅黑" w:eastAsia="微软雅黑" w:cs="宋体"/>
        </w:rPr>
        <w:t>毕业于清华大学，拥有中欧国际商学院E</w:t>
      </w:r>
      <w:r>
        <w:rPr>
          <w:rFonts w:ascii="微软雅黑" w:hAnsi="微软雅黑" w:eastAsia="微软雅黑" w:cs="宋体"/>
        </w:rPr>
        <w:t>MBA</w:t>
      </w:r>
      <w:r>
        <w:rPr>
          <w:rFonts w:hint="eastAsia" w:ascii="微软雅黑" w:hAnsi="微软雅黑" w:eastAsia="微软雅黑" w:cs="宋体"/>
        </w:rPr>
        <w:t>学位，多家上市公司常年高级顾问</w:t>
      </w:r>
    </w:p>
    <w:p>
      <w:pPr>
        <w:pStyle w:val="11"/>
        <w:numPr>
          <w:ilvl w:val="0"/>
          <w:numId w:val="7"/>
        </w:numPr>
        <w:spacing w:line="420" w:lineRule="atLeast"/>
        <w:ind w:firstLineChars="0"/>
        <w:rPr>
          <w:rFonts w:hint="eastAsia" w:ascii="微软雅黑" w:hAnsi="微软雅黑" w:eastAsia="微软雅黑" w:cs="宋体"/>
        </w:rPr>
      </w:pPr>
      <w:r>
        <w:rPr>
          <w:rFonts w:hint="eastAsia" w:ascii="微软雅黑" w:hAnsi="微软雅黑" w:eastAsia="微软雅黑" w:cs="宋体"/>
        </w:rPr>
        <w:t>先后任职于华为集团、三一集团、汉能集团、方豪集团（旗下4大集团、6大行业、2家上市公司），先后担任某区域总经理、总裁助理、营销总经理、战略发展总经理、投资者关系部总经理、集团总裁等职务</w:t>
      </w:r>
    </w:p>
    <w:p>
      <w:pPr>
        <w:pStyle w:val="11"/>
        <w:numPr>
          <w:ilvl w:val="0"/>
          <w:numId w:val="7"/>
        </w:numPr>
        <w:spacing w:line="420" w:lineRule="atLeast"/>
        <w:ind w:firstLineChars="0"/>
        <w:rPr>
          <w:rFonts w:ascii="微软雅黑" w:hAnsi="微软雅黑" w:eastAsia="微软雅黑" w:cs="宋体"/>
        </w:rPr>
      </w:pPr>
      <w:r>
        <w:rPr>
          <w:rFonts w:hint="eastAsia" w:ascii="微软雅黑" w:hAnsi="微软雅黑" w:eastAsia="微软雅黑" w:cs="宋体"/>
          <w:b/>
          <w:bCs/>
          <w:color w:val="C00000"/>
        </w:rPr>
        <w:t>辉煌业绩</w:t>
      </w:r>
    </w:p>
    <w:p>
      <w:pPr>
        <w:pStyle w:val="11"/>
        <w:numPr>
          <w:ilvl w:val="0"/>
          <w:numId w:val="8"/>
        </w:numPr>
        <w:spacing w:line="420" w:lineRule="atLeast"/>
        <w:ind w:firstLineChars="0"/>
        <w:rPr>
          <w:rFonts w:ascii="微软雅黑" w:hAnsi="微软雅黑" w:eastAsia="微软雅黑" w:cs="宋体"/>
        </w:rPr>
      </w:pPr>
      <w:r>
        <w:rPr>
          <w:rFonts w:hint="eastAsia" w:ascii="微软雅黑" w:hAnsi="微软雅黑" w:eastAsia="微软雅黑" w:cs="宋体"/>
          <w:b/>
          <w:bCs/>
          <w:color w:val="C00000"/>
        </w:rPr>
        <w:t>营销：</w:t>
      </w:r>
      <w:r>
        <w:rPr>
          <w:rFonts w:hint="eastAsia" w:ascii="微软雅黑" w:hAnsi="微软雅黑" w:eastAsia="微软雅黑" w:cs="宋体"/>
        </w:rPr>
        <w:t>累计签署合同实现回款高达260亿元以上其中最高单次签署36亿合同</w:t>
      </w:r>
    </w:p>
    <w:p>
      <w:pPr>
        <w:pStyle w:val="11"/>
        <w:numPr>
          <w:ilvl w:val="0"/>
          <w:numId w:val="8"/>
        </w:numPr>
        <w:spacing w:line="420" w:lineRule="atLeast"/>
        <w:ind w:firstLineChars="0"/>
        <w:rPr>
          <w:rFonts w:ascii="微软雅黑" w:hAnsi="微软雅黑" w:eastAsia="微软雅黑" w:cs="宋体"/>
          <w:b/>
          <w:bCs/>
          <w:color w:val="C00000"/>
        </w:rPr>
      </w:pPr>
      <w:r>
        <w:rPr>
          <w:rFonts w:hint="eastAsia" w:ascii="微软雅黑" w:hAnsi="微软雅黑" w:eastAsia="微软雅黑" w:cs="宋体"/>
          <w:b/>
          <w:bCs/>
          <w:color w:val="C00000"/>
        </w:rPr>
        <w:t>战略：</w:t>
      </w:r>
      <w:r>
        <w:rPr>
          <w:rFonts w:hint="eastAsia" w:ascii="微软雅黑" w:hAnsi="微软雅黑" w:eastAsia="微软雅黑" w:cs="宋体"/>
        </w:rPr>
        <w:t>建立业务与战略驱动的战略变革模型通过战略变革助力企业实现业绩稳健增长</w:t>
      </w:r>
    </w:p>
    <w:p>
      <w:pPr>
        <w:pStyle w:val="11"/>
        <w:numPr>
          <w:ilvl w:val="0"/>
          <w:numId w:val="8"/>
        </w:numPr>
        <w:spacing w:line="420" w:lineRule="atLeast"/>
        <w:ind w:firstLineChars="0"/>
        <w:rPr>
          <w:rFonts w:ascii="微软雅黑" w:hAnsi="微软雅黑" w:eastAsia="微软雅黑" w:cs="宋体"/>
        </w:rPr>
      </w:pPr>
      <w:r>
        <w:rPr>
          <w:rFonts w:hint="eastAsia" w:ascii="微软雅黑" w:hAnsi="微软雅黑" w:eastAsia="微软雅黑" w:cs="宋体"/>
          <w:b/>
          <w:bCs/>
          <w:color w:val="C00000"/>
        </w:rPr>
        <w:t>变革：</w:t>
      </w:r>
      <w:r>
        <w:rPr>
          <w:rFonts w:hint="eastAsia" w:ascii="微软雅黑" w:hAnsi="微软雅黑" w:eastAsia="微软雅黑" w:cs="宋体"/>
        </w:rPr>
        <w:t>曾全面负责大型多元化集团公司到的变革、通过管理变革，集团年度业绩提升160%，净利润提升237%，人均效能提升85%</w:t>
      </w:r>
    </w:p>
    <w:p>
      <w:pPr>
        <w:pStyle w:val="11"/>
        <w:numPr>
          <w:ilvl w:val="0"/>
          <w:numId w:val="8"/>
        </w:numPr>
        <w:spacing w:line="420" w:lineRule="atLeast"/>
        <w:ind w:firstLineChars="0"/>
        <w:rPr>
          <w:rFonts w:ascii="微软雅黑" w:hAnsi="微软雅黑" w:eastAsia="微软雅黑" w:cs="宋体"/>
        </w:rPr>
      </w:pPr>
      <w:r>
        <w:rPr>
          <w:rFonts w:hint="eastAsia" w:ascii="微软雅黑" w:hAnsi="微软雅黑" w:eastAsia="微软雅黑" w:cs="宋体"/>
          <w:b/>
          <w:bCs/>
          <w:color w:val="C00000"/>
        </w:rPr>
        <w:t>品牌：</w:t>
      </w:r>
      <w:r>
        <w:rPr>
          <w:rFonts w:hint="eastAsia" w:ascii="微软雅黑" w:hAnsi="微软雅黑" w:eastAsia="微软雅黑" w:cs="宋体"/>
        </w:rPr>
        <w:t>独立操盘2</w:t>
      </w:r>
      <w:r>
        <w:rPr>
          <w:rFonts w:ascii="微软雅黑" w:hAnsi="微软雅黑" w:eastAsia="微软雅黑" w:cs="宋体"/>
        </w:rPr>
        <w:t>C</w:t>
      </w:r>
      <w:r>
        <w:rPr>
          <w:rFonts w:hint="eastAsia" w:ascii="微软雅黑" w:hAnsi="微软雅黑" w:eastAsia="微软雅黑" w:cs="宋体"/>
        </w:rPr>
        <w:t>和</w:t>
      </w:r>
      <w:r>
        <w:rPr>
          <w:rFonts w:ascii="微软雅黑" w:hAnsi="微软雅黑" w:eastAsia="微软雅黑" w:cs="宋体"/>
        </w:rPr>
        <w:t>2B</w:t>
      </w:r>
      <w:r>
        <w:rPr>
          <w:rFonts w:hint="eastAsia" w:ascii="微软雅黑" w:hAnsi="微软雅黑" w:eastAsia="微软雅黑" w:cs="宋体"/>
        </w:rPr>
        <w:t>行业品牌经营，助力企业从0快速成为一流行业领导品牌</w:t>
      </w:r>
    </w:p>
    <w:p>
      <w:pPr>
        <w:spacing w:line="420" w:lineRule="atLeast"/>
        <w:ind w:left="420" w:leftChars="200"/>
        <w:rPr>
          <w:rFonts w:ascii="微软雅黑" w:hAnsi="微软雅黑" w:eastAsia="微软雅黑" w:cs="Times New Roman"/>
        </w:rPr>
      </w:pPr>
    </w:p>
    <w:p>
      <w:pPr>
        <w:pStyle w:val="11"/>
        <w:numPr>
          <w:ilvl w:val="0"/>
          <w:numId w:val="2"/>
        </w:numPr>
        <w:spacing w:line="420" w:lineRule="atLeast"/>
        <w:ind w:firstLineChars="0"/>
        <w:rPr>
          <w:rFonts w:ascii="微软雅黑" w:hAnsi="微软雅黑" w:eastAsia="微软雅黑" w:cs="Times New Roman"/>
          <w:b/>
          <w:bCs/>
          <w:color w:val="993300"/>
          <w:sz w:val="24"/>
          <w:szCs w:val="24"/>
        </w:rPr>
      </w:pPr>
      <w:r>
        <w:rPr>
          <w:rFonts w:hint="eastAsia" w:ascii="微软雅黑" w:hAnsi="微软雅黑" w:eastAsia="微软雅黑" w:cs="黑体"/>
          <w:b/>
          <w:bCs/>
          <w:color w:val="993300"/>
          <w:sz w:val="24"/>
          <w:szCs w:val="24"/>
        </w:rPr>
        <w:t>窦毅</w:t>
      </w:r>
    </w:p>
    <w:p>
      <w:pPr>
        <w:spacing w:line="420" w:lineRule="atLeast"/>
        <w:ind w:firstLine="420" w:firstLineChars="200"/>
        <w:rPr>
          <w:rFonts w:ascii="微软雅黑" w:hAnsi="微软雅黑" w:eastAsia="微软雅黑" w:cs="宋体"/>
        </w:rPr>
      </w:pPr>
      <w:r>
        <w:rPr>
          <w:rFonts w:hint="eastAsia" w:ascii="微软雅黑" w:hAnsi="微软雅黑" w:eastAsia="微软雅黑" w:cs="宋体"/>
        </w:rPr>
        <w:t>窦老师毕业于南开大学，先后服务于通讯行业、IT行业、军工行业和互联网行业，经历过从销售到高层管理的多个岗位，对不同行业、不同类型、不同规模以及不同生命周期的公司，都有着深刻的理解和研究；</w:t>
      </w:r>
    </w:p>
    <w:p>
      <w:pPr>
        <w:spacing w:line="420" w:lineRule="atLeast"/>
        <w:ind w:firstLine="420" w:firstLineChars="200"/>
        <w:rPr>
          <w:rFonts w:ascii="微软雅黑" w:hAnsi="微软雅黑" w:eastAsia="微软雅黑" w:cs="宋体"/>
        </w:rPr>
      </w:pPr>
      <w:r>
        <w:rPr>
          <w:rFonts w:hint="eastAsia" w:ascii="微软雅黑" w:hAnsi="微软雅黑" w:eastAsia="微软雅黑" w:cs="宋体"/>
        </w:rPr>
        <w:t>在华为期间，窦老师带领销售团队打破了美国优势竞争对手在高端路由器市场的垄断，实现零的突破；也曾带领团队，在海外某国市场封锁的情况下，获得数千万美元级项目；在IT行业、军工企业以及互联网公司，窦老师都能够结合不同的行业特点和企业特点，帮助企业清晰化发展战略、快速提升组织能力并取得市场的认可和组织的快速发展。</w:t>
      </w:r>
    </w:p>
    <w:p>
      <w:pPr>
        <w:spacing w:line="420" w:lineRule="atLeast"/>
        <w:ind w:firstLine="420" w:firstLineChars="200"/>
        <w:rPr>
          <w:rFonts w:ascii="微软雅黑" w:hAnsi="微软雅黑" w:eastAsia="微软雅黑" w:cs="宋体"/>
        </w:rPr>
      </w:pPr>
      <w:r>
        <w:rPr>
          <w:rFonts w:hint="eastAsia" w:ascii="微软雅黑" w:hAnsi="微软雅黑" w:eastAsia="微软雅黑" w:cs="宋体"/>
        </w:rPr>
        <w:t>窦老师曾帮助多家大型企业实现组织能力提升，也曾帮助多家初创型公司调整完善企业战略，构建企业文化，完成组织架构建设与调整，实现组织能力提升与业绩快速增长，为企业的快速发展打下坚实的基础。</w:t>
      </w:r>
    </w:p>
    <w:p>
      <w:pPr>
        <w:spacing w:line="420" w:lineRule="atLeast"/>
        <w:rPr>
          <w:rFonts w:ascii="微软雅黑" w:hAnsi="微软雅黑" w:eastAsia="微软雅黑" w:cs="仿宋"/>
          <w:sz w:val="24"/>
          <w:szCs w:val="24"/>
        </w:rPr>
      </w:pPr>
    </w:p>
    <w:p>
      <w:pPr>
        <w:pStyle w:val="11"/>
        <w:numPr>
          <w:ilvl w:val="0"/>
          <w:numId w:val="2"/>
        </w:numPr>
        <w:spacing w:line="420" w:lineRule="atLeast"/>
        <w:ind w:firstLineChars="0"/>
        <w:rPr>
          <w:rFonts w:ascii="微软雅黑" w:hAnsi="微软雅黑" w:eastAsia="微软雅黑" w:cs="Times New Roman"/>
          <w:b/>
          <w:bCs/>
          <w:color w:val="993300"/>
          <w:sz w:val="24"/>
          <w:szCs w:val="24"/>
        </w:rPr>
      </w:pPr>
      <w:r>
        <w:rPr>
          <w:rFonts w:hint="eastAsia" w:ascii="微软雅黑" w:hAnsi="微软雅黑" w:eastAsia="微软雅黑" w:cs="黑体"/>
          <w:b/>
          <w:bCs/>
          <w:color w:val="993300"/>
          <w:sz w:val="24"/>
          <w:szCs w:val="24"/>
        </w:rPr>
        <w:t>周鑫</w:t>
      </w:r>
    </w:p>
    <w:p>
      <w:pPr>
        <w:spacing w:line="420" w:lineRule="atLeast"/>
        <w:ind w:firstLine="420" w:firstLineChars="200"/>
        <w:jc w:val="left"/>
        <w:rPr>
          <w:rFonts w:ascii="微软雅黑" w:hAnsi="微软雅黑" w:eastAsia="微软雅黑" w:cs="宋体"/>
        </w:rPr>
      </w:pPr>
      <w:r>
        <w:rPr>
          <w:rFonts w:hint="eastAsia" w:ascii="微软雅黑" w:hAnsi="微软雅黑" w:eastAsia="微软雅黑" w:cs="宋体"/>
        </w:rPr>
        <w:t>周老师在华为工作了16年。曾在华为CFO孟晚舟女士的领导下，参与IBM辅助的华为集成财经管理（IFS）变革。并在所在业务部门负责流程制度的落地实施和优化管理。</w:t>
      </w:r>
    </w:p>
    <w:p>
      <w:pPr>
        <w:spacing w:line="420" w:lineRule="atLeast"/>
        <w:ind w:firstLine="420" w:firstLineChars="200"/>
        <w:jc w:val="left"/>
        <w:rPr>
          <w:rFonts w:ascii="微软雅黑" w:hAnsi="微软雅黑" w:eastAsia="微软雅黑" w:cs="宋体"/>
        </w:rPr>
      </w:pPr>
      <w:r>
        <w:rPr>
          <w:rFonts w:hint="eastAsia" w:ascii="微软雅黑" w:hAnsi="微软雅黑" w:eastAsia="微软雅黑" w:cs="宋体"/>
        </w:rPr>
        <w:t>周老师帮助上海华魏科技股份公司，成功运作企业在新三板挂牌并完成一轮千万级的融资。</w:t>
      </w:r>
    </w:p>
    <w:p>
      <w:pPr>
        <w:spacing w:line="420" w:lineRule="atLeast"/>
        <w:jc w:val="left"/>
        <w:rPr>
          <w:rFonts w:ascii="微软雅黑" w:hAnsi="微软雅黑" w:eastAsia="微软雅黑" w:cs="Times New Roman"/>
          <w:b/>
          <w:bCs/>
          <w:color w:val="FFFFFF"/>
          <w:kern w:val="0"/>
          <w:sz w:val="28"/>
          <w:szCs w:val="28"/>
        </w:rPr>
      </w:pPr>
      <w:r>
        <w:rPr>
          <w:rFonts w:hint="eastAsia" w:ascii="微软雅黑" w:hAnsi="微软雅黑" w:eastAsia="微软雅黑" w:cs="宋体"/>
        </w:rPr>
        <w:t xml:space="preserve">    周老师总结了近二十年企业财务管理经验，尤其对于企业的财务如何帮企业实现价值增长，如何真正的实现业财融合，如何在新形势下企业通过财务理念，实现突围。总结出了一套关于民营企业财务机制管理的方法论，获得众多企业家及政府机构的高度认同并用于实战，取得良好的效果。</w:t>
      </w:r>
      <w:r>
        <w:rPr>
          <w:rFonts w:hint="eastAsia" w:ascii="微软雅黑" w:hAnsi="微软雅黑" w:eastAsia="微软雅黑" w:cs="黑体"/>
          <w:b/>
          <w:bCs/>
          <w:color w:val="FFFFFF"/>
          <w:kern w:val="0"/>
          <w:sz w:val="28"/>
          <w:szCs w:val="28"/>
        </w:rPr>
        <w:t>【</w:t>
      </w:r>
      <w:r>
        <w:rPr>
          <w:rFonts w:hint="eastAsia" w:ascii="微软雅黑" w:hAnsi="微软雅黑" w:eastAsia="微软雅黑" w:cs="黑体"/>
          <w:b/>
          <w:bCs/>
          <w:color w:val="FFFFFF"/>
          <w:sz w:val="28"/>
          <w:szCs w:val="28"/>
        </w:rPr>
        <w:t>费</w:t>
      </w:r>
      <w:r>
        <w:rPr>
          <w:rFonts w:hint="eastAsia" w:ascii="微软雅黑" w:hAnsi="微软雅黑" w:eastAsia="微软雅黑" w:cs="黑体"/>
          <w:b/>
          <w:bCs/>
          <w:color w:val="FFFFFF"/>
          <w:kern w:val="0"/>
          <w:sz w:val="28"/>
          <w:szCs w:val="28"/>
        </w:rPr>
        <w:t>】</w:t>
      </w:r>
    </w:p>
    <w:p>
      <w:pPr>
        <w:widowControl/>
        <w:shd w:val="clear" w:color="auto" w:fill="9F0606"/>
        <w:snapToGrid w:val="0"/>
        <w:spacing w:before="480" w:line="420" w:lineRule="atLeast"/>
        <w:jc w:val="left"/>
        <w:outlineLvl w:val="0"/>
        <w:rPr>
          <w:rFonts w:ascii="微软雅黑" w:hAnsi="微软雅黑" w:eastAsia="微软雅黑" w:cs="Times New Roman"/>
          <w:b/>
          <w:bCs/>
          <w:color w:val="FFFFFF"/>
          <w:kern w:val="0"/>
          <w:sz w:val="28"/>
          <w:szCs w:val="28"/>
        </w:rPr>
      </w:pPr>
      <w:r>
        <w:rPr>
          <w:rFonts w:hint="eastAsia" w:ascii="微软雅黑" w:hAnsi="微软雅黑" w:eastAsia="微软雅黑" w:cs="黑体"/>
          <w:b/>
          <w:bCs/>
          <w:color w:val="FFFFFF"/>
          <w:kern w:val="0"/>
          <w:sz w:val="28"/>
          <w:szCs w:val="28"/>
        </w:rPr>
        <w:t>【</w:t>
      </w:r>
      <w:r>
        <w:rPr>
          <w:rFonts w:hint="eastAsia" w:ascii="微软雅黑" w:hAnsi="微软雅黑" w:eastAsia="微软雅黑" w:cs="黑体"/>
          <w:b/>
          <w:bCs/>
          <w:color w:val="FFFFFF"/>
          <w:sz w:val="28"/>
          <w:szCs w:val="28"/>
        </w:rPr>
        <w:t>学制学费</w:t>
      </w:r>
      <w:r>
        <w:rPr>
          <w:rFonts w:hint="eastAsia" w:ascii="微软雅黑" w:hAnsi="微软雅黑" w:eastAsia="微软雅黑" w:cs="黑体"/>
          <w:b/>
          <w:bCs/>
          <w:color w:val="FFFFFF"/>
          <w:kern w:val="0"/>
          <w:sz w:val="28"/>
          <w:szCs w:val="28"/>
        </w:rPr>
        <w:t>】</w:t>
      </w:r>
    </w:p>
    <w:p>
      <w:pPr>
        <w:spacing w:line="420" w:lineRule="atLeast"/>
        <w:ind w:left="420" w:leftChars="200"/>
        <w:rPr>
          <w:rFonts w:ascii="微软雅黑" w:hAnsi="微软雅黑" w:eastAsia="微软雅黑" w:cs="Times New Roman"/>
          <w:sz w:val="24"/>
          <w:szCs w:val="24"/>
        </w:rPr>
      </w:pPr>
      <w:r>
        <w:rPr>
          <w:rFonts w:hint="eastAsia" w:ascii="微软雅黑" w:hAnsi="微软雅黑" w:eastAsia="微软雅黑" w:cs="宋体"/>
          <w:b/>
          <w:bCs/>
          <w:color w:val="993300"/>
          <w:sz w:val="28"/>
          <w:szCs w:val="28"/>
        </w:rPr>
        <w:t>▲</w:t>
      </w:r>
      <w:r>
        <w:rPr>
          <w:rFonts w:hint="eastAsia" w:ascii="微软雅黑" w:hAnsi="微软雅黑" w:eastAsia="微软雅黑" w:cs="宋体"/>
          <w:sz w:val="24"/>
          <w:szCs w:val="24"/>
        </w:rPr>
        <w:t>学</w:t>
      </w:r>
      <w:r>
        <w:rPr>
          <w:rFonts w:ascii="微软雅黑" w:hAnsi="微软雅黑" w:eastAsia="微软雅黑" w:cs="宋体"/>
          <w:sz w:val="24"/>
          <w:szCs w:val="24"/>
        </w:rPr>
        <w:t xml:space="preserve">    </w:t>
      </w:r>
      <w:r>
        <w:rPr>
          <w:rFonts w:hint="eastAsia" w:ascii="微软雅黑" w:hAnsi="微软雅黑" w:eastAsia="微软雅黑" w:cs="宋体"/>
          <w:sz w:val="24"/>
          <w:szCs w:val="24"/>
        </w:rPr>
        <w:t>制：</w:t>
      </w:r>
      <w:r>
        <w:rPr>
          <w:rFonts w:ascii="微软雅黑" w:hAnsi="微软雅黑" w:eastAsia="微软雅黑" w:cs="宋体"/>
          <w:sz w:val="24"/>
          <w:szCs w:val="24"/>
        </w:rPr>
        <w:t>1</w:t>
      </w:r>
      <w:r>
        <w:rPr>
          <w:rFonts w:hint="eastAsia" w:ascii="微软雅黑" w:hAnsi="微软雅黑" w:eastAsia="微软雅黑" w:cs="宋体"/>
          <w:sz w:val="24"/>
          <w:szCs w:val="24"/>
        </w:rPr>
        <w:t>年，共10次课。每月利用一个周末上课</w:t>
      </w:r>
      <w:r>
        <w:rPr>
          <w:rFonts w:ascii="微软雅黑" w:hAnsi="微软雅黑" w:eastAsia="微软雅黑" w:cs="宋体"/>
          <w:sz w:val="24"/>
          <w:szCs w:val="24"/>
        </w:rPr>
        <w:t>2</w:t>
      </w:r>
      <w:r>
        <w:rPr>
          <w:rFonts w:hint="eastAsia" w:ascii="微软雅黑" w:hAnsi="微软雅黑" w:eastAsia="微软雅黑" w:cs="宋体"/>
          <w:sz w:val="24"/>
          <w:szCs w:val="24"/>
        </w:rPr>
        <w:t>天</w:t>
      </w:r>
    </w:p>
    <w:p>
      <w:pPr>
        <w:spacing w:line="420" w:lineRule="atLeast"/>
        <w:ind w:firstLine="420" w:firstLineChars="150"/>
        <w:rPr>
          <w:rFonts w:ascii="微软雅黑" w:hAnsi="微软雅黑" w:eastAsia="微软雅黑" w:cs="Times New Roman"/>
          <w:sz w:val="24"/>
          <w:szCs w:val="24"/>
        </w:rPr>
      </w:pPr>
      <w:r>
        <w:rPr>
          <w:rFonts w:hint="eastAsia" w:ascii="微软雅黑" w:hAnsi="微软雅黑" w:eastAsia="微软雅黑" w:cs="宋体"/>
          <w:b/>
          <w:bCs/>
          <w:color w:val="993300"/>
          <w:sz w:val="28"/>
          <w:szCs w:val="28"/>
        </w:rPr>
        <w:t>▲</w:t>
      </w:r>
      <w:r>
        <w:rPr>
          <w:rFonts w:hint="eastAsia" w:ascii="微软雅黑" w:hAnsi="微软雅黑" w:eastAsia="微软雅黑" w:cs="宋体"/>
          <w:sz w:val="24"/>
          <w:szCs w:val="24"/>
        </w:rPr>
        <w:t>开课地点：清华科技园</w:t>
      </w:r>
    </w:p>
    <w:p>
      <w:pPr>
        <w:spacing w:line="420" w:lineRule="atLeast"/>
        <w:ind w:left="420" w:leftChars="200"/>
        <w:rPr>
          <w:rFonts w:ascii="微软雅黑" w:hAnsi="微软雅黑" w:eastAsia="微软雅黑" w:cs="宋体"/>
          <w:color w:val="000000"/>
          <w:sz w:val="24"/>
          <w:szCs w:val="24"/>
        </w:rPr>
      </w:pPr>
      <w:r>
        <w:rPr>
          <w:rFonts w:hint="eastAsia" w:ascii="微软雅黑" w:hAnsi="微软雅黑" w:eastAsia="微软雅黑" w:cs="宋体"/>
          <w:b/>
          <w:bCs/>
          <w:color w:val="993300"/>
          <w:sz w:val="28"/>
          <w:szCs w:val="28"/>
        </w:rPr>
        <w:t>▲</w:t>
      </w:r>
      <w:r>
        <w:rPr>
          <w:rFonts w:hint="eastAsia" w:ascii="微软雅黑" w:hAnsi="微软雅黑" w:eastAsia="微软雅黑" w:cs="宋体"/>
          <w:color w:val="000000"/>
          <w:sz w:val="24"/>
          <w:szCs w:val="24"/>
        </w:rPr>
        <w:t>学</w:t>
      </w:r>
      <w:r>
        <w:rPr>
          <w:rFonts w:ascii="微软雅黑" w:hAnsi="微软雅黑" w:eastAsia="微软雅黑" w:cs="宋体"/>
          <w:color w:val="000000"/>
          <w:sz w:val="24"/>
          <w:szCs w:val="24"/>
        </w:rPr>
        <w:t xml:space="preserve">    </w:t>
      </w:r>
      <w:r>
        <w:rPr>
          <w:rFonts w:hint="eastAsia" w:ascii="微软雅黑" w:hAnsi="微软雅黑" w:eastAsia="微软雅黑" w:cs="宋体"/>
          <w:color w:val="000000"/>
          <w:sz w:val="24"/>
          <w:szCs w:val="24"/>
        </w:rPr>
        <w:t>费：原价</w:t>
      </w:r>
      <w:r>
        <w:rPr>
          <w:rFonts w:ascii="微软雅黑" w:hAnsi="微软雅黑" w:eastAsia="微软雅黑" w:cs="宋体"/>
          <w:color w:val="000000"/>
          <w:sz w:val="24"/>
          <w:szCs w:val="24"/>
        </w:rPr>
        <w:t xml:space="preserve">RMB </w:t>
      </w:r>
      <w:r>
        <w:rPr>
          <w:rFonts w:hint="eastAsia" w:ascii="微软雅黑" w:hAnsi="微软雅黑" w:eastAsia="微软雅黑" w:cs="宋体"/>
          <w:color w:val="000000"/>
          <w:sz w:val="24"/>
          <w:szCs w:val="24"/>
        </w:rPr>
        <w:t>8.88万元</w:t>
      </w:r>
      <w:r>
        <w:rPr>
          <w:rFonts w:ascii="微软雅黑" w:hAnsi="微软雅黑" w:eastAsia="微软雅黑" w:cs="宋体"/>
          <w:color w:val="000000"/>
          <w:sz w:val="24"/>
          <w:szCs w:val="24"/>
        </w:rPr>
        <w:t>/</w:t>
      </w:r>
      <w:r>
        <w:rPr>
          <w:rFonts w:hint="eastAsia" w:ascii="微软雅黑" w:hAnsi="微软雅黑" w:eastAsia="微软雅黑" w:cs="宋体"/>
          <w:color w:val="000000"/>
          <w:sz w:val="24"/>
          <w:szCs w:val="24"/>
        </w:rPr>
        <w:t>人</w:t>
      </w:r>
    </w:p>
    <w:p>
      <w:pPr>
        <w:spacing w:line="420" w:lineRule="atLeast"/>
        <w:ind w:left="420" w:leftChars="200" w:firstLine="1441" w:firstLineChars="600"/>
        <w:rPr>
          <w:rFonts w:ascii="微软雅黑" w:hAnsi="微软雅黑" w:eastAsia="微软雅黑" w:cs="宋体"/>
          <w:b/>
          <w:bCs/>
          <w:color w:val="C00000"/>
          <w:sz w:val="24"/>
          <w:szCs w:val="24"/>
        </w:rPr>
      </w:pPr>
      <w:r>
        <w:rPr>
          <w:rFonts w:hint="eastAsia" w:ascii="微软雅黑" w:hAnsi="微软雅黑" w:eastAsia="微软雅黑" w:cs="宋体"/>
          <w:b/>
          <w:bCs/>
          <w:color w:val="C00000"/>
          <w:sz w:val="24"/>
          <w:szCs w:val="24"/>
        </w:rPr>
        <w:t>限时优惠</w:t>
      </w:r>
      <w:r>
        <w:rPr>
          <w:rFonts w:ascii="微软雅黑" w:hAnsi="微软雅黑" w:eastAsia="微软雅黑" w:cs="宋体"/>
          <w:b/>
          <w:bCs/>
          <w:color w:val="C00000"/>
          <w:sz w:val="24"/>
          <w:szCs w:val="24"/>
        </w:rPr>
        <w:t xml:space="preserve">RMB </w:t>
      </w:r>
      <w:r>
        <w:rPr>
          <w:rFonts w:hint="eastAsia" w:ascii="微软雅黑" w:hAnsi="微软雅黑" w:eastAsia="微软雅黑" w:cs="宋体"/>
          <w:b/>
          <w:bCs/>
          <w:color w:val="C00000"/>
          <w:sz w:val="24"/>
          <w:szCs w:val="24"/>
        </w:rPr>
        <w:t>2.88万元</w:t>
      </w:r>
      <w:r>
        <w:rPr>
          <w:rFonts w:ascii="微软雅黑" w:hAnsi="微软雅黑" w:eastAsia="微软雅黑" w:cs="宋体"/>
          <w:b/>
          <w:bCs/>
          <w:color w:val="C00000"/>
          <w:sz w:val="24"/>
          <w:szCs w:val="24"/>
        </w:rPr>
        <w:t>/</w:t>
      </w:r>
      <w:r>
        <w:rPr>
          <w:rFonts w:hint="eastAsia" w:ascii="微软雅黑" w:hAnsi="微软雅黑" w:eastAsia="微软雅黑" w:cs="宋体"/>
          <w:b/>
          <w:bCs/>
          <w:color w:val="C00000"/>
          <w:sz w:val="24"/>
          <w:szCs w:val="24"/>
        </w:rPr>
        <w:t>人</w:t>
      </w:r>
    </w:p>
    <w:p>
      <w:pPr>
        <w:spacing w:line="420" w:lineRule="atLeast"/>
        <w:ind w:left="420" w:leftChars="200" w:firstLine="1441" w:firstLineChars="600"/>
        <w:rPr>
          <w:rFonts w:ascii="微软雅黑" w:hAnsi="微软雅黑" w:eastAsia="微软雅黑" w:cs="宋体"/>
          <w:b/>
          <w:bCs/>
          <w:color w:val="C00000"/>
          <w:sz w:val="24"/>
          <w:szCs w:val="24"/>
        </w:rPr>
      </w:pPr>
    </w:p>
    <w:p>
      <w:pPr>
        <w:spacing w:line="420" w:lineRule="atLeast"/>
        <w:jc w:val="left"/>
        <w:rPr>
          <w:rFonts w:hint="eastAsia" w:ascii="微软雅黑" w:hAnsi="微软雅黑" w:eastAsia="微软雅黑" w:cs="宋体"/>
          <w:color w:val="000000"/>
          <w:sz w:val="24"/>
          <w:szCs w:val="24"/>
        </w:rPr>
      </w:pPr>
      <w:r>
        <w:rPr>
          <w:rFonts w:ascii="微软雅黑" w:hAnsi="微软雅黑" w:eastAsia="微软雅黑" w:cs="宋体"/>
          <w:color w:val="000000"/>
          <w:sz w:val="24"/>
          <w:szCs w:val="24"/>
        </w:rPr>
        <w:drawing>
          <wp:inline distT="0" distB="0" distL="0" distR="0">
            <wp:extent cx="5759450" cy="3291840"/>
            <wp:effectExtent l="0" t="0" r="6350" b="10160"/>
            <wp:docPr id="3" name="图片 3" descr="照片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照片拼图"/>
                    <pic:cNvPicPr>
                      <a:picLocks noChangeAspect="1" noChangeArrowheads="1"/>
                    </pic:cNvPicPr>
                  </pic:nvPicPr>
                  <pic:blipFill>
                    <a:blip r:embed="rId6">
                      <a:extLst>
                        <a:ext uri="{28A0092B-C50C-407E-A947-70E740481C1C}">
                          <a14:useLocalDpi xmlns:a14="http://schemas.microsoft.com/office/drawing/2010/main" val="0"/>
                        </a:ext>
                      </a:extLst>
                    </a:blip>
                    <a:srcRect t="19824" b="36592"/>
                    <a:stretch>
                      <a:fillRect/>
                    </a:stretch>
                  </pic:blipFill>
                  <pic:spPr>
                    <a:xfrm>
                      <a:off x="0" y="0"/>
                      <a:ext cx="5759450" cy="3292440"/>
                    </a:xfrm>
                    <a:prstGeom prst="rect">
                      <a:avLst/>
                    </a:prstGeom>
                    <a:noFill/>
                    <a:ln>
                      <a:noFill/>
                    </a:ln>
                  </pic:spPr>
                </pic:pic>
              </a:graphicData>
            </a:graphic>
          </wp:inline>
        </w:drawing>
      </w:r>
    </w:p>
    <w:p>
      <w:pPr>
        <w:spacing w:line="420" w:lineRule="atLeast"/>
        <w:jc w:val="left"/>
        <w:rPr>
          <w:rFonts w:hint="eastAsia" w:ascii="微软雅黑" w:hAnsi="微软雅黑" w:eastAsia="微软雅黑" w:cs="宋体"/>
          <w:color w:val="000000"/>
          <w:sz w:val="24"/>
          <w:szCs w:val="24"/>
        </w:rPr>
      </w:pPr>
    </w:p>
    <w:p>
      <w:pPr>
        <w:spacing w:line="420" w:lineRule="atLeast"/>
        <w:jc w:val="left"/>
        <w:rPr>
          <w:rFonts w:hint="eastAsia" w:ascii="微软雅黑" w:hAnsi="微软雅黑" w:eastAsia="微软雅黑" w:cs="宋体"/>
          <w:color w:val="000000"/>
          <w:sz w:val="24"/>
          <w:szCs w:val="24"/>
        </w:rPr>
      </w:pPr>
      <w:r>
        <w:rPr>
          <w:rFonts w:hint="eastAsia" w:ascii="微软雅黑" w:hAnsi="微软雅黑" w:eastAsia="微软雅黑" w:cs="宋体"/>
          <w:color w:val="000000"/>
          <w:sz w:val="24"/>
          <w:szCs w:val="24"/>
        </w:rPr>
        <w:drawing>
          <wp:inline distT="0" distB="0" distL="0" distR="0">
            <wp:extent cx="5751195" cy="3481070"/>
            <wp:effectExtent l="0" t="0" r="0" b="0"/>
            <wp:docPr id="5" name="图片 5" descr="../%20多多交接文件%20202010/横幅p图/2020.9.23p图/经营/经营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多多交接文件%20202010/横幅p图/2020.9.23p图/经营/经营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53762" cy="3482825"/>
                    </a:xfrm>
                    <a:prstGeom prst="rect">
                      <a:avLst/>
                    </a:prstGeom>
                    <a:noFill/>
                    <a:ln>
                      <a:noFill/>
                    </a:ln>
                  </pic:spPr>
                </pic:pic>
              </a:graphicData>
            </a:graphic>
          </wp:inline>
        </w:drawing>
      </w:r>
    </w:p>
    <w:p>
      <w:pPr>
        <w:spacing w:line="420" w:lineRule="atLeast"/>
        <w:jc w:val="left"/>
        <w:rPr>
          <w:rFonts w:hint="eastAsia" w:ascii="微软雅黑" w:hAnsi="微软雅黑" w:eastAsia="微软雅黑" w:cs="宋体"/>
          <w:color w:val="000000"/>
          <w:sz w:val="24"/>
          <w:szCs w:val="24"/>
        </w:rPr>
      </w:pPr>
      <w:r>
        <w:rPr>
          <w:rFonts w:hint="eastAsia" w:ascii="微软雅黑" w:hAnsi="微软雅黑" w:eastAsia="微软雅黑" w:cs="宋体"/>
          <w:color w:val="000000"/>
          <w:sz w:val="24"/>
          <w:szCs w:val="24"/>
        </w:rPr>
        <w:drawing>
          <wp:inline distT="0" distB="0" distL="0" distR="0">
            <wp:extent cx="5739130" cy="3430270"/>
            <wp:effectExtent l="0" t="0" r="1270" b="0"/>
            <wp:docPr id="6" name="图片 6" descr="../%20多多交接文件%20202010/横幅p图/2020.9.23p图/营销/营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多多交接文件%20202010/横幅p图/2020.9.23p图/营销/营销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9834" cy="3430758"/>
                    </a:xfrm>
                    <a:prstGeom prst="rect">
                      <a:avLst/>
                    </a:prstGeom>
                    <a:noFill/>
                    <a:ln>
                      <a:noFill/>
                    </a:ln>
                  </pic:spPr>
                </pic:pic>
              </a:graphicData>
            </a:graphic>
          </wp:inline>
        </w:drawing>
      </w:r>
    </w:p>
    <w:p>
      <w:pPr>
        <w:spacing w:line="420" w:lineRule="atLeast"/>
        <w:jc w:val="left"/>
        <w:rPr>
          <w:rFonts w:hint="eastAsia" w:ascii="微软雅黑" w:hAnsi="微软雅黑" w:eastAsia="微软雅黑" w:cs="宋体"/>
          <w:color w:val="000000"/>
          <w:sz w:val="24"/>
          <w:szCs w:val="24"/>
        </w:rPr>
      </w:pPr>
      <w:r>
        <w:rPr>
          <w:rFonts w:hint="eastAsia" w:ascii="微软雅黑" w:hAnsi="微软雅黑" w:eastAsia="微软雅黑" w:cs="宋体"/>
          <w:color w:val="000000"/>
          <w:sz w:val="24"/>
          <w:szCs w:val="24"/>
        </w:rPr>
        <w:drawing>
          <wp:inline distT="0" distB="0" distL="0" distR="0">
            <wp:extent cx="5762625" cy="3331210"/>
            <wp:effectExtent l="0" t="0" r="3175" b="0"/>
            <wp:docPr id="7" name="图片 7" descr="../周鑫老师/网安集团2-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周鑫老师/网安集团2-G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66264" cy="3333071"/>
                    </a:xfrm>
                    <a:prstGeom prst="rect">
                      <a:avLst/>
                    </a:prstGeom>
                    <a:noFill/>
                    <a:ln>
                      <a:noFill/>
                    </a:ln>
                  </pic:spPr>
                </pic:pic>
              </a:graphicData>
            </a:graphic>
          </wp:inline>
        </w:drawing>
      </w:r>
      <w:r>
        <w:rPr>
          <w:rFonts w:hint="eastAsia" w:ascii="微软雅黑" w:hAnsi="微软雅黑" w:eastAsia="微软雅黑" w:cs="宋体"/>
          <w:color w:val="000000"/>
          <w:sz w:val="24"/>
          <w:szCs w:val="24"/>
        </w:rPr>
        <w:drawing>
          <wp:inline distT="0" distB="0" distL="0" distR="0">
            <wp:extent cx="5751195" cy="4024630"/>
            <wp:effectExtent l="0" t="0" r="0" b="0"/>
            <wp:docPr id="9" name="图片 9" descr="../周鑫老师/mmexport1559527345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周鑫老师/mmexport15595273459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1758" cy="4025091"/>
                    </a:xfrm>
                    <a:prstGeom prst="rect">
                      <a:avLst/>
                    </a:prstGeom>
                    <a:noFill/>
                    <a:ln>
                      <a:noFill/>
                    </a:ln>
                  </pic:spPr>
                </pic:pic>
              </a:graphicData>
            </a:graphic>
          </wp:inline>
        </w:drawing>
      </w:r>
      <w:r>
        <w:rPr>
          <w:rFonts w:hint="eastAsia" w:ascii="微软雅黑" w:hAnsi="微软雅黑" w:eastAsia="微软雅黑" w:cs="宋体"/>
          <w:color w:val="000000"/>
          <w:sz w:val="24"/>
          <w:szCs w:val="24"/>
        </w:rPr>
        <w:drawing>
          <wp:inline distT="0" distB="0" distL="0" distR="0">
            <wp:extent cx="5740400" cy="3331210"/>
            <wp:effectExtent l="0" t="0" r="0" b="0"/>
            <wp:docPr id="8" name="图片 8" descr="../周鑫老师/CMA东区主席杨老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周鑫老师/CMA东区主席杨老师.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40945" cy="3331593"/>
                    </a:xfrm>
                    <a:prstGeom prst="rect">
                      <a:avLst/>
                    </a:prstGeom>
                    <a:noFill/>
                    <a:ln>
                      <a:noFill/>
                    </a:ln>
                  </pic:spPr>
                </pic:pic>
              </a:graphicData>
            </a:graphic>
          </wp:inline>
        </w:drawing>
      </w:r>
    </w:p>
    <w:p>
      <w:pPr>
        <w:spacing w:line="420" w:lineRule="atLeast"/>
        <w:jc w:val="left"/>
        <w:rPr>
          <w:rFonts w:ascii="微软雅黑" w:hAnsi="微软雅黑" w:eastAsia="微软雅黑" w:cs="宋体"/>
          <w:color w:val="000000"/>
          <w:sz w:val="24"/>
          <w:szCs w:val="24"/>
        </w:rPr>
      </w:pPr>
      <w:r>
        <w:rPr>
          <w:rFonts w:ascii="微软雅黑" w:hAnsi="微软雅黑" w:eastAsia="微软雅黑" w:cs="宋体"/>
          <w:color w:val="000000"/>
          <w:sz w:val="24"/>
          <w:szCs w:val="24"/>
        </w:rPr>
        <w:drawing>
          <wp:inline distT="0" distB="0" distL="0" distR="0">
            <wp:extent cx="5759450" cy="328231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59952" cy="3282634"/>
                    </a:xfrm>
                    <a:prstGeom prst="rect">
                      <a:avLst/>
                    </a:prstGeom>
                  </pic:spPr>
                </pic:pic>
              </a:graphicData>
            </a:graphic>
          </wp:inline>
        </w:drawing>
      </w:r>
    </w:p>
    <w:p>
      <w:pPr>
        <w:spacing w:line="420" w:lineRule="atLeast"/>
        <w:jc w:val="left"/>
        <w:rPr>
          <w:rFonts w:ascii="微软雅黑" w:hAnsi="微软雅黑" w:eastAsia="微软雅黑" w:cs="宋体"/>
          <w:color w:val="000000"/>
          <w:sz w:val="24"/>
          <w:szCs w:val="24"/>
        </w:rPr>
      </w:pPr>
    </w:p>
    <w:p>
      <w:pPr>
        <w:spacing w:line="420" w:lineRule="atLeast"/>
        <w:jc w:val="left"/>
        <w:rPr>
          <w:rFonts w:hint="default" w:ascii="微软雅黑" w:hAnsi="微软雅黑" w:eastAsia="微软雅黑" w:cs="宋体"/>
          <w:color w:val="000000"/>
          <w:sz w:val="24"/>
          <w:szCs w:val="24"/>
          <w:lang w:val="en-US" w:eastAsia="zh-CN"/>
        </w:rPr>
      </w:pPr>
      <w:r>
        <w:rPr>
          <w:rFonts w:hint="eastAsia" w:ascii="微软雅黑" w:hAnsi="微软雅黑" w:eastAsia="微软雅黑" w:cs="宋体"/>
          <w:color w:val="000000"/>
          <w:sz w:val="24"/>
          <w:szCs w:val="24"/>
          <w:lang w:val="en-US" w:eastAsia="zh-CN"/>
        </w:rPr>
        <w:t xml:space="preserve">             </w:t>
      </w:r>
    </w:p>
    <w:p>
      <w:pPr>
        <w:spacing w:line="940" w:lineRule="exact"/>
        <w:jc w:val="center"/>
        <w:rPr>
          <w:rFonts w:ascii="微软雅黑" w:hAnsi="微软雅黑" w:eastAsia="微软雅黑" w:cs="Times New Roman"/>
          <w:b/>
          <w:bCs/>
          <w:color w:val="993300"/>
          <w:sz w:val="44"/>
          <w:szCs w:val="44"/>
        </w:rPr>
      </w:pPr>
      <w:r>
        <w:rPr>
          <w:rFonts w:hint="eastAsia" w:ascii="微软雅黑" w:hAnsi="微软雅黑" w:eastAsia="微软雅黑" w:cs="黑体"/>
          <w:b/>
          <w:bCs/>
          <w:color w:val="993300"/>
          <w:sz w:val="44"/>
          <w:szCs w:val="44"/>
        </w:rPr>
        <w:t>首席营销官C</w:t>
      </w:r>
      <w:r>
        <w:rPr>
          <w:rFonts w:ascii="微软雅黑" w:hAnsi="微软雅黑" w:eastAsia="微软雅黑" w:cs="黑体"/>
          <w:b/>
          <w:bCs/>
          <w:color w:val="993300"/>
          <w:sz w:val="44"/>
          <w:szCs w:val="44"/>
        </w:rPr>
        <w:t>MO</w:t>
      </w:r>
      <w:r>
        <w:rPr>
          <w:rFonts w:hint="eastAsia" w:ascii="微软雅黑" w:hAnsi="微软雅黑" w:eastAsia="微软雅黑" w:cs="黑体"/>
          <w:b/>
          <w:bCs/>
          <w:color w:val="993300"/>
          <w:sz w:val="44"/>
          <w:szCs w:val="44"/>
        </w:rPr>
        <w:t>体系化实战研修班</w:t>
      </w:r>
    </w:p>
    <w:p>
      <w:pPr>
        <w:spacing w:line="420" w:lineRule="atLeast"/>
        <w:jc w:val="left"/>
        <w:rPr>
          <w:rFonts w:ascii="微软雅黑" w:hAnsi="微软雅黑" w:eastAsia="微软雅黑" w:cs="宋体"/>
          <w:color w:val="000000"/>
          <w:sz w:val="24"/>
          <w:szCs w:val="24"/>
        </w:rPr>
      </w:pPr>
    </w:p>
    <w:tbl>
      <w:tblPr>
        <w:tblStyle w:val="6"/>
        <w:tblW w:w="9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050"/>
        <w:gridCol w:w="66"/>
        <w:gridCol w:w="1080"/>
        <w:gridCol w:w="244"/>
        <w:gridCol w:w="1915"/>
        <w:gridCol w:w="1259"/>
        <w:gridCol w:w="989"/>
        <w:gridCol w:w="91"/>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1256" w:type="dxa"/>
          </w:tcPr>
          <w:p>
            <w:pPr>
              <w:spacing w:line="400" w:lineRule="atLeast"/>
              <w:jc w:val="center"/>
              <w:rPr>
                <w:rFonts w:ascii="黑体" w:hAnsi="宋体" w:eastAsia="黑体"/>
                <w:bCs/>
                <w:szCs w:val="21"/>
              </w:rPr>
            </w:pPr>
            <w:r>
              <w:rPr>
                <w:rFonts w:hint="eastAsia" w:ascii="黑体" w:hAnsi="宋体" w:eastAsia="黑体"/>
                <w:bCs/>
                <w:szCs w:val="21"/>
              </w:rPr>
              <w:t>姓    名</w:t>
            </w:r>
          </w:p>
        </w:tc>
        <w:tc>
          <w:tcPr>
            <w:tcW w:w="1116" w:type="dxa"/>
            <w:gridSpan w:val="2"/>
          </w:tcPr>
          <w:p>
            <w:pPr>
              <w:spacing w:line="400" w:lineRule="atLeast"/>
              <w:jc w:val="center"/>
              <w:rPr>
                <w:rFonts w:ascii="黑体" w:hAnsi="宋体" w:eastAsia="黑体"/>
                <w:bCs/>
                <w:szCs w:val="21"/>
              </w:rPr>
            </w:pPr>
          </w:p>
        </w:tc>
        <w:tc>
          <w:tcPr>
            <w:tcW w:w="1080" w:type="dxa"/>
          </w:tcPr>
          <w:p>
            <w:pPr>
              <w:spacing w:line="400" w:lineRule="atLeast"/>
              <w:jc w:val="center"/>
              <w:rPr>
                <w:rFonts w:ascii="黑体" w:hAnsi="宋体" w:eastAsia="黑体"/>
                <w:bCs/>
                <w:szCs w:val="21"/>
              </w:rPr>
            </w:pPr>
            <w:r>
              <w:rPr>
                <w:rFonts w:hint="eastAsia" w:ascii="黑体" w:hAnsi="宋体" w:eastAsia="黑体"/>
                <w:bCs/>
                <w:szCs w:val="21"/>
              </w:rPr>
              <w:t>性 别</w:t>
            </w:r>
          </w:p>
        </w:tc>
        <w:tc>
          <w:tcPr>
            <w:tcW w:w="2159" w:type="dxa"/>
            <w:gridSpan w:val="2"/>
          </w:tcPr>
          <w:p>
            <w:pPr>
              <w:spacing w:line="400" w:lineRule="atLeast"/>
              <w:jc w:val="right"/>
              <w:rPr>
                <w:rFonts w:ascii="黑体" w:hAnsi="宋体" w:eastAsia="黑体"/>
                <w:bCs/>
                <w:szCs w:val="21"/>
              </w:rPr>
            </w:pPr>
          </w:p>
        </w:tc>
        <w:tc>
          <w:tcPr>
            <w:tcW w:w="1259" w:type="dxa"/>
          </w:tcPr>
          <w:p>
            <w:pPr>
              <w:spacing w:line="400" w:lineRule="atLeast"/>
              <w:jc w:val="center"/>
              <w:rPr>
                <w:rFonts w:ascii="黑体" w:hAnsi="宋体" w:eastAsia="黑体"/>
                <w:bCs/>
                <w:szCs w:val="21"/>
              </w:rPr>
            </w:pPr>
            <w:r>
              <w:rPr>
                <w:rFonts w:hint="eastAsia" w:ascii="黑体" w:hAnsi="宋体" w:eastAsia="黑体"/>
                <w:bCs/>
                <w:szCs w:val="21"/>
              </w:rPr>
              <w:t>民 族</w:t>
            </w:r>
          </w:p>
        </w:tc>
        <w:tc>
          <w:tcPr>
            <w:tcW w:w="989" w:type="dxa"/>
          </w:tcPr>
          <w:p>
            <w:pPr>
              <w:spacing w:line="400" w:lineRule="atLeast"/>
              <w:jc w:val="center"/>
              <w:rPr>
                <w:rFonts w:ascii="黑体" w:hAnsi="宋体" w:eastAsia="黑体"/>
                <w:bCs/>
                <w:szCs w:val="21"/>
              </w:rPr>
            </w:pPr>
          </w:p>
        </w:tc>
        <w:tc>
          <w:tcPr>
            <w:tcW w:w="1818" w:type="dxa"/>
            <w:gridSpan w:val="2"/>
            <w:vMerge w:val="restart"/>
          </w:tcPr>
          <w:p>
            <w:pPr>
              <w:spacing w:line="400" w:lineRule="atLeast"/>
              <w:ind w:firstLine="688" w:firstLineChars="328"/>
              <w:rPr>
                <w:rFonts w:ascii="黑体" w:hAnsi="宋体" w:eastAsia="黑体"/>
                <w:bCs/>
                <w:szCs w:val="21"/>
              </w:rPr>
            </w:pPr>
            <w:r>
              <w:rPr>
                <w:rFonts w:hint="eastAsia" w:ascii="黑体" w:hAnsi="宋体" w:eastAsia="黑体"/>
                <w:bCs/>
                <w:szCs w:val="21"/>
              </w:rPr>
              <w:t>贴</w:t>
            </w:r>
          </w:p>
          <w:p>
            <w:pPr>
              <w:spacing w:line="400" w:lineRule="atLeast"/>
              <w:ind w:firstLine="688" w:firstLineChars="328"/>
              <w:rPr>
                <w:rFonts w:ascii="黑体" w:hAnsi="宋体" w:eastAsia="黑体"/>
                <w:bCs/>
                <w:szCs w:val="21"/>
              </w:rPr>
            </w:pPr>
            <w:r>
              <w:rPr>
                <w:rFonts w:hint="eastAsia" w:ascii="黑体" w:hAnsi="宋体" w:eastAsia="黑体"/>
                <w:bCs/>
                <w:szCs w:val="21"/>
              </w:rPr>
              <w:t>照</w:t>
            </w:r>
          </w:p>
          <w:p>
            <w:pPr>
              <w:spacing w:line="400" w:lineRule="atLeast"/>
              <w:ind w:firstLine="688" w:firstLineChars="328"/>
              <w:rPr>
                <w:rFonts w:ascii="黑体" w:hAnsi="宋体" w:eastAsia="黑体"/>
                <w:bCs/>
                <w:szCs w:val="21"/>
              </w:rPr>
            </w:pPr>
            <w:r>
              <w:rPr>
                <w:rFonts w:hint="eastAsia" w:ascii="黑体" w:hAnsi="宋体" w:eastAsia="黑体"/>
                <w:bCs/>
                <w:szCs w:val="21"/>
              </w:rPr>
              <w:t>片</w:t>
            </w:r>
          </w:p>
          <w:p>
            <w:pPr>
              <w:spacing w:line="400" w:lineRule="atLeast"/>
              <w:ind w:firstLine="688" w:firstLineChars="328"/>
              <w:rPr>
                <w:rFonts w:ascii="黑体" w:hAnsi="宋体" w:eastAsia="黑体"/>
                <w:bCs/>
                <w:szCs w:val="21"/>
              </w:rPr>
            </w:pPr>
            <w:r>
              <w:rPr>
                <w:rFonts w:hint="eastAsia" w:ascii="黑体" w:hAnsi="宋体" w:eastAsia="黑体"/>
                <w:bCs/>
                <w:szCs w:val="21"/>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1256" w:type="dxa"/>
          </w:tcPr>
          <w:p>
            <w:pPr>
              <w:spacing w:line="400" w:lineRule="atLeast"/>
              <w:jc w:val="center"/>
              <w:rPr>
                <w:rFonts w:hint="eastAsia" w:ascii="黑体" w:hAnsi="宋体" w:eastAsia="黑体"/>
                <w:bCs/>
                <w:szCs w:val="21"/>
              </w:rPr>
            </w:pPr>
          </w:p>
          <w:p>
            <w:pPr>
              <w:spacing w:line="400" w:lineRule="atLeast"/>
              <w:jc w:val="center"/>
              <w:rPr>
                <w:rFonts w:hint="eastAsia" w:ascii="黑体" w:hAnsi="宋体" w:eastAsia="黑体"/>
                <w:bCs/>
                <w:szCs w:val="21"/>
              </w:rPr>
            </w:pPr>
          </w:p>
        </w:tc>
        <w:tc>
          <w:tcPr>
            <w:tcW w:w="1116" w:type="dxa"/>
            <w:gridSpan w:val="2"/>
          </w:tcPr>
          <w:p>
            <w:pPr>
              <w:spacing w:line="400" w:lineRule="atLeast"/>
              <w:jc w:val="center"/>
              <w:rPr>
                <w:rFonts w:ascii="黑体" w:hAnsi="宋体" w:eastAsia="黑体"/>
                <w:bCs/>
                <w:szCs w:val="21"/>
              </w:rPr>
            </w:pPr>
          </w:p>
        </w:tc>
        <w:tc>
          <w:tcPr>
            <w:tcW w:w="1080" w:type="dxa"/>
          </w:tcPr>
          <w:p>
            <w:pPr>
              <w:spacing w:line="400" w:lineRule="atLeast"/>
              <w:jc w:val="center"/>
              <w:rPr>
                <w:rFonts w:hint="eastAsia" w:ascii="黑体" w:hAnsi="宋体" w:eastAsia="黑体"/>
                <w:bCs/>
                <w:szCs w:val="21"/>
              </w:rPr>
            </w:pPr>
          </w:p>
        </w:tc>
        <w:tc>
          <w:tcPr>
            <w:tcW w:w="2159" w:type="dxa"/>
            <w:gridSpan w:val="2"/>
          </w:tcPr>
          <w:p>
            <w:pPr>
              <w:spacing w:line="400" w:lineRule="atLeast"/>
              <w:jc w:val="right"/>
              <w:rPr>
                <w:rFonts w:ascii="黑体" w:hAnsi="宋体" w:eastAsia="黑体"/>
                <w:bCs/>
                <w:szCs w:val="21"/>
              </w:rPr>
            </w:pPr>
          </w:p>
        </w:tc>
        <w:tc>
          <w:tcPr>
            <w:tcW w:w="1259" w:type="dxa"/>
          </w:tcPr>
          <w:p>
            <w:pPr>
              <w:spacing w:line="400" w:lineRule="atLeast"/>
              <w:jc w:val="center"/>
              <w:rPr>
                <w:rFonts w:hint="eastAsia" w:ascii="黑体" w:hAnsi="宋体" w:eastAsia="黑体"/>
                <w:bCs/>
                <w:szCs w:val="21"/>
              </w:rPr>
            </w:pPr>
          </w:p>
        </w:tc>
        <w:tc>
          <w:tcPr>
            <w:tcW w:w="989" w:type="dxa"/>
          </w:tcPr>
          <w:p>
            <w:pPr>
              <w:spacing w:line="400" w:lineRule="atLeast"/>
              <w:jc w:val="center"/>
              <w:rPr>
                <w:rFonts w:ascii="黑体" w:hAnsi="宋体" w:eastAsia="黑体"/>
                <w:bCs/>
                <w:szCs w:val="21"/>
              </w:rPr>
            </w:pPr>
          </w:p>
        </w:tc>
        <w:tc>
          <w:tcPr>
            <w:tcW w:w="1818" w:type="dxa"/>
            <w:gridSpan w:val="2"/>
            <w:vMerge w:val="continue"/>
          </w:tcPr>
          <w:p>
            <w:pPr>
              <w:spacing w:line="400" w:lineRule="atLeast"/>
              <w:ind w:firstLine="688" w:firstLineChars="328"/>
              <w:rPr>
                <w:rFonts w:hint="eastAsia"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1256" w:type="dxa"/>
          </w:tcPr>
          <w:p>
            <w:pPr>
              <w:spacing w:line="400" w:lineRule="atLeast"/>
              <w:jc w:val="center"/>
              <w:rPr>
                <w:rFonts w:ascii="黑体" w:hAnsi="宋体" w:eastAsia="黑体"/>
                <w:bCs/>
                <w:szCs w:val="21"/>
              </w:rPr>
            </w:pPr>
            <w:r>
              <w:rPr>
                <w:rFonts w:hint="eastAsia" w:ascii="黑体" w:hAnsi="宋体" w:eastAsia="黑体"/>
                <w:bCs/>
                <w:szCs w:val="21"/>
              </w:rPr>
              <w:t>籍    贯</w:t>
            </w:r>
          </w:p>
        </w:tc>
        <w:tc>
          <w:tcPr>
            <w:tcW w:w="1116" w:type="dxa"/>
            <w:gridSpan w:val="2"/>
          </w:tcPr>
          <w:p>
            <w:pPr>
              <w:spacing w:line="400" w:lineRule="atLeast"/>
              <w:jc w:val="center"/>
              <w:rPr>
                <w:rFonts w:ascii="黑体" w:hAnsi="宋体" w:eastAsia="黑体"/>
                <w:bCs/>
                <w:szCs w:val="21"/>
              </w:rPr>
            </w:pPr>
          </w:p>
        </w:tc>
        <w:tc>
          <w:tcPr>
            <w:tcW w:w="1080" w:type="dxa"/>
          </w:tcPr>
          <w:p>
            <w:pPr>
              <w:spacing w:line="400" w:lineRule="atLeast"/>
              <w:jc w:val="center"/>
              <w:rPr>
                <w:rFonts w:ascii="黑体" w:hAnsi="宋体" w:eastAsia="黑体"/>
                <w:bCs/>
                <w:szCs w:val="21"/>
              </w:rPr>
            </w:pPr>
            <w:r>
              <w:rPr>
                <w:rFonts w:hint="eastAsia" w:ascii="黑体" w:hAnsi="宋体" w:eastAsia="黑体"/>
                <w:bCs/>
                <w:szCs w:val="21"/>
              </w:rPr>
              <w:t>学 历</w:t>
            </w:r>
          </w:p>
        </w:tc>
        <w:tc>
          <w:tcPr>
            <w:tcW w:w="2159" w:type="dxa"/>
            <w:gridSpan w:val="2"/>
          </w:tcPr>
          <w:p>
            <w:pPr>
              <w:spacing w:line="400" w:lineRule="atLeast"/>
              <w:jc w:val="center"/>
              <w:rPr>
                <w:rFonts w:ascii="黑体" w:hAnsi="宋体" w:eastAsia="黑体"/>
                <w:bCs/>
                <w:szCs w:val="21"/>
              </w:rPr>
            </w:pPr>
          </w:p>
        </w:tc>
        <w:tc>
          <w:tcPr>
            <w:tcW w:w="1259" w:type="dxa"/>
          </w:tcPr>
          <w:p>
            <w:pPr>
              <w:spacing w:line="400" w:lineRule="atLeast"/>
              <w:jc w:val="center"/>
              <w:rPr>
                <w:rFonts w:ascii="黑体" w:hAnsi="宋体" w:eastAsia="黑体"/>
                <w:bCs/>
                <w:szCs w:val="21"/>
              </w:rPr>
            </w:pPr>
            <w:r>
              <w:rPr>
                <w:rFonts w:hint="eastAsia" w:ascii="黑体" w:hAnsi="宋体" w:eastAsia="黑体"/>
                <w:bCs/>
                <w:szCs w:val="21"/>
              </w:rPr>
              <w:t>专 业</w:t>
            </w:r>
          </w:p>
        </w:tc>
        <w:tc>
          <w:tcPr>
            <w:tcW w:w="989" w:type="dxa"/>
          </w:tcPr>
          <w:p>
            <w:pPr>
              <w:spacing w:line="400" w:lineRule="atLeast"/>
              <w:jc w:val="center"/>
              <w:rPr>
                <w:rFonts w:ascii="黑体" w:hAnsi="宋体" w:eastAsia="黑体"/>
                <w:bCs/>
                <w:szCs w:val="21"/>
              </w:rPr>
            </w:pPr>
          </w:p>
        </w:tc>
        <w:tc>
          <w:tcPr>
            <w:tcW w:w="1818" w:type="dxa"/>
            <w:gridSpan w:val="2"/>
            <w:vMerge w:val="continue"/>
          </w:tcPr>
          <w:p>
            <w:pPr>
              <w:spacing w:line="400" w:lineRule="atLeast"/>
              <w:jc w:val="center"/>
              <w:rPr>
                <w:rFonts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trPr>
        <w:tc>
          <w:tcPr>
            <w:tcW w:w="2372" w:type="dxa"/>
            <w:gridSpan w:val="3"/>
          </w:tcPr>
          <w:p>
            <w:pPr>
              <w:spacing w:line="400" w:lineRule="atLeast"/>
              <w:jc w:val="center"/>
              <w:rPr>
                <w:rFonts w:ascii="黑体" w:hAnsi="宋体" w:eastAsia="黑体"/>
                <w:bCs/>
                <w:szCs w:val="21"/>
              </w:rPr>
            </w:pPr>
            <w:r>
              <w:rPr>
                <w:rFonts w:hint="eastAsia" w:ascii="黑体" w:hAnsi="宋体" w:eastAsia="黑体"/>
                <w:bCs/>
                <w:sz w:val="28"/>
                <w:szCs w:val="28"/>
              </w:rPr>
              <w:t>★</w:t>
            </w:r>
            <w:r>
              <w:rPr>
                <w:rFonts w:hint="eastAsia" w:ascii="黑体" w:hAnsi="宋体" w:eastAsia="黑体"/>
                <w:bCs/>
                <w:szCs w:val="21"/>
              </w:rPr>
              <w:t>身份证号（必填）</w:t>
            </w:r>
          </w:p>
        </w:tc>
        <w:tc>
          <w:tcPr>
            <w:tcW w:w="3239" w:type="dxa"/>
            <w:gridSpan w:val="3"/>
          </w:tcPr>
          <w:p>
            <w:pPr>
              <w:spacing w:line="400" w:lineRule="atLeast"/>
              <w:jc w:val="center"/>
              <w:rPr>
                <w:rFonts w:ascii="黑体" w:hAnsi="宋体" w:eastAsia="黑体"/>
                <w:bCs/>
                <w:szCs w:val="21"/>
              </w:rPr>
            </w:pPr>
          </w:p>
        </w:tc>
        <w:tc>
          <w:tcPr>
            <w:tcW w:w="1259" w:type="dxa"/>
          </w:tcPr>
          <w:p>
            <w:pPr>
              <w:spacing w:line="400" w:lineRule="atLeast"/>
              <w:jc w:val="center"/>
              <w:rPr>
                <w:rFonts w:ascii="黑体" w:hAnsi="宋体" w:eastAsia="黑体"/>
                <w:bCs/>
                <w:szCs w:val="21"/>
              </w:rPr>
            </w:pPr>
            <w:r>
              <w:rPr>
                <w:rFonts w:hint="eastAsia" w:ascii="黑体" w:hAnsi="宋体" w:eastAsia="黑体"/>
                <w:bCs/>
                <w:szCs w:val="21"/>
              </w:rPr>
              <w:t>出生年月</w:t>
            </w:r>
          </w:p>
        </w:tc>
        <w:tc>
          <w:tcPr>
            <w:tcW w:w="989" w:type="dxa"/>
          </w:tcPr>
          <w:p>
            <w:pPr>
              <w:spacing w:line="400" w:lineRule="atLeast"/>
              <w:jc w:val="center"/>
              <w:rPr>
                <w:rFonts w:ascii="黑体" w:hAnsi="宋体" w:eastAsia="黑体"/>
                <w:bCs/>
                <w:szCs w:val="21"/>
              </w:rPr>
            </w:pPr>
          </w:p>
        </w:tc>
        <w:tc>
          <w:tcPr>
            <w:tcW w:w="1818" w:type="dxa"/>
            <w:gridSpan w:val="2"/>
            <w:vMerge w:val="continue"/>
          </w:tcPr>
          <w:p>
            <w:pPr>
              <w:spacing w:line="400" w:lineRule="atLeast"/>
              <w:jc w:val="center"/>
              <w:rPr>
                <w:rFonts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256" w:type="dxa"/>
          </w:tcPr>
          <w:p>
            <w:pPr>
              <w:spacing w:line="400" w:lineRule="atLeast"/>
              <w:jc w:val="center"/>
              <w:rPr>
                <w:rFonts w:ascii="黑体" w:hAnsi="宋体" w:eastAsia="黑体"/>
                <w:bCs/>
                <w:szCs w:val="21"/>
              </w:rPr>
            </w:pPr>
            <w:r>
              <w:rPr>
                <w:rFonts w:hint="eastAsia" w:ascii="黑体" w:hAnsi="宋体" w:eastAsia="黑体"/>
                <w:bCs/>
                <w:szCs w:val="21"/>
              </w:rPr>
              <w:t>职    务</w:t>
            </w:r>
          </w:p>
        </w:tc>
        <w:tc>
          <w:tcPr>
            <w:tcW w:w="1116" w:type="dxa"/>
            <w:gridSpan w:val="2"/>
          </w:tcPr>
          <w:p>
            <w:pPr>
              <w:spacing w:line="400" w:lineRule="atLeast"/>
              <w:jc w:val="center"/>
              <w:rPr>
                <w:rFonts w:ascii="黑体" w:hAnsi="宋体" w:eastAsia="黑体"/>
                <w:bCs/>
                <w:szCs w:val="21"/>
              </w:rPr>
            </w:pPr>
          </w:p>
        </w:tc>
        <w:tc>
          <w:tcPr>
            <w:tcW w:w="1080" w:type="dxa"/>
          </w:tcPr>
          <w:p>
            <w:pPr>
              <w:spacing w:line="400" w:lineRule="atLeast"/>
              <w:jc w:val="center"/>
              <w:rPr>
                <w:rFonts w:ascii="黑体" w:hAnsi="宋体" w:eastAsia="黑体"/>
                <w:bCs/>
                <w:szCs w:val="21"/>
              </w:rPr>
            </w:pPr>
            <w:r>
              <w:rPr>
                <w:rFonts w:hint="eastAsia" w:ascii="黑体" w:hAnsi="宋体" w:eastAsia="黑体"/>
                <w:bCs/>
                <w:szCs w:val="21"/>
              </w:rPr>
              <w:t>电   话</w:t>
            </w:r>
          </w:p>
        </w:tc>
        <w:tc>
          <w:tcPr>
            <w:tcW w:w="2159" w:type="dxa"/>
            <w:gridSpan w:val="2"/>
          </w:tcPr>
          <w:p>
            <w:pPr>
              <w:spacing w:line="400" w:lineRule="atLeast"/>
              <w:jc w:val="center"/>
              <w:rPr>
                <w:rFonts w:ascii="黑体" w:hAnsi="宋体" w:eastAsia="黑体"/>
                <w:bCs/>
                <w:szCs w:val="21"/>
              </w:rPr>
            </w:pPr>
          </w:p>
        </w:tc>
        <w:tc>
          <w:tcPr>
            <w:tcW w:w="1259" w:type="dxa"/>
          </w:tcPr>
          <w:p>
            <w:pPr>
              <w:spacing w:line="400" w:lineRule="atLeast"/>
              <w:jc w:val="center"/>
              <w:rPr>
                <w:rFonts w:ascii="黑体" w:hAnsi="宋体" w:eastAsia="黑体"/>
                <w:bCs/>
                <w:szCs w:val="21"/>
              </w:rPr>
            </w:pPr>
            <w:r>
              <w:rPr>
                <w:rFonts w:hint="eastAsia" w:ascii="黑体" w:hAnsi="宋体" w:eastAsia="黑体"/>
                <w:bCs/>
                <w:szCs w:val="21"/>
              </w:rPr>
              <w:t>传 真</w:t>
            </w:r>
          </w:p>
        </w:tc>
        <w:tc>
          <w:tcPr>
            <w:tcW w:w="2807" w:type="dxa"/>
            <w:gridSpan w:val="3"/>
          </w:tcPr>
          <w:p>
            <w:pPr>
              <w:spacing w:line="400" w:lineRule="atLeast"/>
              <w:jc w:val="center"/>
              <w:rPr>
                <w:rFonts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256" w:type="dxa"/>
          </w:tcPr>
          <w:p>
            <w:pPr>
              <w:spacing w:line="400" w:lineRule="atLeast"/>
              <w:jc w:val="center"/>
              <w:rPr>
                <w:rFonts w:ascii="黑体" w:hAnsi="宋体" w:eastAsia="黑体"/>
                <w:bCs/>
                <w:szCs w:val="21"/>
              </w:rPr>
            </w:pPr>
            <w:r>
              <w:rPr>
                <w:rFonts w:hint="eastAsia" w:ascii="黑体" w:hAnsi="宋体" w:eastAsia="黑体"/>
                <w:bCs/>
                <w:szCs w:val="21"/>
              </w:rPr>
              <w:t>单位名称</w:t>
            </w:r>
          </w:p>
        </w:tc>
        <w:tc>
          <w:tcPr>
            <w:tcW w:w="4355" w:type="dxa"/>
            <w:gridSpan w:val="5"/>
          </w:tcPr>
          <w:p>
            <w:pPr>
              <w:spacing w:line="400" w:lineRule="atLeast"/>
              <w:jc w:val="center"/>
              <w:rPr>
                <w:rFonts w:ascii="黑体" w:hAnsi="宋体" w:eastAsia="黑体"/>
                <w:bCs/>
                <w:szCs w:val="21"/>
              </w:rPr>
            </w:pPr>
          </w:p>
        </w:tc>
        <w:tc>
          <w:tcPr>
            <w:tcW w:w="1259" w:type="dxa"/>
          </w:tcPr>
          <w:p>
            <w:pPr>
              <w:spacing w:line="400" w:lineRule="atLeast"/>
              <w:jc w:val="center"/>
              <w:rPr>
                <w:rFonts w:ascii="黑体" w:hAnsi="宋体" w:eastAsia="黑体"/>
                <w:bCs/>
                <w:szCs w:val="21"/>
              </w:rPr>
            </w:pPr>
            <w:r>
              <w:rPr>
                <w:rFonts w:hint="eastAsia" w:ascii="黑体" w:hAnsi="宋体" w:eastAsia="黑体"/>
                <w:bCs/>
                <w:szCs w:val="21"/>
              </w:rPr>
              <w:t>手 机</w:t>
            </w:r>
          </w:p>
        </w:tc>
        <w:tc>
          <w:tcPr>
            <w:tcW w:w="2807" w:type="dxa"/>
            <w:gridSpan w:val="3"/>
          </w:tcPr>
          <w:p>
            <w:pPr>
              <w:spacing w:line="400" w:lineRule="atLeast"/>
              <w:jc w:val="center"/>
              <w:rPr>
                <w:rFonts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256" w:type="dxa"/>
          </w:tcPr>
          <w:p>
            <w:pPr>
              <w:tabs>
                <w:tab w:val="left" w:pos="3585"/>
              </w:tabs>
              <w:spacing w:line="400" w:lineRule="atLeast"/>
              <w:jc w:val="center"/>
              <w:rPr>
                <w:rFonts w:ascii="黑体" w:hAnsi="宋体" w:eastAsia="黑体"/>
                <w:bCs/>
                <w:szCs w:val="21"/>
              </w:rPr>
            </w:pPr>
            <w:r>
              <w:rPr>
                <w:rFonts w:hint="eastAsia" w:ascii="黑体" w:hAnsi="宋体" w:eastAsia="黑体"/>
                <w:bCs/>
                <w:szCs w:val="21"/>
              </w:rPr>
              <w:t>单位地址</w:t>
            </w:r>
          </w:p>
        </w:tc>
        <w:tc>
          <w:tcPr>
            <w:tcW w:w="5614" w:type="dxa"/>
            <w:gridSpan w:val="6"/>
          </w:tcPr>
          <w:p>
            <w:pPr>
              <w:tabs>
                <w:tab w:val="left" w:pos="3585"/>
              </w:tabs>
              <w:spacing w:line="400" w:lineRule="atLeast"/>
              <w:jc w:val="center"/>
              <w:rPr>
                <w:rFonts w:ascii="黑体" w:hAnsi="宋体" w:eastAsia="黑体"/>
                <w:bCs/>
                <w:szCs w:val="21"/>
              </w:rPr>
            </w:pPr>
          </w:p>
        </w:tc>
        <w:tc>
          <w:tcPr>
            <w:tcW w:w="1080" w:type="dxa"/>
            <w:gridSpan w:val="2"/>
          </w:tcPr>
          <w:p>
            <w:pPr>
              <w:tabs>
                <w:tab w:val="left" w:pos="3585"/>
              </w:tabs>
              <w:spacing w:line="400" w:lineRule="atLeast"/>
              <w:rPr>
                <w:rFonts w:ascii="黑体" w:hAnsi="宋体" w:eastAsia="黑体"/>
                <w:bCs/>
                <w:szCs w:val="21"/>
              </w:rPr>
            </w:pPr>
            <w:r>
              <w:rPr>
                <w:rFonts w:hint="eastAsia" w:ascii="黑体" w:hAnsi="宋体" w:eastAsia="黑体"/>
                <w:bCs/>
                <w:szCs w:val="21"/>
              </w:rPr>
              <w:t>邮政编码</w:t>
            </w:r>
          </w:p>
        </w:tc>
        <w:tc>
          <w:tcPr>
            <w:tcW w:w="1727" w:type="dxa"/>
          </w:tcPr>
          <w:p>
            <w:pPr>
              <w:tabs>
                <w:tab w:val="left" w:pos="3585"/>
              </w:tabs>
              <w:spacing w:line="400" w:lineRule="atLeast"/>
              <w:jc w:val="center"/>
              <w:rPr>
                <w:rFonts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1256" w:type="dxa"/>
          </w:tcPr>
          <w:p>
            <w:pPr>
              <w:tabs>
                <w:tab w:val="left" w:pos="3585"/>
              </w:tabs>
              <w:spacing w:line="400" w:lineRule="atLeast"/>
              <w:jc w:val="center"/>
              <w:rPr>
                <w:rFonts w:ascii="黑体" w:hAnsi="宋体" w:eastAsia="黑体"/>
                <w:bCs/>
                <w:szCs w:val="21"/>
              </w:rPr>
            </w:pPr>
            <w:r>
              <w:rPr>
                <w:rFonts w:hint="eastAsia" w:ascii="黑体" w:hAnsi="宋体" w:eastAsia="黑体"/>
                <w:bCs/>
                <w:szCs w:val="21"/>
              </w:rPr>
              <w:t>企业性质</w:t>
            </w:r>
          </w:p>
        </w:tc>
        <w:tc>
          <w:tcPr>
            <w:tcW w:w="1050" w:type="dxa"/>
          </w:tcPr>
          <w:p>
            <w:pPr>
              <w:tabs>
                <w:tab w:val="left" w:pos="3585"/>
              </w:tabs>
              <w:spacing w:line="400" w:lineRule="atLeast"/>
              <w:jc w:val="center"/>
              <w:rPr>
                <w:rFonts w:ascii="黑体" w:hAnsi="宋体" w:eastAsia="黑体"/>
                <w:bCs/>
                <w:szCs w:val="21"/>
              </w:rPr>
            </w:pPr>
          </w:p>
        </w:tc>
        <w:tc>
          <w:tcPr>
            <w:tcW w:w="1390" w:type="dxa"/>
            <w:gridSpan w:val="3"/>
          </w:tcPr>
          <w:p>
            <w:pPr>
              <w:tabs>
                <w:tab w:val="left" w:pos="3585"/>
              </w:tabs>
              <w:spacing w:line="400" w:lineRule="atLeast"/>
              <w:jc w:val="center"/>
              <w:rPr>
                <w:rFonts w:ascii="黑体" w:hAnsi="宋体" w:eastAsia="黑体"/>
                <w:bCs/>
                <w:szCs w:val="21"/>
              </w:rPr>
            </w:pPr>
            <w:r>
              <w:rPr>
                <w:rFonts w:hint="eastAsia" w:ascii="黑体" w:hAnsi="宋体" w:eastAsia="黑体"/>
                <w:bCs/>
                <w:szCs w:val="21"/>
              </w:rPr>
              <w:t>公司网址</w:t>
            </w:r>
          </w:p>
        </w:tc>
        <w:tc>
          <w:tcPr>
            <w:tcW w:w="3174" w:type="dxa"/>
            <w:gridSpan w:val="2"/>
          </w:tcPr>
          <w:p>
            <w:pPr>
              <w:tabs>
                <w:tab w:val="left" w:pos="3585"/>
              </w:tabs>
              <w:spacing w:line="400" w:lineRule="atLeast"/>
              <w:jc w:val="center"/>
              <w:rPr>
                <w:rFonts w:ascii="黑体" w:hAnsi="宋体" w:eastAsia="黑体"/>
                <w:bCs/>
                <w:szCs w:val="21"/>
              </w:rPr>
            </w:pPr>
          </w:p>
        </w:tc>
        <w:tc>
          <w:tcPr>
            <w:tcW w:w="1080" w:type="dxa"/>
            <w:gridSpan w:val="2"/>
          </w:tcPr>
          <w:p>
            <w:pPr>
              <w:tabs>
                <w:tab w:val="left" w:pos="3585"/>
              </w:tabs>
              <w:spacing w:line="400" w:lineRule="atLeast"/>
              <w:rPr>
                <w:rFonts w:ascii="黑体" w:hAnsi="宋体" w:eastAsia="黑体"/>
                <w:bCs/>
                <w:szCs w:val="21"/>
              </w:rPr>
            </w:pPr>
            <w:r>
              <w:rPr>
                <w:rFonts w:hint="eastAsia" w:ascii="黑体" w:hAnsi="宋体" w:eastAsia="黑体"/>
                <w:bCs/>
                <w:szCs w:val="21"/>
              </w:rPr>
              <w:t>E—mail</w:t>
            </w:r>
          </w:p>
        </w:tc>
        <w:tc>
          <w:tcPr>
            <w:tcW w:w="1727" w:type="dxa"/>
          </w:tcPr>
          <w:p>
            <w:pPr>
              <w:tabs>
                <w:tab w:val="left" w:pos="3585"/>
              </w:tabs>
              <w:spacing w:line="400" w:lineRule="atLeast"/>
              <w:jc w:val="center"/>
              <w:rPr>
                <w:rFonts w:ascii="黑体" w:hAnsi="宋体" w:eastAsia="黑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8" w:hRule="atLeast"/>
        </w:trPr>
        <w:tc>
          <w:tcPr>
            <w:tcW w:w="1256" w:type="dxa"/>
          </w:tcPr>
          <w:p>
            <w:pPr>
              <w:tabs>
                <w:tab w:val="left" w:pos="3585"/>
              </w:tabs>
              <w:spacing w:line="400" w:lineRule="atLeast"/>
              <w:rPr>
                <w:rFonts w:ascii="黑体" w:hAnsi="宋体" w:eastAsia="黑体"/>
                <w:bCs/>
                <w:szCs w:val="21"/>
              </w:rPr>
            </w:pPr>
          </w:p>
          <w:p>
            <w:pPr>
              <w:tabs>
                <w:tab w:val="left" w:pos="3585"/>
              </w:tabs>
              <w:spacing w:line="400" w:lineRule="atLeast"/>
              <w:rPr>
                <w:rFonts w:ascii="黑体" w:hAnsi="宋体" w:eastAsia="黑体"/>
                <w:bCs/>
                <w:szCs w:val="21"/>
              </w:rPr>
            </w:pPr>
            <w:r>
              <w:rPr>
                <w:rFonts w:hint="eastAsia" w:ascii="黑体" w:hAnsi="宋体" w:eastAsia="黑体"/>
                <w:bCs/>
                <w:szCs w:val="21"/>
              </w:rPr>
              <w:t>教育经历</w:t>
            </w:r>
          </w:p>
        </w:tc>
        <w:tc>
          <w:tcPr>
            <w:tcW w:w="8421" w:type="dxa"/>
            <w:gridSpan w:val="9"/>
          </w:tcPr>
          <w:p>
            <w:pPr>
              <w:tabs>
                <w:tab w:val="left" w:pos="3585"/>
              </w:tabs>
              <w:spacing w:line="400" w:lineRule="atLeast"/>
              <w:rPr>
                <w:rFonts w:ascii="黑体" w:hAnsi="宋体" w:eastAsia="黑体"/>
                <w:bCs/>
                <w:szCs w:val="21"/>
              </w:rPr>
            </w:pPr>
          </w:p>
          <w:p>
            <w:pPr>
              <w:tabs>
                <w:tab w:val="left" w:pos="2775"/>
              </w:tabs>
              <w:spacing w:line="400" w:lineRule="atLeast"/>
              <w:rPr>
                <w:rFonts w:ascii="黑体" w:hAnsi="宋体" w:eastAsia="黑体"/>
                <w:bCs/>
                <w:szCs w:val="21"/>
              </w:rPr>
            </w:pPr>
            <w:r>
              <w:rPr>
                <w:rFonts w:ascii="黑体" w:hAnsi="宋体" w:eastAsia="黑体"/>
                <w:bCs/>
                <w:szCs w:val="21"/>
              </w:rPr>
              <w:tab/>
            </w:r>
          </w:p>
        </w:tc>
      </w:tr>
    </w:tbl>
    <w:p>
      <w:pPr>
        <w:spacing w:line="420" w:lineRule="atLeast"/>
        <w:jc w:val="left"/>
        <w:rPr>
          <w:rFonts w:hint="eastAsia" w:ascii="微软雅黑" w:hAnsi="微软雅黑" w:eastAsia="微软雅黑" w:cs="宋体"/>
          <w:color w:val="000000"/>
          <w:sz w:val="24"/>
          <w:szCs w:val="24"/>
        </w:rPr>
      </w:pPr>
      <w:bookmarkStart w:id="0" w:name="_GoBack"/>
      <w:bookmarkEnd w:id="0"/>
    </w:p>
    <w:sectPr>
      <w:headerReference r:id="rId3" w:type="default"/>
      <w:footerReference r:id="rId4" w:type="default"/>
      <w:pgSz w:w="11906" w:h="16838"/>
      <w:pgMar w:top="567" w:right="1418" w:bottom="567" w:left="1418" w:header="39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6" w:space="1"/>
      </w:pBdr>
      <w:shd w:val="clear" w:color="auto" w:fill="FFFFFF"/>
      <w:spacing w:before="100" w:beforeAutospacing="1"/>
      <w:ind w:right="360"/>
      <w:outlineLvl w:val="2"/>
      <w:rPr>
        <w:rFonts w:hint="eastAsia" w:ascii="微软雅黑" w:hAnsi="微软雅黑" w:eastAsia="微软雅黑"/>
        <w:bCs/>
        <w:color w:val="E46C0A" w:themeColor="accent6" w:themeShade="BF"/>
      </w:rPr>
    </w:pPr>
  </w:p>
  <w:p>
    <w:pPr>
      <w:widowControl/>
      <w:shd w:val="clear" w:color="auto" w:fill="FFFFFF"/>
      <w:spacing w:before="100" w:beforeAutospacing="1"/>
      <w:ind w:right="360"/>
      <w:jc w:val="center"/>
      <w:outlineLvl w:val="2"/>
      <w:rPr>
        <w:rFonts w:ascii="微软雅黑" w:hAnsi="微软雅黑" w:eastAsia="微软雅黑"/>
        <w:bCs/>
        <w:color w:val="E46C0A" w:themeColor="accent6" w:themeShade="BF"/>
      </w:rPr>
    </w:pPr>
    <w:r>
      <w:rPr>
        <w:rFonts w:hint="eastAsia" w:ascii="微软雅黑" w:hAnsi="微软雅黑" w:eastAsia="微软雅黑"/>
        <w:bCs/>
        <w:color w:val="E46C0A" w:themeColor="accent6" w:themeShade="BF"/>
      </w:rPr>
      <w:t xml:space="preserve">聚焦真实问题 </w:t>
    </w:r>
    <w:r>
      <w:rPr>
        <w:rFonts w:hint="eastAsia" w:ascii="微软雅黑" w:hAnsi="微软雅黑" w:eastAsia="微软雅黑"/>
        <w:b/>
        <w:bCs/>
        <w:color w:val="E46C0A" w:themeColor="accent6" w:themeShade="BF"/>
      </w:rPr>
      <w:t xml:space="preserve">· </w:t>
    </w:r>
    <w:r>
      <w:rPr>
        <w:rFonts w:hint="eastAsia" w:ascii="微软雅黑" w:hAnsi="微软雅黑" w:eastAsia="微软雅黑"/>
        <w:bCs/>
        <w:color w:val="E46C0A" w:themeColor="accent6" w:themeShade="BF"/>
      </w:rPr>
      <w:t xml:space="preserve">全面还原场景 </w:t>
    </w:r>
    <w:r>
      <w:rPr>
        <w:rFonts w:hint="eastAsia" w:ascii="微软雅黑" w:hAnsi="微软雅黑" w:eastAsia="微软雅黑"/>
        <w:b/>
        <w:bCs/>
        <w:color w:val="E46C0A" w:themeColor="accent6" w:themeShade="BF"/>
      </w:rPr>
      <w:t xml:space="preserve">· </w:t>
    </w:r>
    <w:r>
      <w:rPr>
        <w:rFonts w:hint="eastAsia" w:ascii="微软雅黑" w:hAnsi="微软雅黑" w:eastAsia="微软雅黑"/>
        <w:bCs/>
        <w:color w:val="E46C0A" w:themeColor="accent6" w:themeShade="BF"/>
      </w:rPr>
      <w:t xml:space="preserve">探寻底层逻辑 </w:t>
    </w:r>
    <w:r>
      <w:rPr>
        <w:rFonts w:hint="eastAsia" w:ascii="微软雅黑" w:hAnsi="微软雅黑" w:eastAsia="微软雅黑"/>
        <w:b/>
        <w:bCs/>
        <w:color w:val="E46C0A" w:themeColor="accent6" w:themeShade="BF"/>
      </w:rPr>
      <w:t xml:space="preserve">· </w:t>
    </w:r>
    <w:r>
      <w:rPr>
        <w:rFonts w:hint="eastAsia" w:ascii="微软雅黑" w:hAnsi="微软雅黑" w:eastAsia="微软雅黑"/>
        <w:bCs/>
        <w:color w:val="E46C0A" w:themeColor="accent6" w:themeShade="BF"/>
      </w:rPr>
      <w:t xml:space="preserve"> 系统解决问题</w:t>
    </w:r>
  </w:p>
  <w:p>
    <w:pPr>
      <w:pStyle w:val="3"/>
    </w:pPr>
  </w:p>
  <w:p>
    <w:pPr>
      <w:pStyle w:val="3"/>
    </w:pPr>
  </w:p>
  <w:p>
    <w:pPr>
      <w:pStyle w:val="3"/>
    </w:pPr>
  </w:p>
  <w:p>
    <w:pPr>
      <w:pStyle w:val="3"/>
    </w:pP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4" w:lineRule="auto"/>
      <w:jc w:val="left"/>
      <w:rPr>
        <w:rFonts w:ascii="微软雅黑" w:hAnsi="微软雅黑" w:eastAsia="微软雅黑"/>
        <w:bCs/>
        <w:color w:val="993300"/>
        <w:w w:val="98"/>
        <w:kern w:val="0"/>
        <w:sz w:val="20"/>
        <w:szCs w:val="20"/>
      </w:rPr>
    </w:pPr>
    <w:r>
      <w:rPr>
        <w:sz w:val="20"/>
        <w:szCs w:val="20"/>
      </w:rPr>
      <w:drawing>
        <wp:inline distT="0" distB="0" distL="0" distR="0">
          <wp:extent cx="2578100" cy="647700"/>
          <wp:effectExtent l="0" t="0" r="12700" b="12700"/>
          <wp:docPr id="2" name="图片 2" descr="红色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红色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578100" cy="647700"/>
                  </a:xfrm>
                  <a:prstGeom prst="rect">
                    <a:avLst/>
                  </a:prstGeom>
                  <a:noFill/>
                  <a:ln>
                    <a:noFill/>
                  </a:ln>
                </pic:spPr>
              </pic:pic>
            </a:graphicData>
          </a:graphic>
        </wp:inline>
      </w:drawing>
    </w:r>
    <w:r>
      <w:rPr>
        <w:sz w:val="20"/>
        <w:szCs w:val="20"/>
      </w:rPr>
      <w:t xml:space="preserve">   </w:t>
    </w:r>
    <w:r>
      <w:rPr>
        <w:rFonts w:hint="eastAsia" w:ascii="微软雅黑" w:hAnsi="微软雅黑" w:eastAsia="微软雅黑"/>
        <w:bCs/>
        <w:color w:val="993300"/>
        <w:w w:val="98"/>
        <w:kern w:val="0"/>
        <w:sz w:val="20"/>
        <w:szCs w:val="20"/>
        <w:fitText w:val="1567" w:id="0"/>
      </w:rPr>
      <w:t>赋能有追求的企业</w:t>
    </w:r>
  </w:p>
  <w:p>
    <w:pPr>
      <w:spacing w:line="264" w:lineRule="auto"/>
      <w:ind w:firstLine="5450" w:firstLineChars="2500"/>
      <w:rPr>
        <w:rFonts w:ascii="微软雅黑" w:hAnsi="微软雅黑" w:eastAsia="微软雅黑"/>
      </w:rPr>
    </w:pPr>
    <w:r>
      <w:rPr>
        <w:rFonts w:hint="eastAsia" w:ascii="微软雅黑" w:hAnsi="微软雅黑" w:eastAsia="微软雅黑"/>
        <w:bCs/>
        <w:color w:val="993300"/>
        <w:spacing w:val="14"/>
        <w:w w:val="95"/>
        <w:kern w:val="0"/>
        <w:sz w:val="20"/>
        <w:szCs w:val="20"/>
        <w:fitText w:val="3210" w:id="1"/>
      </w:rPr>
      <w:t>实现0-1-10-100经营效能指数</w:t>
    </w:r>
    <w:r>
      <w:rPr>
        <w:rFonts w:hint="eastAsia" w:ascii="微软雅黑" w:hAnsi="微软雅黑" w:eastAsia="微软雅黑"/>
        <w:bCs/>
        <w:color w:val="993300"/>
        <w:spacing w:val="1"/>
        <w:w w:val="95"/>
        <w:kern w:val="0"/>
        <w:sz w:val="20"/>
        <w:szCs w:val="20"/>
        <w:fitText w:val="3210" w:id="1"/>
      </w:rPr>
      <w:t>级</w:t>
    </w:r>
    <w:r>
      <w:rPr>
        <w:rFonts w:hint="eastAsia" w:ascii="微软雅黑" w:hAnsi="微软雅黑" w:eastAsia="微软雅黑"/>
        <w:bCs/>
        <w:color w:val="993300"/>
        <w:kern w:val="0"/>
        <w:sz w:val="20"/>
        <w:szCs w:val="20"/>
      </w:rPr>
      <w:t>增长</w:t>
    </w:r>
  </w:p>
  <w:p>
    <w:pPr>
      <w:pStyle w:val="4"/>
      <w:pBdr>
        <w:bottom w:val="single" w:color="auto" w:sz="6" w:space="0"/>
      </w:pBdr>
      <w:jc w:val="right"/>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959E1"/>
    <w:multiLevelType w:val="multilevel"/>
    <w:tmpl w:val="0D9959E1"/>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26967BD"/>
    <w:multiLevelType w:val="multilevel"/>
    <w:tmpl w:val="126967BD"/>
    <w:lvl w:ilvl="0" w:tentative="0">
      <w:start w:val="1"/>
      <w:numFmt w:val="bullet"/>
      <w:lvlText w:val=""/>
      <w:lvlJc w:val="left"/>
      <w:pPr>
        <w:ind w:left="900" w:hanging="48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bullet"/>
      <w:lvlText w:val=""/>
      <w:lvlJc w:val="left"/>
      <w:pPr>
        <w:ind w:left="2340" w:hanging="480"/>
      </w:pPr>
      <w:rPr>
        <w:rFonts w:hint="default" w:ascii="Wingdings" w:hAnsi="Wingdings"/>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2">
    <w:nsid w:val="1690557A"/>
    <w:multiLevelType w:val="multilevel"/>
    <w:tmpl w:val="1690557A"/>
    <w:lvl w:ilvl="0" w:tentative="0">
      <w:start w:val="5"/>
      <w:numFmt w:val="bullet"/>
      <w:lvlText w:val="■"/>
      <w:lvlJc w:val="left"/>
      <w:pPr>
        <w:ind w:left="360" w:hanging="360"/>
      </w:pPr>
      <w:rPr>
        <w:rFonts w:hint="eastAsia" w:ascii="微软雅黑" w:hAnsi="微软雅黑" w:eastAsia="微软雅黑" w:cs="黑体"/>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3">
    <w:nsid w:val="1C5E7E25"/>
    <w:multiLevelType w:val="multilevel"/>
    <w:tmpl w:val="1C5E7E2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0D932DA"/>
    <w:multiLevelType w:val="multilevel"/>
    <w:tmpl w:val="30D932D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44F01D7"/>
    <w:multiLevelType w:val="multilevel"/>
    <w:tmpl w:val="644F01D7"/>
    <w:lvl w:ilvl="0" w:tentative="0">
      <w:start w:val="1"/>
      <w:numFmt w:val="decimalEnclosedCircle"/>
      <w:lvlText w:val="%1"/>
      <w:lvlJc w:val="left"/>
      <w:pPr>
        <w:ind w:left="1320" w:hanging="480"/>
      </w:pPr>
      <w:rPr>
        <w:rFonts w:hint="default" w:ascii="宋体" w:hAnsi="宋体"/>
        <w:b w:val="0"/>
        <w:color w:val="000000" w:themeColor="text1"/>
        <w14:textFill>
          <w14:solidFill>
            <w14:schemeClr w14:val="tx1"/>
          </w14:solidFill>
        </w14:textFill>
      </w:rPr>
    </w:lvl>
    <w:lvl w:ilvl="1" w:tentative="0">
      <w:start w:val="1"/>
      <w:numFmt w:val="lowerLetter"/>
      <w:lvlText w:val="%2)"/>
      <w:lvlJc w:val="left"/>
      <w:pPr>
        <w:ind w:left="1800" w:hanging="480"/>
      </w:pPr>
    </w:lvl>
    <w:lvl w:ilvl="2" w:tentative="0">
      <w:start w:val="1"/>
      <w:numFmt w:val="lowerRoman"/>
      <w:lvlText w:val="%3."/>
      <w:lvlJc w:val="right"/>
      <w:pPr>
        <w:ind w:left="2280" w:hanging="480"/>
      </w:pPr>
    </w:lvl>
    <w:lvl w:ilvl="3" w:tentative="0">
      <w:start w:val="1"/>
      <w:numFmt w:val="decimal"/>
      <w:lvlText w:val="%4."/>
      <w:lvlJc w:val="left"/>
      <w:pPr>
        <w:ind w:left="2760" w:hanging="480"/>
      </w:pPr>
    </w:lvl>
    <w:lvl w:ilvl="4" w:tentative="0">
      <w:start w:val="1"/>
      <w:numFmt w:val="lowerLetter"/>
      <w:lvlText w:val="%5)"/>
      <w:lvlJc w:val="left"/>
      <w:pPr>
        <w:ind w:left="3240" w:hanging="480"/>
      </w:pPr>
    </w:lvl>
    <w:lvl w:ilvl="5" w:tentative="0">
      <w:start w:val="1"/>
      <w:numFmt w:val="lowerRoman"/>
      <w:lvlText w:val="%6."/>
      <w:lvlJc w:val="right"/>
      <w:pPr>
        <w:ind w:left="3720" w:hanging="480"/>
      </w:pPr>
    </w:lvl>
    <w:lvl w:ilvl="6" w:tentative="0">
      <w:start w:val="1"/>
      <w:numFmt w:val="decimal"/>
      <w:lvlText w:val="%7."/>
      <w:lvlJc w:val="left"/>
      <w:pPr>
        <w:ind w:left="4200" w:hanging="480"/>
      </w:pPr>
    </w:lvl>
    <w:lvl w:ilvl="7" w:tentative="0">
      <w:start w:val="1"/>
      <w:numFmt w:val="lowerLetter"/>
      <w:lvlText w:val="%8)"/>
      <w:lvlJc w:val="left"/>
      <w:pPr>
        <w:ind w:left="4680" w:hanging="480"/>
      </w:pPr>
    </w:lvl>
    <w:lvl w:ilvl="8" w:tentative="0">
      <w:start w:val="1"/>
      <w:numFmt w:val="lowerRoman"/>
      <w:lvlText w:val="%9."/>
      <w:lvlJc w:val="right"/>
      <w:pPr>
        <w:ind w:left="5160" w:hanging="480"/>
      </w:pPr>
    </w:lvl>
  </w:abstractNum>
  <w:abstractNum w:abstractNumId="6">
    <w:nsid w:val="67EB6A42"/>
    <w:multiLevelType w:val="multilevel"/>
    <w:tmpl w:val="67EB6A4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73B6CDE"/>
    <w:multiLevelType w:val="multilevel"/>
    <w:tmpl w:val="773B6CD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3"/>
  </w:num>
  <w:num w:numId="2">
    <w:abstractNumId w:val="2"/>
  </w:num>
  <w:num w:numId="3">
    <w:abstractNumId w:val="6"/>
  </w:num>
  <w:num w:numId="4">
    <w:abstractNumId w:val="4"/>
  </w:num>
  <w:num w:numId="5">
    <w:abstractNumId w:val="0"/>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18C"/>
    <w:rsid w:val="00005A20"/>
    <w:rsid w:val="000101DA"/>
    <w:rsid w:val="00011158"/>
    <w:rsid w:val="000117D4"/>
    <w:rsid w:val="000121BE"/>
    <w:rsid w:val="00012AD2"/>
    <w:rsid w:val="00043AED"/>
    <w:rsid w:val="00044132"/>
    <w:rsid w:val="0004541D"/>
    <w:rsid w:val="00055E56"/>
    <w:rsid w:val="00057F47"/>
    <w:rsid w:val="00057FAD"/>
    <w:rsid w:val="000668CD"/>
    <w:rsid w:val="000674F0"/>
    <w:rsid w:val="00070511"/>
    <w:rsid w:val="000811F0"/>
    <w:rsid w:val="000D0EEE"/>
    <w:rsid w:val="000F5927"/>
    <w:rsid w:val="000F6891"/>
    <w:rsid w:val="000F6D48"/>
    <w:rsid w:val="00103B10"/>
    <w:rsid w:val="00120C86"/>
    <w:rsid w:val="001223A0"/>
    <w:rsid w:val="001345AE"/>
    <w:rsid w:val="00194ECC"/>
    <w:rsid w:val="001D4112"/>
    <w:rsid w:val="001F1D8F"/>
    <w:rsid w:val="001F6EA9"/>
    <w:rsid w:val="00204D44"/>
    <w:rsid w:val="00207754"/>
    <w:rsid w:val="00214AA9"/>
    <w:rsid w:val="00271146"/>
    <w:rsid w:val="002A678B"/>
    <w:rsid w:val="002A76EF"/>
    <w:rsid w:val="002B0CCD"/>
    <w:rsid w:val="002B2D34"/>
    <w:rsid w:val="002C562A"/>
    <w:rsid w:val="002D0CFF"/>
    <w:rsid w:val="002E31F9"/>
    <w:rsid w:val="002F72D0"/>
    <w:rsid w:val="00307BD5"/>
    <w:rsid w:val="00311FB1"/>
    <w:rsid w:val="0031266E"/>
    <w:rsid w:val="003315D7"/>
    <w:rsid w:val="003478B8"/>
    <w:rsid w:val="00366824"/>
    <w:rsid w:val="00382221"/>
    <w:rsid w:val="00393575"/>
    <w:rsid w:val="003A6C72"/>
    <w:rsid w:val="003E39B4"/>
    <w:rsid w:val="003F3304"/>
    <w:rsid w:val="00401E58"/>
    <w:rsid w:val="00410EC9"/>
    <w:rsid w:val="00412A46"/>
    <w:rsid w:val="004334CD"/>
    <w:rsid w:val="00480801"/>
    <w:rsid w:val="004819BA"/>
    <w:rsid w:val="004A598C"/>
    <w:rsid w:val="004A7B02"/>
    <w:rsid w:val="004B3635"/>
    <w:rsid w:val="004D0624"/>
    <w:rsid w:val="004E6A0B"/>
    <w:rsid w:val="004F6F34"/>
    <w:rsid w:val="00501A86"/>
    <w:rsid w:val="005519B4"/>
    <w:rsid w:val="00574D6B"/>
    <w:rsid w:val="005907F5"/>
    <w:rsid w:val="00592369"/>
    <w:rsid w:val="005A493D"/>
    <w:rsid w:val="005C4694"/>
    <w:rsid w:val="005C7968"/>
    <w:rsid w:val="005D1E9C"/>
    <w:rsid w:val="005D70B5"/>
    <w:rsid w:val="00604153"/>
    <w:rsid w:val="00613AD6"/>
    <w:rsid w:val="00622C7C"/>
    <w:rsid w:val="00653B68"/>
    <w:rsid w:val="00666B2F"/>
    <w:rsid w:val="006853F5"/>
    <w:rsid w:val="00694E4D"/>
    <w:rsid w:val="006A0DCD"/>
    <w:rsid w:val="006A32CD"/>
    <w:rsid w:val="0070139F"/>
    <w:rsid w:val="007128E4"/>
    <w:rsid w:val="00713DAC"/>
    <w:rsid w:val="00725EB4"/>
    <w:rsid w:val="00736D19"/>
    <w:rsid w:val="007458FC"/>
    <w:rsid w:val="00752F86"/>
    <w:rsid w:val="00754461"/>
    <w:rsid w:val="00761074"/>
    <w:rsid w:val="007623E5"/>
    <w:rsid w:val="00777125"/>
    <w:rsid w:val="00787297"/>
    <w:rsid w:val="00787961"/>
    <w:rsid w:val="007C4A97"/>
    <w:rsid w:val="007E2805"/>
    <w:rsid w:val="007E3EFA"/>
    <w:rsid w:val="007E57F7"/>
    <w:rsid w:val="0080566C"/>
    <w:rsid w:val="00820AD2"/>
    <w:rsid w:val="00890A59"/>
    <w:rsid w:val="00896A80"/>
    <w:rsid w:val="008B781D"/>
    <w:rsid w:val="008B7C0E"/>
    <w:rsid w:val="008D4E86"/>
    <w:rsid w:val="008E3C98"/>
    <w:rsid w:val="008E4EEE"/>
    <w:rsid w:val="00903802"/>
    <w:rsid w:val="009120FC"/>
    <w:rsid w:val="00913305"/>
    <w:rsid w:val="00940C6B"/>
    <w:rsid w:val="0096284F"/>
    <w:rsid w:val="00963CFA"/>
    <w:rsid w:val="009933DE"/>
    <w:rsid w:val="009B32C6"/>
    <w:rsid w:val="009D0181"/>
    <w:rsid w:val="009D0F08"/>
    <w:rsid w:val="009D262D"/>
    <w:rsid w:val="009E229C"/>
    <w:rsid w:val="009F2B81"/>
    <w:rsid w:val="00A444DF"/>
    <w:rsid w:val="00A97EC7"/>
    <w:rsid w:val="00AB2F17"/>
    <w:rsid w:val="00AD04C6"/>
    <w:rsid w:val="00AE7D8A"/>
    <w:rsid w:val="00AF50D3"/>
    <w:rsid w:val="00B0001C"/>
    <w:rsid w:val="00B03AF4"/>
    <w:rsid w:val="00B06526"/>
    <w:rsid w:val="00B17290"/>
    <w:rsid w:val="00B22211"/>
    <w:rsid w:val="00B26964"/>
    <w:rsid w:val="00B34A7D"/>
    <w:rsid w:val="00B4410C"/>
    <w:rsid w:val="00B51347"/>
    <w:rsid w:val="00B674EF"/>
    <w:rsid w:val="00B749AB"/>
    <w:rsid w:val="00B770B0"/>
    <w:rsid w:val="00B801C5"/>
    <w:rsid w:val="00B837B7"/>
    <w:rsid w:val="00B92B64"/>
    <w:rsid w:val="00BC0803"/>
    <w:rsid w:val="00BF46EC"/>
    <w:rsid w:val="00C236FA"/>
    <w:rsid w:val="00C3418C"/>
    <w:rsid w:val="00C43AA4"/>
    <w:rsid w:val="00C5450E"/>
    <w:rsid w:val="00C609A8"/>
    <w:rsid w:val="00C623D2"/>
    <w:rsid w:val="00CA2CCC"/>
    <w:rsid w:val="00D40ED0"/>
    <w:rsid w:val="00D54A99"/>
    <w:rsid w:val="00D61365"/>
    <w:rsid w:val="00D75A6E"/>
    <w:rsid w:val="00DA4501"/>
    <w:rsid w:val="00DC3146"/>
    <w:rsid w:val="00DC4AB6"/>
    <w:rsid w:val="00DF2685"/>
    <w:rsid w:val="00E15519"/>
    <w:rsid w:val="00E257E2"/>
    <w:rsid w:val="00E30661"/>
    <w:rsid w:val="00E31229"/>
    <w:rsid w:val="00E50E68"/>
    <w:rsid w:val="00E5638B"/>
    <w:rsid w:val="00E743F8"/>
    <w:rsid w:val="00E82F52"/>
    <w:rsid w:val="00EA19AE"/>
    <w:rsid w:val="00EA7045"/>
    <w:rsid w:val="00EB10DC"/>
    <w:rsid w:val="00EB744A"/>
    <w:rsid w:val="00EC02AC"/>
    <w:rsid w:val="00EC173A"/>
    <w:rsid w:val="00EC3831"/>
    <w:rsid w:val="00EF0F2D"/>
    <w:rsid w:val="00F0385F"/>
    <w:rsid w:val="00F05DF8"/>
    <w:rsid w:val="00F27133"/>
    <w:rsid w:val="00FC1A6F"/>
    <w:rsid w:val="00FE35AB"/>
    <w:rsid w:val="00FF5EE4"/>
    <w:rsid w:val="68885AF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4"/>
    <w:semiHidden/>
    <w:unhideWhenUsed/>
    <w:uiPriority w:val="99"/>
    <w:rPr>
      <w:rFonts w:ascii="宋体"/>
      <w:sz w:val="24"/>
      <w:szCs w:val="24"/>
    </w:rPr>
  </w:style>
  <w:style w:type="paragraph" w:styleId="3">
    <w:name w:val="footer"/>
    <w:basedOn w:val="1"/>
    <w:link w:val="13"/>
    <w:uiPriority w:val="99"/>
    <w:pPr>
      <w:tabs>
        <w:tab w:val="center" w:pos="4153"/>
        <w:tab w:val="right" w:pos="8306"/>
      </w:tabs>
      <w:snapToGrid w:val="0"/>
      <w:jc w:val="left"/>
    </w:pPr>
    <w:rPr>
      <w:sz w:val="18"/>
      <w:szCs w:val="18"/>
    </w:rPr>
  </w:style>
  <w:style w:type="paragraph" w:styleId="4">
    <w:name w:val="header"/>
    <w:basedOn w:val="1"/>
    <w:link w:val="12"/>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9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uiPriority w:val="99"/>
  </w:style>
  <w:style w:type="character" w:styleId="10">
    <w:name w:val="Hyperlink"/>
    <w:uiPriority w:val="99"/>
    <w:rPr>
      <w:color w:val="0000FF"/>
      <w:u w:val="single"/>
    </w:rPr>
  </w:style>
  <w:style w:type="paragraph" w:styleId="11">
    <w:name w:val="List Paragraph"/>
    <w:basedOn w:val="1"/>
    <w:qFormat/>
    <w:uiPriority w:val="99"/>
    <w:pPr>
      <w:ind w:firstLine="420" w:firstLineChars="200"/>
    </w:pPr>
  </w:style>
  <w:style w:type="character" w:customStyle="1" w:styleId="12">
    <w:name w:val="页眉字符"/>
    <w:link w:val="4"/>
    <w:locked/>
    <w:uiPriority w:val="99"/>
    <w:rPr>
      <w:sz w:val="18"/>
      <w:szCs w:val="18"/>
    </w:rPr>
  </w:style>
  <w:style w:type="character" w:customStyle="1" w:styleId="13">
    <w:name w:val="页脚字符"/>
    <w:link w:val="3"/>
    <w:locked/>
    <w:uiPriority w:val="99"/>
    <w:rPr>
      <w:sz w:val="18"/>
      <w:szCs w:val="18"/>
    </w:rPr>
  </w:style>
  <w:style w:type="character" w:customStyle="1" w:styleId="14">
    <w:name w:val="文档结构图字符"/>
    <w:basedOn w:val="8"/>
    <w:link w:val="2"/>
    <w:semiHidden/>
    <w:uiPriority w:val="99"/>
    <w:rPr>
      <w:rFonts w:ascii="宋体" w:cs="Calibr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00931C-ED38-2D41-8496-7984E6EAE8C5}">
  <ds:schemaRefs/>
</ds:datastoreItem>
</file>

<file path=docProps/app.xml><?xml version="1.0" encoding="utf-8"?>
<Properties xmlns="http://schemas.openxmlformats.org/officeDocument/2006/extended-properties" xmlns:vt="http://schemas.openxmlformats.org/officeDocument/2006/docPropsVTypes">
  <Template>Normal.dotm</Template>
  <Company>北大汇丰</Company>
  <Pages>13</Pages>
  <Words>630</Words>
  <Characters>3594</Characters>
  <Lines>29</Lines>
  <Paragraphs>8</Paragraphs>
  <TotalTime>3</TotalTime>
  <ScaleCrop>false</ScaleCrop>
  <LinksUpToDate>false</LinksUpToDate>
  <CharactersWithSpaces>4216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2020-11-03T04:17:00Z</dcterms:created>
  <dc:creator>严开旭</dc:creator>
  <cp:lastModifiedBy>Administrator</cp:lastModifiedBy>
  <cp:lastPrinted>2020-11-03T04:17:00Z</cp:lastPrinted>
  <dcterms:modified xsi:type="dcterms:W3CDTF">2020-11-03T07:33:27Z</dcterms:modified>
  <dc:title>北京大学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