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b/>
          <w:bCs/>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304800" cy="304800"/>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xml:space="preserve">                 </w:t>
      </w:r>
      <w:r>
        <w:rPr>
          <w:rFonts w:hint="eastAsia" w:ascii="宋体" w:hAnsi="宋体" w:eastAsia="宋体" w:cs="宋体"/>
          <w:b/>
          <w:bCs/>
          <w:kern w:val="0"/>
          <w:sz w:val="24"/>
          <w:szCs w:val="24"/>
          <w:lang w:val="en-US" w:eastAsia="zh-CN" w:bidi="ar"/>
        </w:rPr>
        <w:t xml:space="preserve"> 买手搭配与陈列</w:t>
      </w:r>
    </w:p>
    <w:p>
      <w:pPr>
        <w:keepNext w:val="0"/>
        <w:keepLines w:val="0"/>
        <w:widowControl/>
        <w:suppressLineNumbers w:val="0"/>
        <w:jc w:val="left"/>
        <w:rPr>
          <w:rFonts w:hint="eastAsia" w:ascii="宋体" w:hAnsi="宋体" w:eastAsia="宋体" w:cs="宋体"/>
          <w:b/>
          <w:bCs/>
          <w:kern w:val="0"/>
          <w:sz w:val="24"/>
          <w:szCs w:val="24"/>
          <w:lang w:val="en-US" w:eastAsia="zh-CN" w:bidi="ar"/>
        </w:rPr>
      </w:pPr>
      <w:bookmarkStart w:id="0" w:name="_GoBack"/>
      <w:bookmarkEnd w:id="0"/>
    </w:p>
    <w:p>
      <w:pPr>
        <w:keepNext w:val="0"/>
        <w:keepLines w:val="0"/>
        <w:widowControl/>
        <w:suppressLineNumbers w:val="0"/>
        <w:jc w:val="left"/>
        <w:rPr>
          <w:rFonts w:hint="eastAsia" w:ascii="宋体" w:hAnsi="宋体" w:eastAsia="宋体" w:cs="宋体"/>
          <w:b/>
          <w:bCs/>
          <w:kern w:val="0"/>
          <w:sz w:val="24"/>
          <w:szCs w:val="24"/>
          <w:lang w:val="en-US" w:eastAsia="zh-CN" w:bidi="ar"/>
        </w:rPr>
      </w:pPr>
    </w:p>
    <w:p>
      <w:pPr>
        <w:keepNext w:val="0"/>
        <w:keepLines w:val="0"/>
        <w:widowControl/>
        <w:suppressLineNumbers w:val="0"/>
        <w:jc w:val="left"/>
      </w:pPr>
      <w:r>
        <w:drawing>
          <wp:inline distT="0" distB="0" distL="114300" distR="114300">
            <wp:extent cx="5266690" cy="1974850"/>
            <wp:effectExtent l="0" t="0" r="10160" b="6350"/>
            <wp:docPr id="15" name="图片 15" descr="微信图片_2019120513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91205135623"/>
                    <pic:cNvPicPr>
                      <a:picLocks noChangeAspect="1"/>
                    </pic:cNvPicPr>
                  </pic:nvPicPr>
                  <pic:blipFill>
                    <a:blip r:embed="rId5"/>
                    <a:stretch>
                      <a:fillRect/>
                    </a:stretch>
                  </pic:blipFill>
                  <pic:spPr>
                    <a:xfrm>
                      <a:off x="0" y="0"/>
                      <a:ext cx="5266690" cy="197485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pPr>
      <w:r>
        <w:t>很多服装买手店店主想知道，怎么样能快速提升店铺的业绩？这部分取决于买手组的货品如何，还取决于销售落地做好服装陈列和搭配工作。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买手搭配与陈列》课程教你用行之有效的方法迅速搞定！买手组货的必备——服饰搭配技能，提升业绩的场景化陈列技能，这些对于打造高颜值店铺，提升顾客进店率与连单率，从而实现销售业绩最大化至关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pPr>
      <w:r>
        <w:t>课程亮点</w:t>
      </w:r>
    </w:p>
    <w:p>
      <w:pPr>
        <w:keepNext w:val="0"/>
        <w:keepLines w:val="0"/>
        <w:widowControl/>
        <w:suppressLineNumbers w:val="0"/>
        <w:jc w:val="left"/>
      </w:pPr>
      <w:r>
        <w:t>《买手搭配与陈列》课程理论实践同步进行，迅速掌握服装色彩与风格搭配技巧，场景化陈列方法技巧，如何提升店铺成交率，即学即用。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服装色彩搭配技巧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服装风格搭配要点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生活化场景陈列搭配要素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如何提高店铺成交率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卖场陈列规划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挂通陈列技巧运用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搭配陈列实操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000000"/>
        </w:rPr>
        <w:t>师资团队：</w:t>
      </w:r>
      <w:r>
        <w:t>资深买手、品牌公司高管、院校教授等共同担纲。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000000"/>
        </w:rPr>
        <w:t>授课方式：</w:t>
      </w:r>
      <w:r>
        <w:t>课堂面授、案例教学、小组研讨、店铺实操。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招生对象</w:t>
      </w:r>
    </w:p>
    <w:tbl>
      <w:tblPr>
        <w:tblStyle w:val="3"/>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1"/>
        <w:gridCol w:w="9733"/>
        <w:gridCol w:w="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00" w:type="pct"/>
            <w:tcBorders>
              <w:top w:val="single" w:color="3E3E3E" w:sz="6" w:space="0"/>
              <w:left w:val="single" w:color="3E3E3E" w:sz="6" w:space="0"/>
              <w:bottom w:val="single" w:color="3E3E3E" w:sz="6" w:space="0"/>
              <w:right w:val="single" w:color="3E3E3E"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textAlignment w:val="center"/>
            </w:pPr>
          </w:p>
        </w:tc>
        <w:tc>
          <w:tcPr>
            <w:tcW w:w="4619" w:type="pct"/>
            <w:tcBorders>
              <w:top w:val="nil"/>
              <w:left w:val="nil"/>
              <w:bottom w:val="nil"/>
              <w:right w:val="nil"/>
            </w:tcBorders>
            <w:shd w:val="clear" w:color="auto" w:fill="auto"/>
            <w:tcMar>
              <w:left w:w="75" w:type="dxa"/>
              <w:right w:w="75" w:type="dxa"/>
            </w:tcMar>
            <w:vAlign w:val="center"/>
          </w:tcPr>
          <w:tbl>
            <w:tblPr>
              <w:tblStyle w:val="3"/>
              <w:tblW w:w="9570"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000" w:type="pct"/>
                  <w:tcBorders>
                    <w:top w:val="single" w:color="3E3E3E" w:sz="6" w:space="0"/>
                    <w:left w:val="single" w:color="3E3E3E" w:sz="6" w:space="0"/>
                    <w:bottom w:val="single" w:color="3E3E3E" w:sz="6" w:space="0"/>
                    <w:right w:val="single" w:color="3E3E3E" w:sz="6" w:space="0"/>
                  </w:tcBorders>
                  <w:shd w:val="clear" w:color="auto" w:fill="auto"/>
                  <w:tcMar>
                    <w:top w:w="150" w:type="dxa"/>
                    <w:left w:w="120" w:type="dxa"/>
                    <w:bottom w:w="15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    有2-3年工作经验、希望在专业上快速提升的买手；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spacing w:val="0"/>
                    </w:rPr>
                    <w:t>✔    服装企业运营管理人员或经销商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    服装集合店主理人；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    有志于进入买手领域谋求职业发展的社会人士；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t>✔    具有相关领域专业知识的应届大学毕业生及在校生。</w:t>
                  </w:r>
                </w:p>
              </w:tc>
            </w:tr>
          </w:tbl>
          <w:p>
            <w:pPr>
              <w:wordWrap w:val="0"/>
              <w:spacing w:before="0" w:beforeAutospacing="0" w:after="0" w:afterAutospacing="0"/>
              <w:ind w:left="0" w:right="0"/>
              <w:textAlignment w:val="center"/>
            </w:pPr>
          </w:p>
        </w:tc>
        <w:tc>
          <w:tcPr>
            <w:tcW w:w="100" w:type="pct"/>
            <w:tcBorders>
              <w:top w:val="single" w:color="3E3E3E" w:sz="6" w:space="0"/>
              <w:left w:val="single" w:color="3E3E3E" w:sz="6" w:space="0"/>
              <w:bottom w:val="single" w:color="3E3E3E" w:sz="6" w:space="0"/>
              <w:right w:val="single" w:color="3E3E3E" w:sz="6" w:space="0"/>
            </w:tcBorders>
            <w:shd w:val="clear" w:color="auto" w:fill="auto"/>
            <w:vAlign w:val="center"/>
          </w:tcPr>
          <w:p>
            <w:pPr>
              <w:keepNext w:val="0"/>
              <w:keepLines w:val="0"/>
              <w:widowControl/>
              <w:suppressLineNumbers w:val="0"/>
              <w:wordWrap w:val="0"/>
              <w:spacing w:before="0" w:beforeAutospacing="0" w:after="0" w:afterAutospacing="0"/>
              <w:ind w:left="0" w:right="0"/>
              <w:jc w:val="left"/>
              <w:textAlignment w:val="cente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学习收益</w:t>
      </w:r>
      <w:r>
        <w:drawing>
          <wp:inline distT="0" distB="0" distL="114300" distR="114300">
            <wp:extent cx="6487795" cy="1644650"/>
            <wp:effectExtent l="0" t="0" r="8255" b="12700"/>
            <wp:docPr id="1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5"/>
                    <pic:cNvPicPr>
                      <a:picLocks noChangeAspect="1"/>
                    </pic:cNvPicPr>
                  </pic:nvPicPr>
                  <pic:blipFill>
                    <a:blip r:embed="rId6"/>
                    <a:stretch>
                      <a:fillRect/>
                    </a:stretch>
                  </pic:blipFill>
                  <pic:spPr>
                    <a:xfrm>
                      <a:off x="0" y="0"/>
                      <a:ext cx="6487795" cy="164465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FFFFFF"/>
        </w:rPr>
        <w:t>✔    完成所有课程学习任务、成绩合格的学员将获得由北京服装学院继续教育学院颁发的课程结业证书；</w:t>
      </w:r>
      <w:r>
        <w:rPr>
          <w:color w:val="FFFFFF"/>
        </w:rPr>
        <w:br w:type="textWrapping"/>
      </w:r>
      <w:r>
        <w:rPr>
          <w:color w:val="FFFFFF"/>
        </w:rPr>
        <w:t>✔</w:t>
      </w:r>
      <w:r>
        <w:rPr>
          <w:color w:val="FFFFFF"/>
        </w:rPr>
        <w:drawing>
          <wp:inline distT="0" distB="0" distL="114300" distR="114300">
            <wp:extent cx="5266690" cy="3950335"/>
            <wp:effectExtent l="0" t="0" r="10160" b="12065"/>
            <wp:docPr id="16" name="图片 16" descr="微信图片_20191205135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191205135633"/>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r>
        <w:rPr>
          <w:color w:val="FFFFFF"/>
        </w:rPr>
        <w:t xml:space="preserve">    学院将为学员建立永久学习档案，参加本课程学员如参加学院其他模块课程培训，将获得学费95%优惠；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FFFFFF"/>
        </w:rPr>
        <w:t>✔    毕业学员加入裳课买手交流群，获得资源、信息沟通等方面的支持。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收费标准</w:t>
      </w:r>
    </w:p>
    <w:p>
      <w:pPr>
        <w:keepNext w:val="0"/>
        <w:keepLines w:val="0"/>
        <w:widowControl/>
        <w:suppressLineNumbers w:val="0"/>
        <w:jc w:val="left"/>
      </w:pPr>
      <w:r>
        <w:t>注册费：800元；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课程费用：</w:t>
      </w:r>
      <w:r>
        <w:rPr>
          <w:rFonts w:hint="eastAsia"/>
          <w:lang w:val="en-US" w:eastAsia="zh-CN"/>
        </w:rPr>
        <w:t>31</w:t>
      </w:r>
      <w:r>
        <w:t>80元（包括听课费、资料费、证书费）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总计：3</w:t>
      </w:r>
      <w:r>
        <w:rPr>
          <w:rFonts w:hint="eastAsia"/>
          <w:lang w:val="en-US" w:eastAsia="zh-CN"/>
        </w:rPr>
        <w:t>9</w:t>
      </w:r>
      <w:r>
        <w:t>80元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课程大纲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PART 1：服装搭配色彩篇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有彩色搭配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1、有彩色搭配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2、色彩的生理作用和心理作用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3、有彩色的搭配方法与技巧实操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无彩色搭配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1、黑、白、灰的色彩性格与特征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2、无彩色流行成因分析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3、无彩色的九种搭配方法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PART 2：服装搭配风格篇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服装风格的搭配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1、上下装搭配的节奏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2、上下装搭配的韵律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3、配色比例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4、服装与饰品的搭配方法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配货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1、各风格店铺的配货比例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2、多色彩搭配方法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3、基本款、畅销款、概念款的特征及搭配方法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PART 3：买手店铺场景化陈列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场景陈列与销售的关系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1、什么是场景化陈列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2、如何提高店铺及产品的品质感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3、如何提高店铺成交率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4、品牌印象的建立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5、色彩的运用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6、买手MD与陈列VMD的转换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场景陈列篇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1、如何利用五感陈列提升VIP的忠实度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2、生活化场景陈列搭配要素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3、挂通陈列技巧运用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4、卖场陈列规划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5、模特陈列技巧运用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PART 4：搭配陈列实操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1、命题实操课程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2、带教点评、纠错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上课信息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课程时间：4天共计28学时；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上午9:00—12:30，下午13:30—16:30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上课地点：北京服装学院继续教育学院楼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5"/>
          <w:szCs w:val="25"/>
        </w:rPr>
        <w:t>注意事项</w:t>
      </w:r>
    </w:p>
    <w:p>
      <w:pPr>
        <w:keepNext w:val="0"/>
        <w:keepLines w:val="0"/>
        <w:widowControl/>
        <w:suppressLineNumbers w:val="0"/>
        <w:jc w:val="left"/>
      </w:pPr>
      <w:r>
        <w:t>1、本课程模块不安排试听；不设置复听政策，因本人原因不能完整听课的学员不能重修；</w:t>
      </w:r>
      <w:r>
        <w:br w:type="textWrapping"/>
      </w:r>
      <w:r>
        <w:t>2、外地学员食宿费用自理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3、报名后凡因个人原因要求退费的，退费规则如下：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开课前，可无条件退全额学费（注册费不退，教材资料需全数退还）；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开课后，不再办理退费手续。</w:t>
      </w:r>
    </w:p>
    <w:p>
      <w:pPr>
        <w:rPr>
          <w:rFonts w:hint="eastAsia"/>
          <w:b/>
          <w:bCs/>
          <w:lang w:val="en-US" w:eastAsia="zh-CN"/>
        </w:rPr>
      </w:pPr>
      <w:r>
        <w:rPr>
          <w:rFonts w:hint="eastAsia"/>
          <w:lang w:val="en-US" w:eastAsia="zh-CN"/>
        </w:rPr>
        <w:t xml:space="preserve">                              </w:t>
      </w:r>
      <w:r>
        <w:rPr>
          <w:rFonts w:hint="eastAsia"/>
          <w:b/>
          <w:bCs/>
          <w:lang w:val="en-US" w:eastAsia="zh-CN"/>
        </w:rPr>
        <w:t>报名表</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135"/>
        <w:gridCol w:w="1300"/>
        <w:gridCol w:w="2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217" w:type="dxa"/>
            <w:noWrap w:val="0"/>
            <w:vAlign w:val="top"/>
          </w:tcPr>
          <w:p>
            <w:pPr>
              <w:jc w:val="left"/>
              <w:rPr>
                <w:rFonts w:hint="eastAsia"/>
                <w:szCs w:val="21"/>
              </w:rPr>
            </w:pPr>
            <w:r>
              <w:rPr>
                <w:rFonts w:hint="eastAsia"/>
                <w:szCs w:val="21"/>
              </w:rPr>
              <w:t>课程全名</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姓   名</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性   别</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出生日期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民   族</w:t>
            </w:r>
          </w:p>
        </w:tc>
        <w:tc>
          <w:tcPr>
            <w:tcW w:w="1217" w:type="dxa"/>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籍   贯</w:t>
            </w:r>
          </w:p>
        </w:tc>
        <w:tc>
          <w:tcPr>
            <w:tcW w:w="1135" w:type="dxa"/>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职务/职称</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身份证号</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工作年限</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restart"/>
            <w:noWrap w:val="0"/>
            <w:vAlign w:val="top"/>
          </w:tcPr>
          <w:p>
            <w:pPr>
              <w:jc w:val="left"/>
              <w:rPr>
                <w:rFonts w:hint="eastAsia"/>
                <w:szCs w:val="21"/>
              </w:rPr>
            </w:pPr>
            <w:r>
              <w:rPr>
                <w:rFonts w:hint="eastAsia"/>
                <w:szCs w:val="21"/>
              </w:rPr>
              <w:t>教育程度</w:t>
            </w:r>
          </w:p>
        </w:tc>
        <w:tc>
          <w:tcPr>
            <w:tcW w:w="1217" w:type="dxa"/>
            <w:noWrap w:val="0"/>
            <w:vAlign w:val="top"/>
          </w:tcPr>
          <w:p>
            <w:pPr>
              <w:jc w:val="left"/>
              <w:rPr>
                <w:rFonts w:hint="eastAsia"/>
                <w:szCs w:val="21"/>
              </w:rPr>
            </w:pPr>
            <w:r>
              <w:rPr>
                <w:rFonts w:hint="eastAsia"/>
                <w:szCs w:val="21"/>
              </w:rPr>
              <w:t>学    历</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毕业院校</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vMerge w:val="continue"/>
            <w:noWrap w:val="0"/>
            <w:vAlign w:val="top"/>
          </w:tcPr>
          <w:p>
            <w:pPr>
              <w:jc w:val="left"/>
              <w:rPr>
                <w:rFonts w:hint="eastAsia"/>
                <w:szCs w:val="21"/>
              </w:rPr>
            </w:pPr>
          </w:p>
        </w:tc>
        <w:tc>
          <w:tcPr>
            <w:tcW w:w="1217" w:type="dxa"/>
            <w:noWrap w:val="0"/>
            <w:vAlign w:val="top"/>
          </w:tcPr>
          <w:p>
            <w:pPr>
              <w:jc w:val="left"/>
              <w:rPr>
                <w:rFonts w:hint="eastAsia"/>
                <w:szCs w:val="21"/>
              </w:rPr>
            </w:pPr>
            <w:r>
              <w:rPr>
                <w:rFonts w:hint="eastAsia"/>
                <w:szCs w:val="21"/>
              </w:rPr>
              <w:t>学    位</w:t>
            </w:r>
          </w:p>
        </w:tc>
        <w:tc>
          <w:tcPr>
            <w:tcW w:w="2352" w:type="dxa"/>
            <w:gridSpan w:val="2"/>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专    业</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毕业时间</w:t>
            </w:r>
          </w:p>
        </w:tc>
        <w:tc>
          <w:tcPr>
            <w:tcW w:w="2434" w:type="dxa"/>
            <w:gridSpan w:val="2"/>
            <w:noWrap w:val="0"/>
            <w:vAlign w:val="top"/>
          </w:tcPr>
          <w:p>
            <w:pPr>
              <w:jc w:val="left"/>
              <w:rPr>
                <w:rFonts w:hint="eastAsia"/>
                <w:szCs w:val="21"/>
              </w:rPr>
            </w:pPr>
          </w:p>
        </w:tc>
        <w:tc>
          <w:tcPr>
            <w:tcW w:w="1135" w:type="dxa"/>
            <w:noWrap w:val="0"/>
            <w:vAlign w:val="top"/>
          </w:tcPr>
          <w:p>
            <w:pPr>
              <w:jc w:val="left"/>
              <w:rPr>
                <w:rFonts w:hint="eastAsia"/>
                <w:szCs w:val="21"/>
              </w:rPr>
            </w:pPr>
            <w:r>
              <w:rPr>
                <w:rFonts w:hint="eastAsia"/>
                <w:szCs w:val="21"/>
              </w:rPr>
              <w:t>付款方式</w:t>
            </w:r>
          </w:p>
        </w:tc>
        <w:tc>
          <w:tcPr>
            <w:tcW w:w="3736" w:type="dxa"/>
            <w:gridSpan w:val="2"/>
            <w:noWrap w:val="0"/>
            <w:vAlign w:val="top"/>
          </w:tcPr>
          <w:p>
            <w:pPr>
              <w:ind w:firstLine="315" w:firstLineChars="150"/>
              <w:jc w:val="left"/>
              <w:rPr>
                <w:rFonts w:hint="eastAsia"/>
                <w:szCs w:val="21"/>
              </w:rPr>
            </w:pPr>
            <w:r>
              <w:rPr>
                <w:rFonts w:hint="eastAsia"/>
                <w:szCs w:val="21"/>
              </w:rPr>
              <w:t>银行汇款   现今付款   电子转账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公司名称</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    话</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传   真</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手    机</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邮   编</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电子邮箱</w:t>
            </w:r>
          </w:p>
        </w:tc>
        <w:tc>
          <w:tcPr>
            <w:tcW w:w="3569" w:type="dxa"/>
            <w:gridSpan w:val="3"/>
            <w:noWrap w:val="0"/>
            <w:vAlign w:val="top"/>
          </w:tcPr>
          <w:p>
            <w:pPr>
              <w:jc w:val="left"/>
              <w:rPr>
                <w:rFonts w:hint="eastAsia"/>
                <w:szCs w:val="21"/>
              </w:rPr>
            </w:pPr>
          </w:p>
        </w:tc>
        <w:tc>
          <w:tcPr>
            <w:tcW w:w="1300" w:type="dxa"/>
            <w:noWrap w:val="0"/>
            <w:vAlign w:val="top"/>
          </w:tcPr>
          <w:p>
            <w:pPr>
              <w:jc w:val="left"/>
              <w:rPr>
                <w:rFonts w:hint="eastAsia"/>
                <w:szCs w:val="21"/>
              </w:rPr>
            </w:pPr>
            <w:r>
              <w:rPr>
                <w:rFonts w:hint="eastAsia"/>
                <w:szCs w:val="21"/>
              </w:rPr>
              <w:t>单位性质</w:t>
            </w:r>
          </w:p>
        </w:tc>
        <w:tc>
          <w:tcPr>
            <w:tcW w:w="2436" w:type="dxa"/>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17" w:type="dxa"/>
            <w:noWrap w:val="0"/>
            <w:vAlign w:val="top"/>
          </w:tcPr>
          <w:p>
            <w:pPr>
              <w:jc w:val="left"/>
              <w:rPr>
                <w:rFonts w:hint="eastAsia"/>
                <w:szCs w:val="21"/>
              </w:rPr>
            </w:pPr>
            <w:r>
              <w:rPr>
                <w:rFonts w:hint="eastAsia"/>
                <w:szCs w:val="21"/>
              </w:rPr>
              <w:t>通信地址</w:t>
            </w:r>
          </w:p>
        </w:tc>
        <w:tc>
          <w:tcPr>
            <w:tcW w:w="7305" w:type="dxa"/>
            <w:gridSpan w:val="5"/>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工作简历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25" w:hRule="atLeast"/>
        </w:trPr>
        <w:tc>
          <w:tcPr>
            <w:tcW w:w="8522" w:type="dxa"/>
            <w:gridSpan w:val="6"/>
            <w:noWrap w:val="0"/>
            <w:vAlign w:val="top"/>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jc w:val="left"/>
              <w:rPr>
                <w:rFonts w:hint="eastAsia"/>
                <w:szCs w:val="21"/>
              </w:rPr>
            </w:pPr>
            <w:r>
              <w:rPr>
                <w:rFonts w:hint="eastAsia"/>
                <w:szCs w:val="21"/>
              </w:rPr>
              <w:t>学习建议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3" w:hRule="atLeast"/>
        </w:trPr>
        <w:tc>
          <w:tcPr>
            <w:tcW w:w="8522" w:type="dxa"/>
            <w:gridSpan w:val="6"/>
            <w:noWrap w:val="0"/>
            <w:vAlign w:val="top"/>
          </w:tcPr>
          <w:p>
            <w:pPr>
              <w:jc w:val="left"/>
              <w:rPr>
                <w:rFonts w:hint="eastAsia"/>
                <w:szCs w:val="21"/>
              </w:rPr>
            </w:pP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0330F"/>
    <w:rsid w:val="1E00330F"/>
    <w:rsid w:val="2D71641F"/>
    <w:rsid w:val="6EB64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2019-12-05T05:06:00Z</dcterms:created>
  <dc:creator>郭朋云</dc:creator>
  <cp:lastModifiedBy>郭朋云</cp:lastModifiedBy>
  <dcterms:modified xsi:type="dcterms:W3CDTF">2019-12-09T04:00:23Z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