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hint="eastAsia" w:ascii="微软雅黑" w:hAnsi="微软雅黑" w:eastAsia="微软雅黑" w:cs="宋体"/>
          <w:b/>
          <w:color w:val="333333"/>
          <w:spacing w:val="8"/>
          <w:kern w:val="0"/>
          <w:sz w:val="34"/>
          <w:szCs w:val="34"/>
        </w:rPr>
      </w:pPr>
      <w:r>
        <w:rPr>
          <w:rFonts w:hint="eastAsia" w:ascii="微软雅黑" w:hAnsi="微软雅黑" w:eastAsia="微软雅黑" w:cs="宋体"/>
          <w:b/>
          <w:color w:val="333333"/>
          <w:spacing w:val="8"/>
          <w:kern w:val="0"/>
          <w:sz w:val="34"/>
          <w:szCs w:val="34"/>
        </w:rPr>
        <w:t>顶层设计与合伙人模式实战班</w:t>
      </w:r>
    </w:p>
    <w:p>
      <w:pPr>
        <w:widowControl/>
        <w:shd w:val="clear" w:color="auto" w:fill="FFFFFF"/>
        <w:spacing w:after="210"/>
        <w:jc w:val="center"/>
        <w:outlineLvl w:val="1"/>
        <w:rPr>
          <w:rFonts w:ascii="微软雅黑" w:hAnsi="微软雅黑" w:eastAsia="微软雅黑" w:cs="宋体"/>
          <w:color w:val="333333"/>
          <w:spacing w:val="8"/>
          <w:kern w:val="0"/>
          <w:sz w:val="33"/>
          <w:szCs w:val="33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33"/>
          <w:szCs w:val="33"/>
        </w:rPr>
        <w:drawing>
          <wp:inline distT="0" distB="0" distL="0" distR="0">
            <wp:extent cx="5274310" cy="48444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0226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0226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13627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pBdr>
          <w:bottom w:val="single" w:color="E3E3E3" w:sz="6" w:space="0"/>
        </w:pBdr>
        <w:spacing w:before="0" w:beforeAutospacing="0" w:after="0" w:afterAutospacing="0" w:line="270" w:lineRule="atLeast"/>
        <w:rPr>
          <w:color w:val="A40000"/>
          <w:sz w:val="18"/>
          <w:szCs w:val="18"/>
          <w:u w:val="thick" w:color="990000"/>
        </w:rPr>
      </w:pPr>
      <w:r>
        <w:rPr>
          <w:rStyle w:val="7"/>
          <w:rFonts w:hint="eastAsia" w:ascii="微软雅黑" w:hAnsi="微软雅黑" w:eastAsia="微软雅黑"/>
          <w:color w:val="4C4C4C"/>
          <w:spacing w:val="15"/>
          <w:sz w:val="27"/>
          <w:szCs w:val="27"/>
          <w:u w:val="thick" w:color="990000"/>
        </w:rPr>
        <w:t>100亿同学商圈</w:t>
      </w:r>
    </w:p>
    <w:p>
      <w:pPr>
        <w:rPr>
          <w:rFonts w:hint="eastAsia"/>
        </w:rPr>
      </w:pPr>
      <w:r>
        <w:drawing>
          <wp:inline distT="0" distB="0" distL="0" distR="0">
            <wp:extent cx="5274310" cy="35261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7"/>
          <w:rFonts w:hint="eastAsia" w:ascii="微软雅黑" w:hAnsi="微软雅黑" w:eastAsia="微软雅黑"/>
          <w:color w:val="4C4C4C"/>
          <w:spacing w:val="15"/>
          <w:sz w:val="23"/>
          <w:szCs w:val="23"/>
          <w:shd w:val="clear" w:color="auto" w:fill="FFFFFF"/>
        </w:rPr>
      </w:pPr>
      <w:r>
        <w:rPr>
          <w:rStyle w:val="7"/>
          <w:rFonts w:hint="eastAsia" w:ascii="微软雅黑" w:hAnsi="微软雅黑" w:eastAsia="微软雅黑"/>
          <w:color w:val="4C4C4C"/>
          <w:spacing w:val="15"/>
          <w:sz w:val="23"/>
          <w:szCs w:val="23"/>
          <w:shd w:val="clear" w:color="auto" w:fill="FFFFFF"/>
        </w:rPr>
        <w:t>随时随地找人脉，刺激百亿商圈</w:t>
      </w:r>
    </w:p>
    <w:p>
      <w:pPr>
        <w:pStyle w:val="4"/>
        <w:pBdr>
          <w:bottom w:val="single" w:color="E3E3E3" w:sz="6" w:space="0"/>
        </w:pBdr>
        <w:spacing w:before="0" w:beforeAutospacing="0" w:after="0" w:afterAutospacing="0" w:line="270" w:lineRule="atLeast"/>
        <w:rPr>
          <w:rFonts w:ascii="微软雅黑" w:hAnsi="微软雅黑" w:eastAsia="微软雅黑"/>
          <w:b/>
          <w:bCs/>
          <w:color w:val="4C4C4C"/>
          <w:spacing w:val="15"/>
          <w:sz w:val="27"/>
          <w:szCs w:val="27"/>
          <w:u w:val="thick" w:color="990000"/>
        </w:rPr>
      </w:pPr>
      <w:r>
        <w:rPr>
          <w:rStyle w:val="7"/>
          <w:rFonts w:hint="eastAsia" w:ascii="微软雅黑" w:hAnsi="微软雅黑" w:eastAsia="微软雅黑"/>
          <w:color w:val="4C4C4C"/>
          <w:spacing w:val="15"/>
          <w:sz w:val="27"/>
          <w:szCs w:val="27"/>
          <w:u w:val="thick" w:color="990000"/>
        </w:rPr>
        <w:t>标杆参访</w:t>
      </w:r>
    </w:p>
    <w:p>
      <w:pPr>
        <w:rPr>
          <w:rFonts w:hint="eastAsia"/>
        </w:rPr>
      </w:pPr>
      <w:r>
        <w:drawing>
          <wp:inline distT="0" distB="0" distL="0" distR="0">
            <wp:extent cx="5274310" cy="35115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/>
        <w:rPr>
          <w:rStyle w:val="7"/>
          <w:rFonts w:ascii="微软雅黑" w:hAnsi="微软雅黑" w:eastAsia="微软雅黑" w:cstheme="minorBidi"/>
          <w:color w:val="4C4C4C"/>
          <w:spacing w:val="15"/>
          <w:kern w:val="2"/>
          <w:sz w:val="23"/>
          <w:szCs w:val="23"/>
          <w:shd w:val="clear" w:color="auto" w:fill="FFFFFF"/>
        </w:rPr>
      </w:pPr>
      <w:r>
        <w:rPr>
          <w:rStyle w:val="7"/>
          <w:rFonts w:ascii="微软雅黑" w:hAnsi="微软雅黑" w:eastAsia="微软雅黑" w:cstheme="minorBidi"/>
          <w:color w:val="4C4C4C"/>
          <w:spacing w:val="15"/>
          <w:kern w:val="2"/>
          <w:sz w:val="23"/>
          <w:szCs w:val="23"/>
          <w:shd w:val="clear" w:color="auto" w:fill="FFFFFF"/>
        </w:rPr>
        <w:t>走近成功企业，剖析发展历程，学习成功经验</w:t>
      </w:r>
    </w:p>
    <w:p>
      <w:pPr>
        <w:pStyle w:val="4"/>
        <w:pBdr>
          <w:bottom w:val="single" w:color="E3E3E3" w:sz="6" w:space="0"/>
        </w:pBdr>
        <w:spacing w:before="0" w:beforeAutospacing="0" w:after="0" w:afterAutospacing="0" w:line="270" w:lineRule="atLeast"/>
        <w:rPr>
          <w:color w:val="A40000"/>
          <w:sz w:val="18"/>
          <w:szCs w:val="18"/>
          <w:u w:val="thick" w:color="990000"/>
        </w:rPr>
      </w:pPr>
      <w:r>
        <w:rPr>
          <w:rStyle w:val="7"/>
          <w:rFonts w:hint="eastAsia" w:ascii="微软雅黑" w:hAnsi="微软雅黑" w:eastAsia="微软雅黑"/>
          <w:color w:val="4C4C4C"/>
          <w:spacing w:val="15"/>
          <w:sz w:val="27"/>
          <w:szCs w:val="27"/>
          <w:u w:val="thick" w:color="990000"/>
        </w:rPr>
        <w:t>高管同步课堂</w:t>
      </w:r>
    </w:p>
    <w:p>
      <w:pPr>
        <w:rPr>
          <w:rFonts w:hint="eastAsia"/>
        </w:rPr>
      </w:pPr>
      <w:r>
        <w:drawing>
          <wp:inline distT="0" distB="0" distL="0" distR="0">
            <wp:extent cx="5274310" cy="35261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7"/>
          <w:rFonts w:ascii="微软雅黑" w:hAnsi="微软雅黑" w:eastAsia="微软雅黑"/>
          <w:color w:val="4C4C4C"/>
          <w:spacing w:val="15"/>
          <w:sz w:val="23"/>
          <w:szCs w:val="23"/>
          <w:shd w:val="clear" w:color="auto" w:fill="FFFFFF"/>
        </w:rPr>
      </w:pPr>
      <w:r>
        <w:rPr>
          <w:rStyle w:val="7"/>
          <w:rFonts w:ascii="微软雅黑" w:hAnsi="微软雅黑" w:eastAsia="微软雅黑"/>
          <w:color w:val="4C4C4C"/>
          <w:spacing w:val="15"/>
          <w:sz w:val="23"/>
          <w:szCs w:val="23"/>
          <w:shd w:val="clear" w:color="auto" w:fill="FFFFFF"/>
        </w:rPr>
        <w:t>你在进步，高管必须同步</w:t>
      </w:r>
    </w:p>
    <w:p>
      <w:pPr>
        <w:pStyle w:val="4"/>
        <w:pBdr>
          <w:bottom w:val="single" w:color="E3E3E3" w:sz="6" w:space="0"/>
        </w:pBdr>
        <w:spacing w:before="0" w:beforeAutospacing="0" w:after="0" w:afterAutospacing="0" w:line="270" w:lineRule="atLeast"/>
        <w:rPr>
          <w:color w:val="A40000"/>
          <w:sz w:val="18"/>
          <w:szCs w:val="18"/>
          <w:u w:val="thick" w:color="990000"/>
        </w:rPr>
      </w:pPr>
      <w:r>
        <w:rPr>
          <w:rStyle w:val="7"/>
          <w:rFonts w:hint="eastAsia" w:ascii="微软雅黑" w:hAnsi="微软雅黑" w:eastAsia="微软雅黑"/>
          <w:color w:val="4C4C4C"/>
          <w:spacing w:val="15"/>
          <w:sz w:val="27"/>
          <w:szCs w:val="27"/>
          <w:u w:val="thick" w:color="990000"/>
        </w:rPr>
        <w:t>海外游学</w:t>
      </w:r>
    </w:p>
    <w:p>
      <w:pPr>
        <w:rPr>
          <w:rFonts w:hint="eastAsia"/>
        </w:rPr>
      </w:pPr>
      <w:r>
        <w:drawing>
          <wp:inline distT="0" distB="0" distL="0" distR="0">
            <wp:extent cx="5274310" cy="25006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7"/>
          <w:rFonts w:ascii="微软雅黑" w:hAnsi="微软雅黑" w:eastAsia="微软雅黑"/>
          <w:color w:val="4C4C4C"/>
          <w:spacing w:val="15"/>
          <w:sz w:val="23"/>
          <w:szCs w:val="23"/>
          <w:shd w:val="clear" w:color="auto" w:fill="FFFFFF"/>
        </w:rPr>
      </w:pPr>
      <w:r>
        <w:rPr>
          <w:rStyle w:val="7"/>
          <w:rFonts w:ascii="微软雅黑" w:hAnsi="微软雅黑" w:eastAsia="微软雅黑"/>
          <w:color w:val="4C4C4C"/>
          <w:spacing w:val="15"/>
          <w:sz w:val="23"/>
          <w:szCs w:val="23"/>
          <w:shd w:val="clear" w:color="auto" w:fill="FFFFFF"/>
        </w:rPr>
        <w:t>培养具有国际视野和战略眼光的管理者</w:t>
      </w:r>
    </w:p>
    <w:p>
      <w:pPr>
        <w:pStyle w:val="4"/>
        <w:pBdr>
          <w:bottom w:val="single" w:color="E3E3E3" w:sz="6" w:space="0"/>
        </w:pBdr>
        <w:spacing w:before="0" w:beforeAutospacing="0" w:after="0" w:afterAutospacing="0" w:line="270" w:lineRule="atLeast"/>
        <w:rPr>
          <w:color w:val="A40000"/>
          <w:sz w:val="18"/>
          <w:szCs w:val="18"/>
          <w:u w:val="thick" w:color="990000"/>
        </w:rPr>
      </w:pPr>
      <w:r>
        <w:rPr>
          <w:rStyle w:val="7"/>
          <w:rFonts w:hint="eastAsia" w:ascii="微软雅黑" w:hAnsi="微软雅黑" w:eastAsia="微软雅黑"/>
          <w:color w:val="4C4C4C"/>
          <w:spacing w:val="15"/>
          <w:sz w:val="27"/>
          <w:szCs w:val="27"/>
          <w:u w:val="thick" w:color="990000"/>
        </w:rPr>
        <w:t>合作共赢</w:t>
      </w:r>
    </w:p>
    <w:p>
      <w:pPr>
        <w:rPr>
          <w:rFonts w:hint="eastAsia"/>
        </w:rPr>
      </w:pPr>
      <w:r>
        <w:drawing>
          <wp:inline distT="0" distB="0" distL="0" distR="0">
            <wp:extent cx="5257800" cy="28384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7"/>
          <w:rFonts w:ascii="微软雅黑" w:hAnsi="微软雅黑" w:eastAsia="微软雅黑"/>
          <w:color w:val="4C4C4C"/>
          <w:spacing w:val="15"/>
          <w:sz w:val="23"/>
          <w:szCs w:val="23"/>
          <w:shd w:val="clear" w:color="auto" w:fill="FFFFFF"/>
        </w:rPr>
      </w:pPr>
      <w:r>
        <w:rPr>
          <w:rStyle w:val="7"/>
          <w:rFonts w:ascii="微软雅黑" w:hAnsi="微软雅黑" w:eastAsia="微软雅黑"/>
          <w:color w:val="4C4C4C"/>
          <w:spacing w:val="15"/>
          <w:sz w:val="23"/>
          <w:szCs w:val="23"/>
          <w:shd w:val="clear" w:color="auto" w:fill="FFFFFF"/>
        </w:rPr>
        <w:t>跨行业、跨班级资源对接，打造共享型资源交流平台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136271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98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9810" w:type="dxa"/>
            <w:tcBorders>
              <w:top w:val="single" w:color="910000" w:sz="48" w:space="0"/>
              <w:left w:val="single" w:color="666666" w:sz="6" w:space="0"/>
              <w:bottom w:val="single" w:color="FFFFFF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01 合伙人模式的目的与方案选择业机会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9810" w:type="dxa"/>
            <w:tcBorders>
              <w:top w:val="single" w:color="FFFFFF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“利他时代”的人才管理难点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实行合伙人制的目的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为什么说“股权激励≠合伙人制”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企业发展阶段与合伙人制度设计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导入合伙人制度的流程与要点提示</w:t>
            </w:r>
          </w:p>
        </w:tc>
      </w:tr>
    </w:tbl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exact"/>
        <w:rPr>
          <w:rFonts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tbl>
      <w:tblPr>
        <w:tblStyle w:val="5"/>
        <w:tblW w:w="98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0" w:type="dxa"/>
            <w:tcBorders>
              <w:top w:val="single" w:color="910000" w:sz="48" w:space="0"/>
              <w:left w:val="single" w:color="666666" w:sz="6" w:space="0"/>
              <w:bottom w:val="single" w:color="FFFFFF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02 事业梦想与逻辑提炼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9810" w:type="dxa"/>
            <w:tcBorders>
              <w:top w:val="single" w:color="FFFFFF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pacing w:val="8"/>
                <w:kern w:val="0"/>
                <w:sz w:val="24"/>
                <w:szCs w:val="24"/>
              </w:rPr>
              <w:t>企业靠什么吸引合伙人？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如何提炼出本企业的合伙事业梦想与逻辑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现场提炼本企业的合伙事业梦想与逻辑（草案）</w:t>
            </w:r>
          </w:p>
        </w:tc>
      </w:tr>
    </w:tbl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tbl>
      <w:tblPr>
        <w:tblStyle w:val="5"/>
        <w:tblW w:w="98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0" w:type="dxa"/>
            <w:tcBorders>
              <w:top w:val="single" w:color="910000" w:sz="48" w:space="0"/>
              <w:left w:val="single" w:color="666666" w:sz="6" w:space="0"/>
              <w:bottom w:val="single" w:color="FFFFFF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03 选拔与层级方案设计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9810" w:type="dxa"/>
            <w:tcBorders>
              <w:top w:val="single" w:color="FFFFFF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合伙人制度模式选择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合伙人的身份层级：预备→正式→核心→终身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定义合伙人身份层级的逻辑与方法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运用标准模型现场制定本企业的合伙人身份层级认定标准（草案）</w:t>
            </w:r>
          </w:p>
        </w:tc>
      </w:tr>
    </w:tbl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tbl>
      <w:tblPr>
        <w:tblStyle w:val="5"/>
        <w:tblW w:w="98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0" w:type="dxa"/>
            <w:tcBorders>
              <w:top w:val="single" w:color="910000" w:sz="48" w:space="0"/>
              <w:left w:val="single" w:color="666666" w:sz="6" w:space="0"/>
              <w:bottom w:val="single" w:color="FFFFFF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04 股权激励方案设计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0" w:type="dxa"/>
            <w:tcBorders>
              <w:top w:val="single" w:color="FFFFFF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员工持股比例，行权价格、期限和条件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持股平台的作用、实操原则与注意事项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股份分红、后期配股和所持股份的动态调整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股份退出/回购的三种情境及各自的适用原则与办法</w:t>
            </w:r>
          </w:p>
        </w:tc>
      </w:tr>
    </w:tbl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tbl>
      <w:tblPr>
        <w:tblStyle w:val="5"/>
        <w:tblW w:w="98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0" w:type="dxa"/>
            <w:tcBorders>
              <w:top w:val="single" w:color="910000" w:sz="48" w:space="0"/>
              <w:left w:val="single" w:color="666666" w:sz="6" w:space="0"/>
              <w:bottom w:val="single" w:color="FFFFFF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05 方案设计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0" w:type="dxa"/>
            <w:tcBorders>
              <w:top w:val="single" w:color="FFFFFF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为什么要管理合伙人的贡献，以及如何进行管理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合伙人贡献管理的实用方法体系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如何基于贡献评估结果来决定合伙人利益与身份的“升降进退”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合伙人利益与身份“升降进退”的操作原则和注意事项</w:t>
            </w:r>
          </w:p>
        </w:tc>
      </w:tr>
    </w:tbl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tbl>
      <w:tblPr>
        <w:tblStyle w:val="5"/>
        <w:tblW w:w="98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0" w:type="dxa"/>
            <w:tcBorders>
              <w:top w:val="single" w:color="910000" w:sz="48" w:space="0"/>
              <w:left w:val="single" w:color="666666" w:sz="6" w:space="0"/>
              <w:bottom w:val="single" w:color="FFFFFF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06 文化守则与培养方案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0" w:type="dxa"/>
            <w:tcBorders>
              <w:top w:val="single" w:color="FFFFFF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为什么要打造合伙人文化，并对合伙人进行持续培养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合伙人培养的基本理念、目标、内容与方式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合伙人培养的“三阶段模型”</w:t>
            </w:r>
          </w:p>
        </w:tc>
      </w:tr>
    </w:tbl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exac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tbl>
      <w:tblPr>
        <w:tblStyle w:val="5"/>
        <w:tblW w:w="98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810" w:type="dxa"/>
            <w:tcBorders>
              <w:top w:val="single" w:color="910000" w:sz="48" w:space="0"/>
              <w:left w:val="single" w:color="666666" w:sz="6" w:space="0"/>
              <w:bottom w:val="single" w:color="FFFFFF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07 成果汇总及后续工作计划制定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成果汇总——标准模板和注意要点</w:t>
            </w:r>
          </w:p>
          <w:p>
            <w:pPr>
              <w:widowControl/>
              <w:spacing w:line="420" w:lineRule="exact"/>
              <w:ind w:left="150" w:right="150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 xml:space="preserve">         制定后续方案完善、细化及落地执行的相关工作计划</w:t>
            </w:r>
          </w:p>
          <w:p>
            <w:pPr>
              <w:widowControl/>
              <w:shd w:val="clear" w:color="auto" w:fill="FFFFFF"/>
              <w:spacing w:line="420" w:lineRule="exact"/>
              <w:ind w:firstLine="2048" w:firstLineChars="800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陈述本企业合伙人制度的总体框架性方案</w:t>
            </w:r>
          </w:p>
          <w:p>
            <w:pPr>
              <w:widowControl/>
              <w:spacing w:line="420" w:lineRule="exact"/>
              <w:ind w:right="150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810" w:type="dxa"/>
            <w:tcBorders>
              <w:top w:val="single" w:color="FFFFFF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ind w:right="150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drawing>
          <wp:inline distT="0" distB="0" distL="0" distR="0">
            <wp:extent cx="3139440" cy="8924925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319" cy="894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01307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544004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全国咨询热线：400-086-8596</w:t>
      </w:r>
    </w:p>
    <w:p>
      <w:pPr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学费：6800</w:t>
      </w:r>
    </w:p>
    <w:p>
      <w:pPr>
        <w:snapToGrid w:val="0"/>
        <w:rPr>
          <w:rFonts w:ascii="黑体" w:hAnsi="宋体" w:eastAsia="黑体"/>
          <w:color w:val="953735" w:themeColor="accent2" w:themeShade="BF"/>
          <w:sz w:val="36"/>
          <w:szCs w:val="36"/>
        </w:rPr>
      </w:pPr>
      <w:r>
        <w:rPr>
          <w:rFonts w:hint="eastAsia" w:ascii="黑体" w:eastAsia="黑体"/>
          <w:color w:val="953735" w:themeColor="accent2" w:themeShade="BF"/>
          <w:sz w:val="36"/>
          <w:szCs w:val="36"/>
        </w:rPr>
        <w:t xml:space="preserve">                 报名登记表</w:t>
      </w:r>
    </w:p>
    <w:p>
      <w:pPr>
        <w:spacing w:before="156" w:beforeLines="50" w:after="78" w:afterLines="25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以下信息仅用于录取审核工作，并为申请人保密，请详细填写。</w:t>
      </w:r>
    </w:p>
    <w:tbl>
      <w:tblPr>
        <w:tblStyle w:val="5"/>
        <w:tblW w:w="9618" w:type="dxa"/>
        <w:tblInd w:w="-3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2082"/>
        <w:gridCol w:w="854"/>
        <w:gridCol w:w="83"/>
        <w:gridCol w:w="764"/>
        <w:gridCol w:w="145"/>
        <w:gridCol w:w="422"/>
        <w:gridCol w:w="426"/>
        <w:gridCol w:w="132"/>
        <w:gridCol w:w="12"/>
        <w:gridCol w:w="851"/>
        <w:gridCol w:w="401"/>
        <w:gridCol w:w="46"/>
        <w:gridCol w:w="545"/>
        <w:gridCol w:w="567"/>
        <w:gridCol w:w="9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9618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个人信息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3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0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43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照片（2寸）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3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243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</w:p>
        </w:tc>
        <w:tc>
          <w:tcPr>
            <w:tcW w:w="2083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13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 业</w:t>
            </w:r>
          </w:p>
        </w:tc>
        <w:tc>
          <w:tcPr>
            <w:tcW w:w="243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</w:trPr>
        <w:tc>
          <w:tcPr>
            <w:tcW w:w="1317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8301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31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</w:tc>
        <w:tc>
          <w:tcPr>
            <w:tcW w:w="20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69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52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主要经历（职务）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3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3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3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961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公司信息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301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3951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网    址</w:t>
            </w:r>
          </w:p>
        </w:tc>
        <w:tc>
          <w:tcPr>
            <w:tcW w:w="395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3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90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21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公司性质</w:t>
            </w:r>
          </w:p>
        </w:tc>
        <w:tc>
          <w:tcPr>
            <w:tcW w:w="83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□国有企业          □民营/私营企业         □外商独资企业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□中外合资企业      □政府部门和事业单位    □其他(请注明) 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</w:trPr>
        <w:tc>
          <w:tcPr>
            <w:tcW w:w="13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所属行业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□制造业 □金融投资</w:t>
            </w:r>
          </w:p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□贸易、服务业□房地产建筑      □信息、通讯  其他_______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年销售额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员工人数</w:t>
            </w: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兴趣</w:t>
            </w:r>
          </w:p>
          <w:p>
            <w:pPr>
              <w:spacing w:line="320" w:lineRule="exact"/>
              <w:ind w:left="9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爱好</w:t>
            </w:r>
          </w:p>
        </w:tc>
        <w:tc>
          <w:tcPr>
            <w:tcW w:w="97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9618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</w:trPr>
        <w:tc>
          <w:tcPr>
            <w:tcW w:w="13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获得信息的渠道</w:t>
            </w:r>
          </w:p>
        </w:tc>
        <w:tc>
          <w:tcPr>
            <w:tcW w:w="8301" w:type="dxa"/>
            <w:gridSpan w:val="1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同事或朋友介绍（姓名）</w:t>
            </w:r>
            <w:r>
              <w:rPr>
                <w:rFonts w:hint="eastAsia" w:ascii="宋体" w:hAnsi="宋体"/>
                <w:u w:val="single"/>
              </w:rPr>
              <w:t xml:space="preserve">          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本公司人力资源部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搜索引擎   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报纸、杂志广告(请注明)</w:t>
            </w:r>
            <w:r>
              <w:rPr>
                <w:rFonts w:hint="eastAsia" w:ascii="宋体" w:hAnsi="宋体"/>
                <w:u w:val="single"/>
              </w:rPr>
              <w:t xml:space="preserve">         </w:t>
            </w:r>
          </w:p>
          <w:p>
            <w:pPr>
              <w:spacing w:line="320" w:lineRule="exact"/>
              <w:ind w:firstLine="105" w:firstLineChars="5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网络广告</w:t>
            </w:r>
            <w:r>
              <w:rPr>
                <w:rFonts w:hAnsi="宋体"/>
              </w:rPr>
              <w:t>（</w:t>
            </w:r>
            <w:r>
              <w:t>E-mail</w:t>
            </w:r>
            <w:r>
              <w:rPr>
                <w:rFonts w:hint="eastAsia" w:hAnsi="宋体"/>
              </w:rPr>
              <w:t xml:space="preserve">）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各种直邮资料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其他(请注明)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需要提交资料</w:t>
            </w:r>
          </w:p>
        </w:tc>
        <w:tc>
          <w:tcPr>
            <w:tcW w:w="83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★报名登记表 ★名片1张 ★身份证复印件1张 ★企业简介 ★营业执照副本复印件1张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报读专业</w:t>
            </w:r>
          </w:p>
        </w:tc>
        <w:tc>
          <w:tcPr>
            <w:tcW w:w="83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2"/>
    <w:rsid w:val="001F7DF6"/>
    <w:rsid w:val="00446CA9"/>
    <w:rsid w:val="00550B59"/>
    <w:rsid w:val="0057161B"/>
    <w:rsid w:val="007836BB"/>
    <w:rsid w:val="00DE0132"/>
    <w:rsid w:val="087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批注框文本 Char"/>
    <w:basedOn w:val="6"/>
    <w:link w:val="3"/>
    <w:semiHidden/>
    <w:uiPriority w:val="99"/>
    <w:rPr>
      <w:sz w:val="18"/>
      <w:szCs w:val="18"/>
    </w:rPr>
  </w:style>
  <w:style w:type="paragraph" w:customStyle="1" w:styleId="10">
    <w:name w:val="xl38"/>
    <w:basedOn w:val="1"/>
    <w:qFormat/>
    <w:uiPriority w:val="0"/>
    <w:pPr>
      <w:widowControl/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118</Words>
  <Characters>677</Characters>
  <Lines>5</Lines>
  <Paragraphs>1</Paragraphs>
  <TotalTime>37</TotalTime>
  <ScaleCrop>false</ScaleCrop>
  <LinksUpToDate>false</LinksUpToDate>
  <CharactersWithSpaces>794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2019-07-26T02:17:00Z</dcterms:created>
  <dc:creator>微软用户</dc:creator>
  <cp:lastModifiedBy>郭朋云</cp:lastModifiedBy>
  <dcterms:modified xsi:type="dcterms:W3CDTF">2019-07-26T08:53:13Z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