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rPr>
          <w:rFonts w:ascii="宋体" w:hAnsi="宋体" w:cs="宋体"/>
          <w:b/>
          <w:bCs/>
          <w:color w:val="000000"/>
          <w:kern w:val="0"/>
          <w:sz w:val="36"/>
          <w:szCs w:val="36"/>
        </w:rPr>
      </w:pPr>
      <w:r>
        <w:rPr>
          <w:rFonts w:ascii="宋体" w:hAnsi="宋体" w:cs="宋体"/>
          <w:b/>
          <w:bCs/>
          <w:color w:val="000000"/>
          <w:kern w:val="0"/>
          <w:sz w:val="36"/>
          <w:szCs w:val="36"/>
        </w:rPr>
        <w:t>实战型财务总监</w:t>
      </w:r>
      <w:r>
        <w:rPr>
          <w:rFonts w:hint="eastAsia" w:ascii="宋体" w:hAnsi="宋体" w:cs="宋体"/>
          <w:b/>
          <w:bCs/>
          <w:color w:val="000000"/>
          <w:kern w:val="0"/>
          <w:sz w:val="36"/>
          <w:szCs w:val="36"/>
        </w:rPr>
        <w:t>（CFO）特训</w:t>
      </w:r>
      <w:r>
        <w:rPr>
          <w:rFonts w:ascii="宋体" w:hAnsi="宋体" w:cs="宋体"/>
          <w:b/>
          <w:bCs/>
          <w:color w:val="000000"/>
          <w:kern w:val="0"/>
          <w:sz w:val="36"/>
          <w:szCs w:val="36"/>
        </w:rPr>
        <w:t>班</w:t>
      </w:r>
    </w:p>
    <w:p>
      <w:pPr>
        <w:widowControl/>
        <w:spacing w:line="360" w:lineRule="auto"/>
        <w:jc w:val="left"/>
        <w:rPr>
          <w:rFonts w:ascii="宋体" w:hAnsi="宋体" w:cs="宋体"/>
          <w:bCs/>
          <w:color w:val="000000"/>
          <w:kern w:val="0"/>
          <w:sz w:val="24"/>
          <w:shd w:val="pct10" w:color="auto" w:fill="FFFFFF"/>
        </w:rPr>
      </w:pPr>
      <w:r>
        <w:rPr>
          <w:rFonts w:ascii="宋体" w:hAnsi="宋体" w:cs="宋体"/>
          <w:b/>
          <w:bCs/>
          <w:color w:val="000000"/>
          <w:kern w:val="0"/>
          <w:sz w:val="24"/>
          <w:shd w:val="pct10" w:color="auto" w:fill="FFFFFF"/>
        </w:rPr>
        <w:t>【课程背景】</w:t>
      </w:r>
      <w:r>
        <w:rPr>
          <w:rFonts w:hint="eastAsia" w:ascii="宋体" w:hAnsi="宋体" w:cs="宋体"/>
          <w:b/>
          <w:bCs/>
          <w:color w:val="000000"/>
          <w:kern w:val="0"/>
          <w:sz w:val="24"/>
          <w:shd w:val="pct10" w:color="auto" w:fill="FFFFFF"/>
        </w:rPr>
        <w:t xml:space="preserve">                                                                   </w:t>
      </w:r>
    </w:p>
    <w:p>
      <w:pPr>
        <w:widowControl/>
        <w:spacing w:line="360" w:lineRule="auto"/>
        <w:ind w:firstLine="525" w:firstLineChars="250"/>
        <w:rPr>
          <w:rFonts w:ascii="宋体" w:hAnsi="宋体" w:cs="宋体"/>
          <w:kern w:val="0"/>
          <w:szCs w:val="21"/>
        </w:rPr>
      </w:pPr>
      <w:r>
        <w:rPr>
          <w:rFonts w:ascii="宋体" w:hAnsi="宋体" w:cs="宋体"/>
          <w:bCs/>
          <w:color w:val="000000"/>
          <w:kern w:val="0"/>
          <w:szCs w:val="21"/>
        </w:rPr>
        <w:t>财务总监（CFO）作为企业中非常重要的高级管理职位，是穿插在金融市场和价值管理之间不可或缺的角色。他们站在股东和经营者之间，是公司重要的战略决策制定和执行者之一。现代意义上的财务总监（CFO），要承担相应的职责必须拥有超强的学习能力。必须突破传统财务视野，从战略高度去审视财务与会计问题；领悟公司治理、资本运营等方面的知识及其运作手段；有效控制和防范企业风险；大量接触国内外前沿性的财务管理知识和信息；深入了解相关国际规则并借鉴国际企业的相关经验。</w:t>
      </w:r>
      <w:r>
        <w:rPr>
          <w:rFonts w:ascii="宋体" w:hAnsi="宋体" w:cs="宋体"/>
          <w:kern w:val="0"/>
          <w:szCs w:val="21"/>
        </w:rPr>
        <w:t>随着经济的发展和全球化的深入,</w:t>
      </w:r>
      <w:r>
        <w:rPr>
          <w:rFonts w:hint="eastAsia" w:ascii="宋体" w:hAnsi="宋体" w:cs="宋体"/>
          <w:kern w:val="0"/>
          <w:szCs w:val="21"/>
        </w:rPr>
        <w:t xml:space="preserve"> 传统的财务管理知识已远远不能适应现代企业的需要</w:t>
      </w:r>
      <w:r>
        <w:rPr>
          <w:rFonts w:ascii="宋体" w:hAnsi="宋体" w:cs="宋体"/>
          <w:kern w:val="0"/>
          <w:szCs w:val="21"/>
        </w:rPr>
        <w:t>。作为核心决策成员之一的CFO，其学识、其观念、其思维方式、其思考问题时所站的高度，都对企业的发展起着决定性的作用。本班的宗旨，正是为培养这样一批现代化、国际化的高层财务人员。由于课程主要着眼于战略性财务管理及财务管理实务，同时安排了资本运营和CFO发展专题课程，所以本班同样适合于有一定素质与管理经验的非财务出身的高层管理人员</w:t>
      </w:r>
      <w:r>
        <w:rPr>
          <w:rFonts w:hint="eastAsia" w:ascii="宋体" w:hAnsi="宋体" w:cs="宋体"/>
          <w:kern w:val="0"/>
          <w:szCs w:val="21"/>
        </w:rPr>
        <w:t>及财务相关从业人员</w:t>
      </w:r>
      <w:r>
        <w:rPr>
          <w:rFonts w:ascii="宋体" w:hAnsi="宋体" w:cs="宋体"/>
          <w:kern w:val="0"/>
          <w:szCs w:val="21"/>
        </w:rPr>
        <w:t>。</w:t>
      </w:r>
    </w:p>
    <w:p>
      <w:pPr>
        <w:widowControl/>
        <w:spacing w:line="360" w:lineRule="auto"/>
        <w:ind w:firstLine="525" w:firstLineChars="250"/>
        <w:rPr>
          <w:rFonts w:ascii="宋体" w:hAnsi="宋体" w:cs="宋体"/>
          <w:kern w:val="0"/>
          <w:szCs w:val="21"/>
        </w:rPr>
      </w:pPr>
      <w:r>
        <w:rPr>
          <w:rFonts w:hint="eastAsia" w:ascii="宋体" w:hAnsi="宋体" w:cs="宋体"/>
          <w:bCs/>
          <w:color w:val="000000"/>
          <w:kern w:val="0"/>
          <w:szCs w:val="21"/>
        </w:rPr>
        <w:t>香港常春藤商学院陕西教学点</w:t>
      </w:r>
      <w:r>
        <w:rPr>
          <w:rFonts w:ascii="宋体" w:hAnsi="宋体" w:cs="宋体"/>
          <w:bCs/>
          <w:color w:val="000000"/>
          <w:kern w:val="0"/>
          <w:szCs w:val="21"/>
        </w:rPr>
        <w:t>“实战型财务总监</w:t>
      </w:r>
      <w:r>
        <w:rPr>
          <w:rFonts w:hint="eastAsia" w:ascii="宋体" w:hAnsi="宋体" w:cs="宋体"/>
          <w:bCs/>
          <w:color w:val="000000"/>
          <w:kern w:val="0"/>
          <w:szCs w:val="21"/>
        </w:rPr>
        <w:t>研修班</w:t>
      </w:r>
      <w:r>
        <w:rPr>
          <w:rFonts w:ascii="宋体" w:hAnsi="宋体" w:cs="宋体"/>
          <w:bCs/>
          <w:color w:val="000000"/>
          <w:kern w:val="0"/>
          <w:szCs w:val="21"/>
        </w:rPr>
        <w:t>”，邀请金融、财务领域一流的专家、教授，和国</w:t>
      </w:r>
      <w:r>
        <w:rPr>
          <w:rFonts w:hint="eastAsia" w:ascii="宋体" w:hAnsi="宋体" w:cs="宋体"/>
          <w:bCs/>
          <w:color w:val="000000"/>
          <w:kern w:val="0"/>
          <w:szCs w:val="21"/>
        </w:rPr>
        <w:t>内</w:t>
      </w:r>
      <w:r>
        <w:rPr>
          <w:rFonts w:ascii="宋体" w:hAnsi="宋体" w:cs="宋体"/>
          <w:bCs/>
          <w:color w:val="000000"/>
          <w:kern w:val="0"/>
          <w:szCs w:val="21"/>
        </w:rPr>
        <w:t>知名企业的财务总监与你分享最实用的财务实践，迅速掌握切实可行的方法和技能，全面提升学员解决问题的能力</w:t>
      </w:r>
      <w:r>
        <w:rPr>
          <w:rFonts w:ascii="ˎ̥" w:hAnsi="ˎ̥" w:cs="宋体"/>
          <w:bCs/>
          <w:color w:val="000000"/>
          <w:kern w:val="0"/>
          <w:szCs w:val="21"/>
        </w:rPr>
        <w:t>。</w:t>
      </w:r>
    </w:p>
    <w:tbl>
      <w:tblPr>
        <w:tblStyle w:val="4"/>
        <w:tblW w:w="8933" w:type="dxa"/>
        <w:tblCellSpacing w:w="15" w:type="dxa"/>
        <w:tblInd w:w="-130" w:type="dxa"/>
        <w:tblLayout w:type="fixed"/>
        <w:tblCellMar>
          <w:top w:w="15" w:type="dxa"/>
          <w:left w:w="15" w:type="dxa"/>
          <w:bottom w:w="15" w:type="dxa"/>
          <w:right w:w="15" w:type="dxa"/>
        </w:tblCellMar>
      </w:tblPr>
      <w:tblGrid>
        <w:gridCol w:w="94"/>
        <w:gridCol w:w="8795"/>
        <w:gridCol w:w="44"/>
      </w:tblGrid>
      <w:tr>
        <w:tblPrEx>
          <w:tblLayout w:type="fixed"/>
          <w:tblCellMar>
            <w:top w:w="15" w:type="dxa"/>
            <w:left w:w="15" w:type="dxa"/>
            <w:bottom w:w="15" w:type="dxa"/>
            <w:right w:w="15" w:type="dxa"/>
          </w:tblCellMar>
        </w:tblPrEx>
        <w:trPr>
          <w:gridBefore w:val="1"/>
          <w:wBefore w:w="94" w:type="dxa"/>
          <w:trHeight w:val="5561" w:hRule="atLeast"/>
          <w:tblCellSpacing w:w="15" w:type="dxa"/>
        </w:trPr>
        <w:tc>
          <w:tcPr>
            <w:tcW w:w="8779" w:type="dxa"/>
            <w:gridSpan w:val="2"/>
            <w:vAlign w:val="center"/>
          </w:tcPr>
          <w:p>
            <w:pPr>
              <w:widowControl/>
              <w:spacing w:line="360" w:lineRule="auto"/>
              <w:jc w:val="left"/>
              <w:rPr>
                <w:rFonts w:ascii="宋体" w:hAnsi="宋体" w:cs="宋体"/>
                <w:b/>
                <w:bCs/>
                <w:color w:val="000000"/>
                <w:kern w:val="0"/>
                <w:sz w:val="24"/>
                <w:shd w:val="pct10" w:color="auto" w:fill="FFFFFF"/>
              </w:rPr>
            </w:pPr>
            <w:r>
              <w:rPr>
                <w:rFonts w:ascii="宋体" w:hAnsi="宋体" w:cs="宋体"/>
                <w:b/>
                <w:bCs/>
                <w:color w:val="000000"/>
                <w:kern w:val="0"/>
                <w:sz w:val="24"/>
                <w:shd w:val="pct10" w:color="auto" w:fill="FFFFFF"/>
              </w:rPr>
              <w:t>【课程特色及增值服务】</w:t>
            </w:r>
            <w:r>
              <w:rPr>
                <w:rFonts w:hint="eastAsia" w:ascii="宋体" w:hAnsi="宋体" w:cs="宋体"/>
                <w:b/>
                <w:bCs/>
                <w:color w:val="000000"/>
                <w:kern w:val="0"/>
                <w:sz w:val="24"/>
                <w:shd w:val="pct10" w:color="auto" w:fill="FFFFFF"/>
              </w:rPr>
              <w:t xml:space="preserve">                                                           </w:t>
            </w:r>
          </w:p>
          <w:p>
            <w:pPr>
              <w:widowControl/>
              <w:spacing w:line="360" w:lineRule="auto"/>
              <w:jc w:val="left"/>
              <w:rPr>
                <w:rFonts w:ascii="宋体" w:hAnsi="宋体" w:cs="宋体"/>
                <w:kern w:val="0"/>
                <w:szCs w:val="21"/>
              </w:rPr>
            </w:pPr>
            <w:r>
              <w:rPr>
                <w:rFonts w:ascii="宋体" w:hAnsi="宋体" w:cs="宋体"/>
                <w:kern w:val="0"/>
                <w:szCs w:val="21"/>
              </w:rPr>
              <w:t>1． 特设课程，精心设计：本班专为企业CFO及分管财务的高管</w:t>
            </w:r>
            <w:r>
              <w:rPr>
                <w:rFonts w:hint="eastAsia" w:ascii="宋体" w:hAnsi="宋体" w:cs="宋体"/>
                <w:kern w:val="0"/>
                <w:szCs w:val="21"/>
              </w:rPr>
              <w:t>及财务从业人员</w:t>
            </w:r>
            <w:r>
              <w:rPr>
                <w:rFonts w:ascii="宋体" w:hAnsi="宋体" w:cs="宋体"/>
                <w:kern w:val="0"/>
                <w:szCs w:val="21"/>
              </w:rPr>
              <w:t>所设计，课程分战略财务管理、财务管理实务、资本战略与CFO专题等，极具前瞻性、实战型、系统性和针对性。</w:t>
            </w:r>
          </w:p>
          <w:p>
            <w:pPr>
              <w:widowControl/>
              <w:spacing w:line="360" w:lineRule="auto"/>
              <w:jc w:val="left"/>
              <w:rPr>
                <w:rFonts w:ascii="宋体" w:hAnsi="宋体" w:cs="宋体"/>
                <w:kern w:val="0"/>
                <w:szCs w:val="21"/>
              </w:rPr>
            </w:pPr>
            <w:r>
              <w:rPr>
                <w:rFonts w:ascii="宋体" w:hAnsi="宋体" w:cs="宋体"/>
                <w:kern w:val="0"/>
                <w:szCs w:val="21"/>
              </w:rPr>
              <w:t>2． 雄厚师资，久经战阵：本课程有着强大的师资阵容，</w:t>
            </w:r>
            <w:r>
              <w:rPr>
                <w:rFonts w:hint="eastAsia" w:ascii="宋体" w:hAnsi="宋体" w:cs="宋体"/>
                <w:kern w:val="0"/>
                <w:szCs w:val="21"/>
              </w:rPr>
              <w:t>既有来自高校和科研机构拥有广博理论知识的专家教授</w:t>
            </w:r>
            <w:r>
              <w:rPr>
                <w:rFonts w:ascii="宋体" w:hAnsi="宋体" w:cs="宋体"/>
                <w:kern w:val="0"/>
                <w:szCs w:val="21"/>
              </w:rPr>
              <w:t xml:space="preserve"> (学院派)</w:t>
            </w:r>
            <w:r>
              <w:rPr>
                <w:rFonts w:hint="eastAsia" w:ascii="宋体" w:hAnsi="宋体" w:cs="宋体"/>
                <w:kern w:val="0"/>
                <w:szCs w:val="21"/>
              </w:rPr>
              <w:t xml:space="preserve"> ，</w:t>
            </w:r>
            <w:r>
              <w:rPr>
                <w:rFonts w:ascii="宋体" w:hAnsi="宋体" w:cs="宋体"/>
                <w:kern w:val="0"/>
                <w:szCs w:val="21"/>
              </w:rPr>
              <w:t>又有知名企业</w:t>
            </w:r>
            <w:r>
              <w:rPr>
                <w:rFonts w:hint="eastAsia" w:ascii="宋体" w:hAnsi="宋体" w:cs="宋体"/>
                <w:kern w:val="0"/>
                <w:szCs w:val="21"/>
              </w:rPr>
              <w:t>、具有实践经验的高层财务人员</w:t>
            </w:r>
            <w:r>
              <w:rPr>
                <w:rFonts w:ascii="宋体" w:hAnsi="宋体" w:cs="宋体"/>
                <w:kern w:val="0"/>
                <w:szCs w:val="21"/>
              </w:rPr>
              <w:t xml:space="preserve"> (实战派)</w:t>
            </w:r>
            <w:r>
              <w:rPr>
                <w:rFonts w:hint="eastAsia" w:ascii="宋体" w:hAnsi="宋体" w:cs="宋体"/>
                <w:kern w:val="0"/>
                <w:szCs w:val="21"/>
              </w:rPr>
              <w:t xml:space="preserve"> 。</w:t>
            </w:r>
            <w:r>
              <w:rPr>
                <w:rFonts w:ascii="宋体" w:hAnsi="宋体" w:cs="宋体"/>
                <w:kern w:val="0"/>
                <w:szCs w:val="21"/>
              </w:rPr>
              <w:t>这些老师增均经历了长期授课的历练和学员评估的检验。</w:t>
            </w:r>
          </w:p>
          <w:p>
            <w:pPr>
              <w:widowControl/>
              <w:spacing w:line="360" w:lineRule="auto"/>
              <w:jc w:val="left"/>
              <w:rPr>
                <w:rFonts w:ascii="宋体" w:hAnsi="宋体" w:cs="宋体"/>
                <w:kern w:val="0"/>
                <w:szCs w:val="21"/>
              </w:rPr>
            </w:pPr>
            <w:r>
              <w:rPr>
                <w:rFonts w:ascii="宋体" w:hAnsi="宋体" w:cs="宋体"/>
                <w:kern w:val="0"/>
                <w:szCs w:val="21"/>
              </w:rPr>
              <w:t>3． 专业服务，人本管理：本班安排</w:t>
            </w:r>
            <w:r>
              <w:rPr>
                <w:rFonts w:hint="eastAsia" w:ascii="宋体" w:hAnsi="宋体" w:cs="宋体"/>
                <w:kern w:val="0"/>
                <w:szCs w:val="21"/>
              </w:rPr>
              <w:t>优秀老师带班</w:t>
            </w:r>
            <w:r>
              <w:rPr>
                <w:rFonts w:ascii="宋体" w:hAnsi="宋体" w:cs="宋体"/>
                <w:kern w:val="0"/>
                <w:szCs w:val="21"/>
              </w:rPr>
              <w:t>，为学员的学习、生活提供全程的专业服务和人性化管理，及时反映学员需求，不断更新课程，优化师资。缺课的学员可以随时向班主任申请安排补课，已结业的学员可以终身免费参加本班后续各期新增的课程。</w:t>
            </w:r>
          </w:p>
          <w:p>
            <w:pPr>
              <w:widowControl/>
              <w:spacing w:line="360" w:lineRule="auto"/>
              <w:jc w:val="left"/>
              <w:rPr>
                <w:rFonts w:ascii="宋体" w:hAnsi="宋体" w:cs="宋体"/>
                <w:kern w:val="0"/>
                <w:szCs w:val="21"/>
              </w:rPr>
            </w:pPr>
            <w:r>
              <w:rPr>
                <w:rFonts w:ascii="宋体" w:hAnsi="宋体" w:cs="宋体"/>
                <w:kern w:val="0"/>
                <w:szCs w:val="21"/>
              </w:rPr>
              <w:t>4． 轻松交流，快乐学习：在课程学习期间班主任和班委将会定期组织班级联谊、专题讲座、文化沙龙、体育养生</w:t>
            </w:r>
            <w:r>
              <w:rPr>
                <w:rFonts w:hint="eastAsia" w:ascii="宋体" w:hAnsi="宋体" w:cs="宋体"/>
                <w:kern w:val="0"/>
                <w:szCs w:val="21"/>
              </w:rPr>
              <w:t>、互动交流</w:t>
            </w:r>
            <w:r>
              <w:rPr>
                <w:rFonts w:ascii="宋体" w:hAnsi="宋体" w:cs="宋体"/>
                <w:kern w:val="0"/>
                <w:szCs w:val="21"/>
              </w:rPr>
              <w:t>等活动，让学员的学习过程充溢着轻松、愉快的气氛和独特的文化气息。</w:t>
            </w:r>
          </w:p>
          <w:p>
            <w:pPr>
              <w:widowControl/>
              <w:spacing w:line="360" w:lineRule="auto"/>
              <w:jc w:val="left"/>
              <w:rPr>
                <w:rFonts w:ascii="宋体" w:hAnsi="宋体" w:cs="宋体"/>
                <w:kern w:val="0"/>
                <w:szCs w:val="21"/>
              </w:rPr>
            </w:pPr>
            <w:r>
              <w:rPr>
                <w:rFonts w:ascii="宋体" w:hAnsi="宋体" w:cs="宋体"/>
                <w:kern w:val="0"/>
                <w:szCs w:val="21"/>
              </w:rPr>
              <w:t>5． 群英荟萃，广聚人脉：本班学员为来自各行各业的财务和金融精英，这样的同学资源将会为您开拓视野，为您的事业发展搭建广阔的舞台。学员结业后，将成为同学会成员，长期享受同学会持续拓展的人脉资源及相关服务。</w:t>
            </w:r>
          </w:p>
          <w:p>
            <w:pPr>
              <w:widowControl/>
              <w:spacing w:before="156" w:beforeLines="50" w:line="360" w:lineRule="auto"/>
              <w:jc w:val="left"/>
              <w:rPr>
                <w:rFonts w:ascii="宋体" w:hAnsi="宋体" w:cs="宋体"/>
                <w:kern w:val="0"/>
                <w:szCs w:val="21"/>
              </w:rPr>
            </w:pPr>
            <w:r>
              <w:rPr>
                <w:rFonts w:ascii="宋体" w:hAnsi="宋体" w:cs="宋体"/>
                <w:b/>
                <w:bCs/>
                <w:color w:val="000000"/>
                <w:kern w:val="0"/>
                <w:sz w:val="24"/>
                <w:shd w:val="pct10" w:color="auto" w:fill="FFFFFF"/>
              </w:rPr>
              <w:t>【</w:t>
            </w:r>
            <w:r>
              <w:rPr>
                <w:rFonts w:hint="eastAsia" w:ascii="宋体" w:hAnsi="宋体" w:cs="宋体"/>
                <w:b/>
                <w:bCs/>
                <w:color w:val="000000"/>
                <w:kern w:val="0"/>
                <w:sz w:val="24"/>
                <w:shd w:val="pct10" w:color="auto" w:fill="FFFFFF"/>
              </w:rPr>
              <w:t>招生对象</w:t>
            </w:r>
            <w:r>
              <w:rPr>
                <w:rFonts w:ascii="宋体" w:hAnsi="宋体" w:cs="宋体"/>
                <w:b/>
                <w:bCs/>
                <w:color w:val="000000"/>
                <w:kern w:val="0"/>
                <w:sz w:val="24"/>
                <w:shd w:val="pct10" w:color="auto" w:fill="FFFFFF"/>
              </w:rPr>
              <w:t>】</w:t>
            </w:r>
            <w:r>
              <w:rPr>
                <w:rFonts w:hint="eastAsia" w:ascii="宋体" w:hAnsi="宋体" w:cs="宋体"/>
                <w:b/>
                <w:bCs/>
                <w:color w:val="000000"/>
                <w:kern w:val="0"/>
                <w:sz w:val="24"/>
                <w:shd w:val="pct10" w:color="auto" w:fill="FFFFFF"/>
              </w:rPr>
              <w:t xml:space="preserve">                                                                   </w:t>
            </w:r>
            <w:r>
              <w:rPr>
                <w:rFonts w:ascii="宋体" w:hAnsi="宋体" w:cs="宋体"/>
                <w:kern w:val="0"/>
                <w:szCs w:val="21"/>
              </w:rPr>
              <w:t>1、企业财务总监、财务经理、总会计师、注册会计师等企业的高层管理人员</w:t>
            </w:r>
            <w:r>
              <w:rPr>
                <w:rFonts w:hint="eastAsia" w:ascii="宋体" w:hAnsi="宋体" w:cs="宋体"/>
                <w:kern w:val="0"/>
                <w:szCs w:val="21"/>
              </w:rPr>
              <w:t>及从业人员</w:t>
            </w:r>
            <w:r>
              <w:rPr>
                <w:rFonts w:ascii="宋体" w:hAnsi="宋体" w:cs="宋体"/>
                <w:kern w:val="0"/>
                <w:szCs w:val="21"/>
              </w:rPr>
              <w:br w:type="textWrapping"/>
            </w:r>
            <w:r>
              <w:rPr>
                <w:rFonts w:ascii="宋体" w:hAnsi="宋体" w:cs="宋体"/>
                <w:kern w:val="0"/>
                <w:szCs w:val="21"/>
              </w:rPr>
              <w:t>2、政府机关和事业单位财务主管</w:t>
            </w:r>
            <w:r>
              <w:rPr>
                <w:rFonts w:ascii="宋体" w:hAnsi="宋体" w:cs="宋体"/>
                <w:kern w:val="0"/>
                <w:szCs w:val="21"/>
              </w:rPr>
              <w:br w:type="textWrapping"/>
            </w:r>
            <w:r>
              <w:rPr>
                <w:rFonts w:ascii="宋体" w:hAnsi="宋体" w:cs="宋体"/>
                <w:kern w:val="0"/>
                <w:szCs w:val="21"/>
              </w:rPr>
              <w:t>3、会计师事务所、金融、证券、投资等行业高级管理人员和专业人员</w:t>
            </w:r>
          </w:p>
          <w:p>
            <w:pPr>
              <w:widowControl/>
              <w:spacing w:line="360" w:lineRule="auto"/>
              <w:jc w:val="left"/>
              <w:rPr>
                <w:rFonts w:ascii="宋体" w:hAnsi="宋体" w:cs="宋体"/>
                <w:b/>
                <w:bCs/>
                <w:color w:val="000000"/>
                <w:kern w:val="0"/>
                <w:sz w:val="24"/>
                <w:shd w:val="pct10" w:color="auto" w:fill="FFFFFF"/>
              </w:rPr>
            </w:pPr>
            <w:r>
              <w:rPr>
                <w:rFonts w:ascii="宋体" w:hAnsi="宋体" w:cs="宋体"/>
                <w:b/>
                <w:bCs/>
                <w:color w:val="000000"/>
                <w:kern w:val="0"/>
                <w:sz w:val="24"/>
                <w:shd w:val="pct10" w:color="auto" w:fill="FFFFFF"/>
              </w:rPr>
              <w:t>【</w:t>
            </w:r>
            <w:r>
              <w:rPr>
                <w:rFonts w:hint="eastAsia" w:ascii="宋体" w:hAnsi="宋体" w:cs="宋体"/>
                <w:b/>
                <w:bCs/>
                <w:color w:val="000000"/>
                <w:kern w:val="0"/>
                <w:sz w:val="24"/>
                <w:shd w:val="pct10" w:color="auto" w:fill="FFFFFF"/>
              </w:rPr>
              <w:t>课程设置</w:t>
            </w:r>
            <w:r>
              <w:rPr>
                <w:rFonts w:ascii="宋体" w:hAnsi="宋体" w:cs="宋体"/>
                <w:b/>
                <w:bCs/>
                <w:color w:val="000000"/>
                <w:kern w:val="0"/>
                <w:sz w:val="24"/>
                <w:shd w:val="pct10" w:color="auto" w:fill="FFFFFF"/>
              </w:rPr>
              <w:t>】</w:t>
            </w:r>
            <w:r>
              <w:rPr>
                <w:rFonts w:hint="eastAsia" w:ascii="宋体" w:hAnsi="宋体" w:cs="宋体"/>
                <w:b/>
                <w:bCs/>
                <w:color w:val="000000"/>
                <w:kern w:val="0"/>
                <w:sz w:val="24"/>
                <w:shd w:val="pct10" w:color="auto" w:fill="FFFFFF"/>
              </w:rPr>
              <w:t xml:space="preserve">                                                                    </w:t>
            </w:r>
          </w:p>
          <w:tbl>
            <w:tblPr>
              <w:tblStyle w:val="4"/>
              <w:tblW w:w="8683"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311"/>
              <w:gridCol w:w="43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blCellSpacing w:w="15" w:type="dxa"/>
              </w:trPr>
              <w:tc>
                <w:tcPr>
                  <w:tcW w:w="8623" w:type="dxa"/>
                  <w:gridSpan w:val="2"/>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b/>
                      <w:kern w:val="0"/>
                      <w:szCs w:val="21"/>
                    </w:rPr>
                  </w:pPr>
                  <w:r>
                    <w:rPr>
                      <w:rFonts w:ascii="宋体" w:hAnsi="宋体" w:cs="宋体"/>
                      <w:b/>
                      <w:kern w:val="0"/>
                      <w:szCs w:val="21"/>
                    </w:rPr>
                    <w:t>财务战略模块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21" w:hRule="atLeast"/>
                <w:tblCellSpacing w:w="15" w:type="dxa"/>
              </w:trPr>
              <w:tc>
                <w:tcPr>
                  <w:tcW w:w="4266"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210" w:firstLineChars="100"/>
                    <w:jc w:val="left"/>
                    <w:rPr>
                      <w:rFonts w:ascii="宋体" w:hAnsi="宋体" w:cs="宋体"/>
                      <w:kern w:val="0"/>
                      <w:szCs w:val="21"/>
                    </w:rPr>
                  </w:pPr>
                  <w:r>
                    <w:rPr>
                      <w:rFonts w:ascii="宋体" w:hAnsi="宋体" w:cs="宋体"/>
                      <w:kern w:val="0"/>
                      <w:szCs w:val="21"/>
                    </w:rPr>
                    <w:t>新金融时代企业发展与战略财务管理</w:t>
                  </w:r>
                </w:p>
              </w:tc>
              <w:tc>
                <w:tcPr>
                  <w:tcW w:w="4327"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210" w:firstLineChars="100"/>
                    <w:jc w:val="left"/>
                    <w:rPr>
                      <w:rFonts w:ascii="宋体" w:hAnsi="宋体" w:cs="宋体"/>
                      <w:kern w:val="0"/>
                      <w:szCs w:val="21"/>
                    </w:rPr>
                  </w:pPr>
                  <w:r>
                    <w:rPr>
                      <w:rFonts w:ascii="宋体" w:hAnsi="宋体" w:cs="宋体"/>
                      <w:kern w:val="0"/>
                      <w:szCs w:val="21"/>
                    </w:rPr>
                    <w:t>全面预算管理与业绩考核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895" w:hRule="atLeast"/>
                <w:tblCellSpacing w:w="15" w:type="dxa"/>
              </w:trPr>
              <w:tc>
                <w:tcPr>
                  <w:tcW w:w="426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Cs w:val="21"/>
                    </w:rPr>
                  </w:pPr>
                  <w:r>
                    <w:rPr>
                      <w:rFonts w:ascii="宋体" w:hAnsi="宋体" w:cs="宋体"/>
                      <w:kern w:val="0"/>
                      <w:szCs w:val="21"/>
                    </w:rPr>
                    <w:t>◆ 多层次资本市场及对其企业发展的影响</w:t>
                  </w:r>
                </w:p>
                <w:p>
                  <w:pPr>
                    <w:widowControl/>
                    <w:spacing w:line="360" w:lineRule="auto"/>
                    <w:jc w:val="left"/>
                    <w:rPr>
                      <w:rFonts w:ascii="宋体" w:hAnsi="宋体" w:cs="宋体"/>
                      <w:kern w:val="0"/>
                      <w:szCs w:val="21"/>
                    </w:rPr>
                  </w:pPr>
                  <w:r>
                    <w:rPr>
                      <w:rFonts w:ascii="宋体" w:hAnsi="宋体" w:cs="宋体"/>
                      <w:kern w:val="0"/>
                      <w:szCs w:val="21"/>
                    </w:rPr>
                    <w:t>◆ 以财务业绩为导向的管理架构</w:t>
                  </w:r>
                </w:p>
                <w:p>
                  <w:pPr>
                    <w:widowControl/>
                    <w:spacing w:line="360" w:lineRule="auto"/>
                    <w:jc w:val="left"/>
                    <w:rPr>
                      <w:rFonts w:ascii="宋体" w:hAnsi="宋体" w:cs="宋体"/>
                      <w:kern w:val="0"/>
                      <w:szCs w:val="21"/>
                    </w:rPr>
                  </w:pPr>
                  <w:r>
                    <w:rPr>
                      <w:rFonts w:ascii="宋体" w:hAnsi="宋体" w:cs="宋体"/>
                      <w:kern w:val="0"/>
                      <w:szCs w:val="21"/>
                    </w:rPr>
                    <w:t>◆ 优化企业资本结构/创造企业价值</w:t>
                  </w:r>
                </w:p>
                <w:p>
                  <w:pPr>
                    <w:widowControl/>
                    <w:spacing w:line="360" w:lineRule="auto"/>
                    <w:jc w:val="left"/>
                    <w:rPr>
                      <w:rFonts w:ascii="宋体" w:hAnsi="宋体" w:cs="宋体"/>
                      <w:kern w:val="0"/>
                      <w:szCs w:val="21"/>
                    </w:rPr>
                  </w:pPr>
                  <w:r>
                    <w:rPr>
                      <w:rFonts w:ascii="宋体" w:hAnsi="宋体" w:cs="宋体"/>
                      <w:kern w:val="0"/>
                      <w:szCs w:val="21"/>
                    </w:rPr>
                    <w:t>◆ 企业财务执行力</w:t>
                  </w:r>
                </w:p>
                <w:p>
                  <w:pPr>
                    <w:widowControl/>
                    <w:spacing w:line="360" w:lineRule="auto"/>
                    <w:jc w:val="left"/>
                    <w:rPr>
                      <w:rFonts w:ascii="宋体" w:hAnsi="宋体" w:cs="宋体"/>
                      <w:kern w:val="0"/>
                      <w:szCs w:val="21"/>
                    </w:rPr>
                  </w:pPr>
                  <w:r>
                    <w:rPr>
                      <w:rFonts w:ascii="宋体" w:hAnsi="宋体" w:cs="宋体"/>
                      <w:kern w:val="0"/>
                      <w:szCs w:val="21"/>
                    </w:rPr>
                    <w:t>◆ 资源配置、投资决策及风险控制 </w:t>
                  </w:r>
                </w:p>
                <w:p>
                  <w:pPr>
                    <w:widowControl/>
                    <w:spacing w:line="360" w:lineRule="auto"/>
                    <w:jc w:val="left"/>
                    <w:rPr>
                      <w:rFonts w:ascii="宋体" w:hAnsi="宋体" w:cs="宋体"/>
                      <w:kern w:val="0"/>
                      <w:szCs w:val="21"/>
                    </w:rPr>
                  </w:pPr>
                  <w:r>
                    <w:rPr>
                      <w:rFonts w:ascii="宋体" w:hAnsi="宋体" w:cs="宋体"/>
                      <w:kern w:val="0"/>
                      <w:szCs w:val="21"/>
                    </w:rPr>
                    <w:t>◆ 财务预警监控体系的构建</w:t>
                  </w:r>
                </w:p>
              </w:tc>
              <w:tc>
                <w:tcPr>
                  <w:tcW w:w="4327"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kern w:val="0"/>
                      <w:szCs w:val="21"/>
                    </w:rPr>
                  </w:pPr>
                  <w:r>
                    <w:rPr>
                      <w:rFonts w:ascii="宋体" w:hAnsi="宋体" w:cs="宋体"/>
                      <w:kern w:val="0"/>
                      <w:szCs w:val="21"/>
                    </w:rPr>
                    <w:t>◆ 预算在企业运营中的重新定位</w:t>
                  </w:r>
                </w:p>
                <w:p>
                  <w:pPr>
                    <w:widowControl/>
                    <w:spacing w:line="360" w:lineRule="auto"/>
                    <w:jc w:val="left"/>
                    <w:rPr>
                      <w:rFonts w:ascii="宋体" w:hAnsi="宋体" w:cs="宋体"/>
                      <w:kern w:val="0"/>
                      <w:szCs w:val="21"/>
                    </w:rPr>
                  </w:pPr>
                  <w:r>
                    <w:rPr>
                      <w:rFonts w:ascii="宋体" w:hAnsi="宋体" w:cs="宋体"/>
                      <w:kern w:val="0"/>
                      <w:szCs w:val="21"/>
                    </w:rPr>
                    <w:t>◆ 预算的常见误区分析</w:t>
                  </w:r>
                </w:p>
                <w:p>
                  <w:pPr>
                    <w:widowControl/>
                    <w:spacing w:line="360" w:lineRule="auto"/>
                    <w:jc w:val="left"/>
                    <w:rPr>
                      <w:rFonts w:ascii="宋体" w:hAnsi="宋体" w:cs="宋体"/>
                      <w:kern w:val="0"/>
                      <w:szCs w:val="21"/>
                    </w:rPr>
                  </w:pPr>
                  <w:r>
                    <w:rPr>
                      <w:rFonts w:ascii="宋体" w:hAnsi="宋体" w:cs="宋体"/>
                      <w:kern w:val="0"/>
                      <w:szCs w:val="21"/>
                    </w:rPr>
                    <w:t>◆ 编制预算的有效工具</w:t>
                  </w:r>
                </w:p>
                <w:p>
                  <w:pPr>
                    <w:widowControl/>
                    <w:spacing w:line="360" w:lineRule="auto"/>
                    <w:jc w:val="left"/>
                    <w:rPr>
                      <w:rFonts w:ascii="宋体" w:hAnsi="宋体" w:cs="宋体"/>
                      <w:kern w:val="0"/>
                      <w:szCs w:val="21"/>
                    </w:rPr>
                  </w:pPr>
                  <w:r>
                    <w:rPr>
                      <w:rFonts w:ascii="宋体" w:hAnsi="宋体" w:cs="宋体"/>
                      <w:kern w:val="0"/>
                      <w:szCs w:val="21"/>
                    </w:rPr>
                    <w:t>◆ 预算的执行系统</w:t>
                  </w:r>
                </w:p>
                <w:p>
                  <w:pPr>
                    <w:widowControl/>
                    <w:spacing w:line="360" w:lineRule="auto"/>
                    <w:jc w:val="left"/>
                    <w:rPr>
                      <w:rFonts w:ascii="宋体" w:hAnsi="宋体" w:cs="宋体"/>
                      <w:kern w:val="0"/>
                      <w:szCs w:val="21"/>
                    </w:rPr>
                  </w:pPr>
                  <w:r>
                    <w:rPr>
                      <w:rFonts w:ascii="宋体" w:hAnsi="宋体" w:cs="宋体"/>
                      <w:kern w:val="0"/>
                      <w:szCs w:val="21"/>
                    </w:rPr>
                    <w:t>◆ 预算的执行与控制</w:t>
                  </w:r>
                </w:p>
                <w:p>
                  <w:pPr>
                    <w:widowControl/>
                    <w:spacing w:line="360" w:lineRule="auto"/>
                    <w:jc w:val="left"/>
                    <w:rPr>
                      <w:rFonts w:ascii="宋体" w:hAnsi="宋体" w:cs="宋体"/>
                      <w:kern w:val="0"/>
                      <w:szCs w:val="21"/>
                    </w:rPr>
                  </w:pPr>
                  <w:r>
                    <w:rPr>
                      <w:rFonts w:ascii="宋体" w:hAnsi="宋体" w:cs="宋体"/>
                      <w:kern w:val="0"/>
                      <w:szCs w:val="21"/>
                    </w:rPr>
                    <w:t>◆ 预算与绩效考核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21" w:hRule="atLeast"/>
                <w:tblCellSpacing w:w="15" w:type="dxa"/>
              </w:trPr>
              <w:tc>
                <w:tcPr>
                  <w:tcW w:w="8623" w:type="dxa"/>
                  <w:gridSpan w:val="2"/>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b/>
                      <w:kern w:val="0"/>
                      <w:szCs w:val="21"/>
                    </w:rPr>
                  </w:pPr>
                  <w:r>
                    <w:rPr>
                      <w:rFonts w:ascii="宋体" w:hAnsi="宋体" w:cs="宋体"/>
                      <w:b/>
                      <w:kern w:val="0"/>
                      <w:szCs w:val="21"/>
                    </w:rPr>
                    <w:t>财务管理实务模块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21" w:hRule="atLeast"/>
                <w:tblCellSpacing w:w="15" w:type="dxa"/>
              </w:trPr>
              <w:tc>
                <w:tcPr>
                  <w:tcW w:w="4266"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211" w:firstLineChars="100"/>
                    <w:jc w:val="left"/>
                    <w:rPr>
                      <w:rFonts w:ascii="宋体" w:hAnsi="宋体" w:cs="宋体"/>
                      <w:b/>
                      <w:kern w:val="0"/>
                      <w:szCs w:val="21"/>
                    </w:rPr>
                  </w:pPr>
                  <w:r>
                    <w:rPr>
                      <w:rFonts w:ascii="宋体" w:hAnsi="宋体" w:cs="宋体"/>
                      <w:b/>
                      <w:kern w:val="0"/>
                      <w:szCs w:val="21"/>
                    </w:rPr>
                    <w:t>财务报表分析与企业价值管理</w:t>
                  </w:r>
                </w:p>
              </w:tc>
              <w:tc>
                <w:tcPr>
                  <w:tcW w:w="4327"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211" w:firstLineChars="100"/>
                    <w:jc w:val="left"/>
                    <w:rPr>
                      <w:rFonts w:ascii="宋体" w:hAnsi="宋体" w:cs="宋体"/>
                      <w:b/>
                      <w:kern w:val="0"/>
                      <w:szCs w:val="21"/>
                    </w:rPr>
                  </w:pPr>
                  <w:r>
                    <w:rPr>
                      <w:rFonts w:ascii="宋体" w:hAnsi="宋体" w:cs="宋体"/>
                      <w:b/>
                      <w:kern w:val="0"/>
                      <w:szCs w:val="21"/>
                    </w:rPr>
                    <w:t>新会计准则</w:t>
                  </w:r>
                  <w:r>
                    <w:rPr>
                      <w:rFonts w:hint="eastAsia" w:ascii="宋体" w:hAnsi="宋体" w:cs="宋体"/>
                      <w:b/>
                      <w:kern w:val="0"/>
                      <w:szCs w:val="21"/>
                    </w:rPr>
                    <w:t>运用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31" w:hRule="atLeast"/>
                <w:tblCellSpacing w:w="15" w:type="dxa"/>
              </w:trPr>
              <w:tc>
                <w:tcPr>
                  <w:tcW w:w="426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Cs w:val="21"/>
                    </w:rPr>
                  </w:pPr>
                  <w:r>
                    <w:rPr>
                      <w:rFonts w:ascii="宋体" w:hAnsi="宋体" w:cs="宋体"/>
                      <w:kern w:val="0"/>
                      <w:szCs w:val="21"/>
                    </w:rPr>
                    <w:t>◆ 财务报表结构与经营绩效解析</w:t>
                  </w:r>
                </w:p>
                <w:p>
                  <w:pPr>
                    <w:widowControl/>
                    <w:spacing w:line="360" w:lineRule="auto"/>
                    <w:jc w:val="left"/>
                    <w:rPr>
                      <w:rFonts w:ascii="宋体" w:hAnsi="宋体" w:cs="宋体"/>
                      <w:kern w:val="0"/>
                      <w:szCs w:val="21"/>
                    </w:rPr>
                  </w:pPr>
                  <w:r>
                    <w:rPr>
                      <w:rFonts w:ascii="宋体" w:hAnsi="宋体" w:cs="宋体"/>
                      <w:kern w:val="0"/>
                      <w:szCs w:val="21"/>
                    </w:rPr>
                    <w:t>◆ 财务报表解读与企业财务质量分析</w:t>
                  </w:r>
                </w:p>
                <w:p>
                  <w:pPr>
                    <w:widowControl/>
                    <w:spacing w:line="360" w:lineRule="auto"/>
                    <w:jc w:val="left"/>
                    <w:rPr>
                      <w:rFonts w:ascii="宋体" w:hAnsi="宋体" w:cs="宋体"/>
                      <w:kern w:val="0"/>
                      <w:szCs w:val="21"/>
                    </w:rPr>
                  </w:pPr>
                  <w:r>
                    <w:rPr>
                      <w:rFonts w:ascii="宋体" w:hAnsi="宋体" w:cs="宋体"/>
                      <w:kern w:val="0"/>
                      <w:szCs w:val="21"/>
                    </w:rPr>
                    <w:t>◆ 合并报表分析</w:t>
                  </w:r>
                </w:p>
                <w:p>
                  <w:pPr>
                    <w:widowControl/>
                    <w:spacing w:line="360" w:lineRule="auto"/>
                    <w:jc w:val="left"/>
                    <w:rPr>
                      <w:rFonts w:ascii="宋体" w:hAnsi="宋体" w:cs="宋体"/>
                      <w:kern w:val="0"/>
                      <w:szCs w:val="21"/>
                    </w:rPr>
                  </w:pPr>
                  <w:r>
                    <w:rPr>
                      <w:rFonts w:ascii="宋体" w:hAnsi="宋体" w:cs="宋体"/>
                      <w:kern w:val="0"/>
                      <w:szCs w:val="21"/>
                    </w:rPr>
                    <w:t>◆ 上市财务报表分析</w:t>
                  </w:r>
                  <w:r>
                    <w:rPr>
                      <w:rFonts w:ascii="宋体" w:hAnsi="宋体" w:cs="宋体"/>
                      <w:kern w:val="0"/>
                      <w:szCs w:val="21"/>
                    </w:rPr>
                    <w:br w:type="textWrapping"/>
                  </w:r>
                  <w:r>
                    <w:rPr>
                      <w:rFonts w:ascii="宋体" w:hAnsi="宋体" w:cs="宋体"/>
                      <w:kern w:val="0"/>
                      <w:szCs w:val="21"/>
                    </w:rPr>
                    <w:t>◆ 财务陷阱的识别与风险规避</w:t>
                  </w:r>
                </w:p>
                <w:p>
                  <w:pPr>
                    <w:widowControl/>
                    <w:spacing w:line="360" w:lineRule="auto"/>
                    <w:jc w:val="left"/>
                    <w:rPr>
                      <w:rFonts w:ascii="宋体" w:hAnsi="宋体" w:cs="宋体"/>
                      <w:kern w:val="0"/>
                      <w:szCs w:val="21"/>
                    </w:rPr>
                  </w:pPr>
                  <w:r>
                    <w:rPr>
                      <w:rFonts w:ascii="宋体" w:hAnsi="宋体" w:cs="宋体"/>
                      <w:kern w:val="0"/>
                      <w:szCs w:val="21"/>
                    </w:rPr>
                    <w:t>◆ 企业价值分析与管理</w:t>
                  </w:r>
                </w:p>
                <w:p>
                  <w:pPr>
                    <w:widowControl/>
                    <w:spacing w:line="360" w:lineRule="auto"/>
                    <w:jc w:val="left"/>
                    <w:rPr>
                      <w:rFonts w:ascii="宋体" w:hAnsi="宋体" w:cs="宋体"/>
                      <w:kern w:val="0"/>
                      <w:szCs w:val="21"/>
                    </w:rPr>
                  </w:pPr>
                  <w:r>
                    <w:rPr>
                      <w:rFonts w:ascii="宋体" w:hAnsi="宋体" w:cs="宋体"/>
                      <w:kern w:val="0"/>
                      <w:szCs w:val="21"/>
                    </w:rPr>
                    <w:t>◆ 现金预算管理</w:t>
                  </w:r>
                </w:p>
              </w:tc>
              <w:tc>
                <w:tcPr>
                  <w:tcW w:w="4327"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Cs w:val="21"/>
                    </w:rPr>
                  </w:pPr>
                  <w:r>
                    <w:rPr>
                      <w:rFonts w:ascii="宋体" w:hAnsi="宋体" w:cs="宋体"/>
                      <w:kern w:val="0"/>
                      <w:szCs w:val="21"/>
                    </w:rPr>
                    <w:t>◆ 新会计准则体系基本框架</w:t>
                  </w:r>
                </w:p>
                <w:p>
                  <w:pPr>
                    <w:widowControl/>
                    <w:spacing w:line="360" w:lineRule="auto"/>
                    <w:jc w:val="left"/>
                    <w:rPr>
                      <w:rFonts w:ascii="宋体" w:hAnsi="宋体" w:cs="宋体"/>
                      <w:kern w:val="0"/>
                      <w:szCs w:val="21"/>
                    </w:rPr>
                  </w:pPr>
                  <w:r>
                    <w:rPr>
                      <w:rFonts w:ascii="宋体" w:hAnsi="宋体" w:cs="宋体"/>
                      <w:kern w:val="0"/>
                      <w:szCs w:val="21"/>
                    </w:rPr>
                    <w:t>◆ 新旧会计准则比较</w:t>
                  </w:r>
                </w:p>
                <w:p>
                  <w:pPr>
                    <w:widowControl/>
                    <w:spacing w:line="360" w:lineRule="auto"/>
                    <w:jc w:val="left"/>
                    <w:rPr>
                      <w:rFonts w:ascii="宋体" w:hAnsi="宋体" w:cs="宋体"/>
                      <w:kern w:val="0"/>
                      <w:szCs w:val="21"/>
                    </w:rPr>
                  </w:pPr>
                  <w:r>
                    <w:rPr>
                      <w:rFonts w:ascii="宋体" w:hAnsi="宋体" w:cs="宋体"/>
                      <w:kern w:val="0"/>
                      <w:szCs w:val="21"/>
                    </w:rPr>
                    <w:t>◆ 资产、负债项目准则</w:t>
                  </w:r>
                </w:p>
                <w:p>
                  <w:pPr>
                    <w:widowControl/>
                    <w:spacing w:line="360" w:lineRule="auto"/>
                    <w:jc w:val="left"/>
                    <w:rPr>
                      <w:rFonts w:ascii="宋体" w:hAnsi="宋体" w:cs="宋体"/>
                      <w:kern w:val="0"/>
                      <w:szCs w:val="21"/>
                    </w:rPr>
                  </w:pPr>
                  <w:r>
                    <w:rPr>
                      <w:rFonts w:ascii="宋体" w:hAnsi="宋体" w:cs="宋体"/>
                      <w:kern w:val="0"/>
                      <w:szCs w:val="21"/>
                    </w:rPr>
                    <w:t>◆ 收入费用准则</w:t>
                  </w:r>
                </w:p>
                <w:p>
                  <w:pPr>
                    <w:widowControl/>
                    <w:spacing w:line="360" w:lineRule="auto"/>
                    <w:jc w:val="left"/>
                    <w:rPr>
                      <w:rFonts w:ascii="宋体" w:hAnsi="宋体" w:cs="宋体"/>
                      <w:kern w:val="0"/>
                      <w:szCs w:val="21"/>
                    </w:rPr>
                  </w:pPr>
                  <w:r>
                    <w:rPr>
                      <w:rFonts w:ascii="宋体" w:hAnsi="宋体" w:cs="宋体"/>
                      <w:kern w:val="0"/>
                      <w:szCs w:val="21"/>
                    </w:rPr>
                    <w:t>◆ 长期股权投资和企业合并准则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21" w:hRule="atLeast"/>
                <w:tblCellSpacing w:w="15" w:type="dxa"/>
              </w:trPr>
              <w:tc>
                <w:tcPr>
                  <w:tcW w:w="4266" w:type="dxa"/>
                  <w:tcBorders>
                    <w:top w:val="outset" w:color="auto" w:sz="6" w:space="0"/>
                    <w:left w:val="outset" w:color="auto" w:sz="6" w:space="0"/>
                    <w:bottom w:val="outset" w:color="auto" w:sz="6" w:space="0"/>
                    <w:right w:val="outset" w:color="auto" w:sz="6" w:space="0"/>
                  </w:tcBorders>
                  <w:vAlign w:val="bottom"/>
                </w:tcPr>
                <w:p>
                  <w:pPr>
                    <w:widowControl/>
                    <w:spacing w:line="360" w:lineRule="auto"/>
                    <w:ind w:firstLine="211" w:firstLineChars="100"/>
                    <w:jc w:val="left"/>
                    <w:rPr>
                      <w:rFonts w:ascii="宋体" w:hAnsi="宋体" w:cs="宋体"/>
                      <w:b/>
                      <w:kern w:val="0"/>
                      <w:szCs w:val="21"/>
                    </w:rPr>
                  </w:pPr>
                  <w:r>
                    <w:rPr>
                      <w:rFonts w:ascii="宋体" w:hAnsi="宋体" w:cs="宋体"/>
                      <w:b/>
                      <w:kern w:val="0"/>
                      <w:szCs w:val="21"/>
                    </w:rPr>
                    <w:t>财务决策与控制 </w:t>
                  </w:r>
                </w:p>
              </w:tc>
              <w:tc>
                <w:tcPr>
                  <w:tcW w:w="4327"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211" w:firstLineChars="100"/>
                    <w:jc w:val="left"/>
                    <w:rPr>
                      <w:rFonts w:ascii="宋体" w:hAnsi="宋体" w:cs="宋体"/>
                      <w:b/>
                      <w:kern w:val="0"/>
                      <w:szCs w:val="21"/>
                    </w:rPr>
                  </w:pPr>
                  <w:r>
                    <w:rPr>
                      <w:rFonts w:hint="eastAsia" w:ascii="宋体" w:hAnsi="宋体" w:cs="宋体"/>
                      <w:b/>
                      <w:kern w:val="0"/>
                      <w:szCs w:val="21"/>
                    </w:rPr>
                    <w:t>财税风险管控与审计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31" w:hRule="atLeast"/>
                <w:tblCellSpacing w:w="15" w:type="dxa"/>
              </w:trPr>
              <w:tc>
                <w:tcPr>
                  <w:tcW w:w="4266"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 xml:space="preserve"> </w:t>
                  </w:r>
                  <w:r>
                    <w:rPr>
                      <w:rFonts w:ascii="宋体" w:hAnsi="宋体" w:cs="宋体"/>
                      <w:kern w:val="0"/>
                      <w:szCs w:val="21"/>
                    </w:rPr>
                    <w:t>战略财务规划与控制 </w:t>
                  </w:r>
                </w:p>
                <w:p>
                  <w:pPr>
                    <w:widowControl/>
                    <w:spacing w:line="360" w:lineRule="auto"/>
                    <w:jc w:val="left"/>
                    <w:rPr>
                      <w:rFonts w:ascii="宋体" w:hAnsi="宋体" w:cs="宋体"/>
                      <w:kern w:val="0"/>
                      <w:szCs w:val="21"/>
                    </w:rPr>
                  </w:pPr>
                  <w:r>
                    <w:rPr>
                      <w:rFonts w:ascii="宋体" w:hAnsi="宋体" w:cs="宋体"/>
                      <w:kern w:val="0"/>
                      <w:szCs w:val="21"/>
                    </w:rPr>
                    <w:t>◆ 价值链分析（纵向 / 横向） </w:t>
                  </w:r>
                </w:p>
                <w:p>
                  <w:pPr>
                    <w:widowControl/>
                    <w:spacing w:line="360" w:lineRule="auto"/>
                    <w:jc w:val="left"/>
                    <w:rPr>
                      <w:rFonts w:ascii="宋体" w:hAnsi="宋体" w:cs="宋体"/>
                      <w:kern w:val="0"/>
                      <w:szCs w:val="21"/>
                    </w:rPr>
                  </w:pPr>
                  <w:r>
                    <w:rPr>
                      <w:rFonts w:ascii="宋体" w:hAnsi="宋体" w:cs="宋体"/>
                      <w:kern w:val="0"/>
                      <w:szCs w:val="21"/>
                    </w:rPr>
                    <w:t>◆ 企业偿债/营运/盈利/竞争能力分析 </w:t>
                  </w:r>
                </w:p>
                <w:p>
                  <w:pPr>
                    <w:widowControl/>
                    <w:spacing w:line="360" w:lineRule="auto"/>
                    <w:jc w:val="left"/>
                    <w:rPr>
                      <w:rFonts w:ascii="宋体" w:hAnsi="宋体" w:cs="宋体"/>
                      <w:kern w:val="0"/>
                      <w:szCs w:val="21"/>
                    </w:rPr>
                  </w:pPr>
                  <w:r>
                    <w:rPr>
                      <w:rFonts w:ascii="宋体" w:hAnsi="宋体" w:cs="宋体"/>
                      <w:kern w:val="0"/>
                      <w:szCs w:val="21"/>
                    </w:rPr>
                    <w:t>◆ 现金/应收账款/存货的有效性控制 </w:t>
                  </w:r>
                </w:p>
                <w:p>
                  <w:pPr>
                    <w:widowControl/>
                    <w:spacing w:line="360" w:lineRule="auto"/>
                    <w:jc w:val="left"/>
                    <w:rPr>
                      <w:rFonts w:ascii="宋体" w:hAnsi="宋体" w:cs="宋体"/>
                      <w:kern w:val="0"/>
                      <w:szCs w:val="21"/>
                    </w:rPr>
                  </w:pPr>
                  <w:r>
                    <w:rPr>
                      <w:rFonts w:ascii="宋体" w:hAnsi="宋体" w:cs="宋体"/>
                      <w:kern w:val="0"/>
                      <w:szCs w:val="21"/>
                    </w:rPr>
                    <w:t>◆ 非物资资源的控制</w:t>
                  </w:r>
                </w:p>
                <w:p>
                  <w:pPr>
                    <w:widowControl/>
                    <w:spacing w:line="360" w:lineRule="auto"/>
                    <w:jc w:val="left"/>
                    <w:rPr>
                      <w:rFonts w:ascii="宋体" w:hAnsi="宋体" w:cs="宋体"/>
                      <w:kern w:val="0"/>
                      <w:szCs w:val="21"/>
                    </w:rPr>
                  </w:pPr>
                  <w:r>
                    <w:rPr>
                      <w:rFonts w:ascii="宋体" w:hAnsi="宋体" w:cs="宋体"/>
                      <w:kern w:val="0"/>
                      <w:szCs w:val="21"/>
                    </w:rPr>
                    <w:t>◆ 企业经营现金净流量能力分析</w:t>
                  </w:r>
                </w:p>
                <w:p>
                  <w:pPr>
                    <w:widowControl/>
                    <w:spacing w:line="360" w:lineRule="auto"/>
                    <w:jc w:val="left"/>
                    <w:rPr>
                      <w:rFonts w:ascii="宋体" w:hAnsi="宋体" w:cs="宋体"/>
                      <w:kern w:val="0"/>
                      <w:szCs w:val="21"/>
                    </w:rPr>
                  </w:pPr>
                  <w:r>
                    <w:rPr>
                      <w:rFonts w:ascii="宋体" w:hAnsi="宋体" w:cs="宋体"/>
                      <w:kern w:val="0"/>
                      <w:szCs w:val="21"/>
                    </w:rPr>
                    <w:t>◆ 现金使用效率管理</w:t>
                  </w:r>
                </w:p>
              </w:tc>
              <w:tc>
                <w:tcPr>
                  <w:tcW w:w="4327"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企业风险的分类及产生原因</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内部控制的重要风险领域</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风险管理的技巧</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建立企业内控的5步流程及16个步骤</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企业税收管控的具体措施</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审计业务的实施策略</w:t>
                  </w:r>
                </w:p>
                <w:p>
                  <w:pPr>
                    <w:widowControl/>
                    <w:spacing w:line="360" w:lineRule="auto"/>
                    <w:jc w:val="left"/>
                    <w:rPr>
                      <w:rFonts w:ascii="宋体" w:hAns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21" w:hRule="atLeast"/>
                <w:tblCellSpacing w:w="15" w:type="dxa"/>
              </w:trPr>
              <w:tc>
                <w:tcPr>
                  <w:tcW w:w="4266" w:type="dxa"/>
                  <w:tcBorders>
                    <w:top w:val="outset" w:color="auto" w:sz="6" w:space="0"/>
                    <w:left w:val="outset" w:color="auto" w:sz="6" w:space="0"/>
                    <w:bottom w:val="outset" w:color="auto" w:sz="6" w:space="0"/>
                    <w:right w:val="outset" w:color="auto" w:sz="6" w:space="0"/>
                  </w:tcBorders>
                  <w:vAlign w:val="bottom"/>
                </w:tcPr>
                <w:p>
                  <w:pPr>
                    <w:widowControl/>
                    <w:spacing w:line="360" w:lineRule="auto"/>
                    <w:ind w:firstLine="211" w:firstLineChars="100"/>
                    <w:jc w:val="left"/>
                    <w:rPr>
                      <w:rFonts w:ascii="宋体" w:hAnsi="宋体" w:cs="宋体"/>
                      <w:b/>
                      <w:kern w:val="0"/>
                      <w:szCs w:val="21"/>
                    </w:rPr>
                  </w:pPr>
                  <w:r>
                    <w:rPr>
                      <w:rFonts w:hint="eastAsia" w:ascii="宋体" w:hAnsi="宋体" w:cs="宋体"/>
                      <w:b/>
                      <w:kern w:val="0"/>
                      <w:szCs w:val="21"/>
                    </w:rPr>
                    <w:t>企业纳税筹划</w:t>
                  </w:r>
                </w:p>
              </w:tc>
              <w:tc>
                <w:tcPr>
                  <w:tcW w:w="4327" w:type="dxa"/>
                  <w:tcBorders>
                    <w:top w:val="outset" w:color="auto" w:sz="6" w:space="0"/>
                    <w:left w:val="outset" w:color="auto" w:sz="6" w:space="0"/>
                    <w:bottom w:val="outset" w:color="auto" w:sz="6" w:space="0"/>
                    <w:right w:val="outset" w:color="auto" w:sz="6" w:space="0"/>
                  </w:tcBorders>
                  <w:vAlign w:val="bottom"/>
                </w:tcPr>
                <w:p>
                  <w:pPr>
                    <w:widowControl/>
                    <w:spacing w:line="360" w:lineRule="auto"/>
                    <w:ind w:firstLine="211" w:firstLineChars="100"/>
                    <w:jc w:val="left"/>
                    <w:rPr>
                      <w:rFonts w:ascii="宋体" w:hAnsi="宋体" w:cs="宋体"/>
                      <w:b/>
                      <w:kern w:val="0"/>
                      <w:szCs w:val="21"/>
                    </w:rPr>
                  </w:pPr>
                  <w:r>
                    <w:rPr>
                      <w:rFonts w:ascii="宋体" w:hAnsi="宋体" w:cs="宋体"/>
                      <w:b/>
                      <w:kern w:val="0"/>
                      <w:szCs w:val="21"/>
                    </w:rPr>
                    <w:t>财务审计与内部控制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910" w:hRule="atLeast"/>
                <w:tblCellSpacing w:w="15" w:type="dxa"/>
              </w:trPr>
              <w:tc>
                <w:tcPr>
                  <w:tcW w:w="4266"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纳税筹划的原则及方法</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企业增值税筹划的主要方法</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企业所得税筹划的主要方法</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营改增实操的要领和技巧</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投融资业务的筹划要领</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纳税筹划方案评定</w:t>
                  </w:r>
                </w:p>
              </w:tc>
              <w:tc>
                <w:tcPr>
                  <w:tcW w:w="4327"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kern w:val="0"/>
                      <w:szCs w:val="21"/>
                    </w:rPr>
                  </w:pPr>
                  <w:r>
                    <w:rPr>
                      <w:rFonts w:ascii="宋体" w:hAnsi="宋体" w:cs="宋体"/>
                      <w:kern w:val="0"/>
                      <w:szCs w:val="21"/>
                    </w:rPr>
                    <w:t>◆ 会计报表审计 </w:t>
                  </w:r>
                </w:p>
                <w:p>
                  <w:pPr>
                    <w:widowControl/>
                    <w:spacing w:line="360" w:lineRule="auto"/>
                    <w:jc w:val="left"/>
                    <w:rPr>
                      <w:rFonts w:ascii="宋体" w:hAnsi="宋体" w:cs="宋体"/>
                      <w:kern w:val="0"/>
                      <w:szCs w:val="21"/>
                    </w:rPr>
                  </w:pPr>
                  <w:r>
                    <w:rPr>
                      <w:rFonts w:ascii="宋体" w:hAnsi="宋体" w:cs="宋体"/>
                      <w:kern w:val="0"/>
                      <w:szCs w:val="21"/>
                    </w:rPr>
                    <w:t>◆ 重要项目审计 </w:t>
                  </w:r>
                </w:p>
                <w:p>
                  <w:pPr>
                    <w:widowControl/>
                    <w:spacing w:line="360" w:lineRule="auto"/>
                    <w:jc w:val="left"/>
                    <w:rPr>
                      <w:rFonts w:ascii="宋体" w:hAnsi="宋体" w:cs="宋体"/>
                      <w:kern w:val="0"/>
                      <w:szCs w:val="21"/>
                    </w:rPr>
                  </w:pPr>
                  <w:r>
                    <w:rPr>
                      <w:rFonts w:ascii="宋体" w:hAnsi="宋体" w:cs="宋体"/>
                      <w:kern w:val="0"/>
                      <w:szCs w:val="21"/>
                    </w:rPr>
                    <w:t>◆ 综合财务审计案例 </w:t>
                  </w:r>
                </w:p>
                <w:p>
                  <w:pPr>
                    <w:widowControl/>
                    <w:spacing w:line="360" w:lineRule="auto"/>
                    <w:jc w:val="left"/>
                    <w:rPr>
                      <w:rFonts w:ascii="宋体" w:hAnsi="宋体" w:cs="宋体"/>
                      <w:kern w:val="0"/>
                      <w:szCs w:val="21"/>
                    </w:rPr>
                  </w:pPr>
                  <w:r>
                    <w:rPr>
                      <w:rFonts w:ascii="宋体" w:hAnsi="宋体" w:cs="宋体"/>
                      <w:kern w:val="0"/>
                      <w:szCs w:val="21"/>
                    </w:rPr>
                    <w:t>◆ 内部控制主要方式与内容设计 </w:t>
                  </w:r>
                </w:p>
                <w:p>
                  <w:pPr>
                    <w:widowControl/>
                    <w:spacing w:line="360" w:lineRule="auto"/>
                    <w:jc w:val="left"/>
                    <w:rPr>
                      <w:rFonts w:ascii="宋体" w:hAnsi="宋体" w:cs="宋体"/>
                      <w:kern w:val="0"/>
                      <w:szCs w:val="21"/>
                    </w:rPr>
                  </w:pPr>
                  <w:r>
                    <w:rPr>
                      <w:rFonts w:ascii="宋体" w:hAnsi="宋体" w:cs="宋体"/>
                      <w:kern w:val="0"/>
                      <w:szCs w:val="21"/>
                    </w:rPr>
                    <w:t>◆ 内部控制设计与评价案例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21" w:hRule="atLeast"/>
                <w:tblCellSpacing w:w="15" w:type="dxa"/>
              </w:trPr>
              <w:tc>
                <w:tcPr>
                  <w:tcW w:w="8623" w:type="dxa"/>
                  <w:gridSpan w:val="2"/>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b/>
                      <w:kern w:val="0"/>
                      <w:szCs w:val="21"/>
                    </w:rPr>
                  </w:pPr>
                  <w:r>
                    <w:rPr>
                      <w:rFonts w:ascii="宋体" w:hAnsi="宋体" w:cs="宋体"/>
                      <w:b/>
                      <w:kern w:val="0"/>
                      <w:szCs w:val="21"/>
                    </w:rPr>
                    <w:t>资本战略模块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21" w:hRule="atLeast"/>
                <w:tblCellSpacing w:w="15" w:type="dxa"/>
              </w:trPr>
              <w:tc>
                <w:tcPr>
                  <w:tcW w:w="4266"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316" w:firstLineChars="150"/>
                    <w:jc w:val="left"/>
                    <w:rPr>
                      <w:rFonts w:ascii="宋体" w:hAnsi="宋体" w:cs="宋体"/>
                      <w:b/>
                      <w:kern w:val="0"/>
                      <w:szCs w:val="21"/>
                    </w:rPr>
                  </w:pPr>
                  <w:r>
                    <w:rPr>
                      <w:rFonts w:ascii="宋体" w:hAnsi="宋体" w:cs="宋体"/>
                      <w:b/>
                      <w:kern w:val="0"/>
                      <w:szCs w:val="21"/>
                    </w:rPr>
                    <w:t>资本市场与企业投融资</w:t>
                  </w:r>
                </w:p>
              </w:tc>
              <w:tc>
                <w:tcPr>
                  <w:tcW w:w="4327" w:type="dxa"/>
                  <w:tcBorders>
                    <w:top w:val="outset" w:color="auto" w:sz="6" w:space="0"/>
                    <w:left w:val="outset" w:color="auto" w:sz="6" w:space="0"/>
                    <w:bottom w:val="outset" w:color="auto" w:sz="6" w:space="0"/>
                    <w:right w:val="outset" w:color="auto" w:sz="6" w:space="0"/>
                  </w:tcBorders>
                </w:tcPr>
                <w:p>
                  <w:pPr>
                    <w:widowControl/>
                    <w:spacing w:line="360" w:lineRule="auto"/>
                    <w:ind w:firstLine="316" w:firstLineChars="150"/>
                    <w:jc w:val="left"/>
                    <w:rPr>
                      <w:rFonts w:ascii="宋体" w:hAnsi="宋体" w:cs="宋体"/>
                      <w:b/>
                      <w:kern w:val="0"/>
                      <w:szCs w:val="21"/>
                    </w:rPr>
                  </w:pPr>
                  <w:r>
                    <w:rPr>
                      <w:rFonts w:hint="eastAsia" w:ascii="宋体" w:hAnsi="宋体" w:cs="宋体"/>
                      <w:b/>
                      <w:kern w:val="0"/>
                      <w:szCs w:val="21"/>
                    </w:rPr>
                    <w:t>资本运营与互联网金融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267" w:hRule="atLeast"/>
                <w:tblCellSpacing w:w="15" w:type="dxa"/>
              </w:trPr>
              <w:tc>
                <w:tcPr>
                  <w:tcW w:w="4266"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315" w:firstLineChars="150"/>
                    <w:jc w:val="left"/>
                    <w:rPr>
                      <w:rFonts w:ascii="宋体" w:hAnsi="宋体" w:cs="宋体"/>
                      <w:kern w:val="0"/>
                      <w:szCs w:val="21"/>
                    </w:rPr>
                  </w:pPr>
                  <w:r>
                    <w:rPr>
                      <w:rFonts w:ascii="宋体" w:hAnsi="宋体" w:cs="宋体"/>
                      <w:kern w:val="0"/>
                      <w:szCs w:val="21"/>
                    </w:rPr>
                    <w:t>◆ 国内外资本市场</w:t>
                  </w:r>
                </w:p>
                <w:p>
                  <w:pPr>
                    <w:widowControl/>
                    <w:spacing w:line="360" w:lineRule="auto"/>
                    <w:ind w:firstLine="315" w:firstLineChars="150"/>
                    <w:jc w:val="left"/>
                    <w:rPr>
                      <w:rFonts w:ascii="宋体" w:hAnsi="宋体" w:cs="宋体"/>
                      <w:kern w:val="0"/>
                      <w:szCs w:val="21"/>
                    </w:rPr>
                  </w:pPr>
                  <w:r>
                    <w:rPr>
                      <w:rFonts w:ascii="宋体" w:hAnsi="宋体" w:cs="宋体"/>
                      <w:kern w:val="0"/>
                      <w:szCs w:val="21"/>
                    </w:rPr>
                    <w:t>◆ 债券交易市场与债权融资</w:t>
                  </w:r>
                </w:p>
                <w:p>
                  <w:pPr>
                    <w:widowControl/>
                    <w:spacing w:line="360" w:lineRule="auto"/>
                    <w:ind w:firstLine="315" w:firstLineChars="150"/>
                    <w:jc w:val="left"/>
                    <w:rPr>
                      <w:rFonts w:ascii="宋体" w:hAnsi="宋体" w:cs="宋体"/>
                      <w:kern w:val="0"/>
                      <w:szCs w:val="21"/>
                    </w:rPr>
                  </w:pPr>
                  <w:r>
                    <w:rPr>
                      <w:rFonts w:ascii="宋体" w:hAnsi="宋体" w:cs="宋体"/>
                      <w:kern w:val="0"/>
                      <w:szCs w:val="21"/>
                    </w:rPr>
                    <w:t>◆ 证券市场投资策略</w:t>
                  </w:r>
                </w:p>
                <w:p>
                  <w:pPr>
                    <w:widowControl/>
                    <w:spacing w:line="360" w:lineRule="auto"/>
                    <w:ind w:firstLine="315" w:firstLineChars="150"/>
                    <w:jc w:val="left"/>
                    <w:rPr>
                      <w:rFonts w:ascii="宋体" w:hAnsi="宋体" w:cs="宋体"/>
                      <w:kern w:val="0"/>
                      <w:szCs w:val="21"/>
                    </w:rPr>
                  </w:pPr>
                  <w:r>
                    <w:rPr>
                      <w:rFonts w:ascii="宋体" w:hAnsi="宋体" w:cs="宋体"/>
                      <w:kern w:val="0"/>
                      <w:szCs w:val="21"/>
                    </w:rPr>
                    <w:t>◆ 金融投资组合与风险管理</w:t>
                  </w:r>
                </w:p>
                <w:p>
                  <w:pPr>
                    <w:widowControl/>
                    <w:spacing w:line="360" w:lineRule="auto"/>
                    <w:ind w:firstLine="315" w:firstLineChars="150"/>
                    <w:jc w:val="left"/>
                    <w:rPr>
                      <w:rFonts w:ascii="宋体" w:hAnsi="宋体" w:cs="宋体"/>
                      <w:kern w:val="0"/>
                      <w:szCs w:val="21"/>
                    </w:rPr>
                  </w:pPr>
                  <w:r>
                    <w:rPr>
                      <w:rFonts w:ascii="宋体" w:hAnsi="宋体" w:cs="宋体"/>
                      <w:kern w:val="0"/>
                      <w:szCs w:val="21"/>
                    </w:rPr>
                    <w:t>◆ 融资融券与股指期货</w:t>
                  </w:r>
                </w:p>
                <w:p>
                  <w:pPr>
                    <w:widowControl/>
                    <w:spacing w:line="360" w:lineRule="auto"/>
                    <w:ind w:firstLine="315" w:firstLineChars="150"/>
                    <w:jc w:val="left"/>
                    <w:rPr>
                      <w:rFonts w:ascii="宋体" w:hAnsi="宋体" w:cs="宋体"/>
                      <w:kern w:val="0"/>
                      <w:szCs w:val="21"/>
                    </w:rPr>
                  </w:pPr>
                  <w:r>
                    <w:rPr>
                      <w:rFonts w:ascii="宋体" w:hAnsi="宋体" w:cs="宋体"/>
                      <w:kern w:val="0"/>
                      <w:szCs w:val="21"/>
                    </w:rPr>
                    <w:t>◆ 融资渠道的选择与创新</w:t>
                  </w:r>
                </w:p>
                <w:p>
                  <w:pPr>
                    <w:widowControl/>
                    <w:spacing w:line="360" w:lineRule="auto"/>
                    <w:ind w:firstLine="315" w:firstLineChars="150"/>
                    <w:jc w:val="left"/>
                    <w:rPr>
                      <w:rFonts w:ascii="宋体" w:hAnsi="宋体" w:cs="宋体"/>
                      <w:b/>
                      <w:kern w:val="0"/>
                      <w:szCs w:val="21"/>
                    </w:rPr>
                  </w:pPr>
                  <w:r>
                    <w:rPr>
                      <w:rFonts w:ascii="宋体" w:hAnsi="宋体" w:cs="宋体"/>
                      <w:kern w:val="0"/>
                      <w:szCs w:val="21"/>
                    </w:rPr>
                    <w:t>◆ </w:t>
                  </w:r>
                  <w:r>
                    <w:rPr>
                      <w:rFonts w:hint="eastAsia" w:ascii="宋体" w:hAnsi="宋体" w:cs="宋体"/>
                      <w:kern w:val="0"/>
                      <w:szCs w:val="21"/>
                    </w:rPr>
                    <w:t>新三板上市的条件、流程</w:t>
                  </w:r>
                </w:p>
              </w:tc>
              <w:tc>
                <w:tcPr>
                  <w:tcW w:w="4327"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融资者的几个误区</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融资者的新视角</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互联网金融模式创新</w:t>
                  </w:r>
                </w:p>
                <w:p>
                  <w:pPr>
                    <w:widowControl/>
                    <w:spacing w:line="360" w:lineRule="auto"/>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私募股权投资</w:t>
                  </w:r>
                </w:p>
                <w:p>
                  <w:pPr>
                    <w:widowControl/>
                    <w:spacing w:line="360" w:lineRule="auto"/>
                    <w:ind w:firstLine="316" w:firstLineChars="150"/>
                    <w:jc w:val="left"/>
                    <w:rPr>
                      <w:rFonts w:ascii="宋体" w:hAnsi="宋体" w:cs="宋体"/>
                      <w:b/>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47" w:hRule="atLeast"/>
                <w:tblCellSpacing w:w="15" w:type="dxa"/>
              </w:trPr>
              <w:tc>
                <w:tcPr>
                  <w:tcW w:w="8623" w:type="dxa"/>
                  <w:gridSpan w:val="2"/>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316" w:firstLineChars="150"/>
                    <w:jc w:val="left"/>
                    <w:rPr>
                      <w:rFonts w:ascii="宋体" w:hAnsi="宋体" w:cs="宋体"/>
                      <w:b/>
                      <w:kern w:val="0"/>
                      <w:szCs w:val="21"/>
                    </w:rPr>
                  </w:pPr>
                  <w:r>
                    <w:rPr>
                      <w:rFonts w:ascii="宋体" w:hAnsi="宋体" w:cs="宋体"/>
                      <w:b/>
                      <w:kern w:val="0"/>
                      <w:szCs w:val="21"/>
                    </w:rPr>
                    <w:t>CFO</w:t>
                  </w:r>
                  <w:r>
                    <w:rPr>
                      <w:rFonts w:hint="eastAsia" w:ascii="宋体" w:hAnsi="宋体" w:cs="宋体"/>
                      <w:b/>
                      <w:kern w:val="0"/>
                      <w:szCs w:val="21"/>
                    </w:rPr>
                    <w:t>团队熔炼</w:t>
                  </w:r>
                  <w:r>
                    <w:rPr>
                      <w:rFonts w:ascii="宋体" w:hAnsi="宋体" w:cs="宋体"/>
                      <w:b/>
                      <w:kern w:val="0"/>
                      <w:szCs w:val="21"/>
                    </w:rPr>
                    <w:t>课程</w:t>
                  </w:r>
                  <w:r>
                    <w:rPr>
                      <w:rFonts w:hint="eastAsia" w:ascii="宋体" w:hAnsi="宋体" w:cs="宋体"/>
                      <w:b/>
                      <w:kern w:val="0"/>
                      <w:szCs w:val="21"/>
                    </w:rPr>
                    <w:t>及讲座一次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47" w:hRule="atLeast"/>
                <w:tblCellSpacing w:w="15" w:type="dxa"/>
              </w:trPr>
              <w:tc>
                <w:tcPr>
                  <w:tcW w:w="4266"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316" w:firstLineChars="150"/>
                    <w:jc w:val="left"/>
                    <w:rPr>
                      <w:rFonts w:ascii="宋体" w:hAnsi="宋体" w:cs="宋体"/>
                      <w:b/>
                      <w:kern w:val="0"/>
                      <w:szCs w:val="21"/>
                    </w:rPr>
                  </w:pPr>
                  <w:r>
                    <w:rPr>
                      <w:rFonts w:hint="eastAsia" w:ascii="宋体" w:hAnsi="宋体" w:cs="宋体"/>
                      <w:b/>
                      <w:kern w:val="0"/>
                      <w:szCs w:val="21"/>
                    </w:rPr>
                    <w:t>团队与领导力课程</w:t>
                  </w:r>
                </w:p>
              </w:tc>
              <w:tc>
                <w:tcPr>
                  <w:tcW w:w="4327" w:type="dxa"/>
                  <w:tcBorders>
                    <w:top w:val="outset" w:color="auto" w:sz="6" w:space="0"/>
                    <w:left w:val="outset" w:color="auto" w:sz="6" w:space="0"/>
                    <w:bottom w:val="outset" w:color="auto" w:sz="6" w:space="0"/>
                    <w:right w:val="outset" w:color="auto" w:sz="6" w:space="0"/>
                  </w:tcBorders>
                </w:tcPr>
                <w:p>
                  <w:pPr>
                    <w:widowControl/>
                    <w:spacing w:line="360" w:lineRule="auto"/>
                    <w:ind w:firstLine="316" w:firstLineChars="150"/>
                    <w:jc w:val="left"/>
                    <w:rPr>
                      <w:rFonts w:ascii="宋体" w:hAnsi="宋体" w:cs="宋体"/>
                      <w:b/>
                      <w:kern w:val="0"/>
                      <w:szCs w:val="21"/>
                    </w:rPr>
                  </w:pPr>
                  <w:r>
                    <w:rPr>
                      <w:rFonts w:ascii="宋体" w:hAnsi="宋体" w:cs="宋体"/>
                      <w:b/>
                      <w:kern w:val="0"/>
                      <w:szCs w:val="21"/>
                    </w:rPr>
                    <w:t>年度经济热点与</w:t>
                  </w:r>
                  <w:r>
                    <w:rPr>
                      <w:rFonts w:hint="eastAsia" w:ascii="宋体" w:hAnsi="宋体" w:cs="宋体"/>
                      <w:b/>
                      <w:kern w:val="0"/>
                      <w:szCs w:val="21"/>
                    </w:rPr>
                    <w:t>经济</w:t>
                  </w:r>
                  <w:r>
                    <w:rPr>
                      <w:rFonts w:ascii="宋体" w:hAnsi="宋体" w:cs="宋体"/>
                      <w:b/>
                      <w:kern w:val="0"/>
                      <w:szCs w:val="21"/>
                    </w:rPr>
                    <w:t>政策解析</w:t>
                  </w:r>
                </w:p>
              </w:tc>
            </w:tr>
          </w:tbl>
          <w:p>
            <w:pPr>
              <w:widowControl/>
              <w:spacing w:line="360" w:lineRule="auto"/>
              <w:jc w:val="left"/>
              <w:rPr>
                <w:rFonts w:ascii="宋体" w:hAnsi="宋体" w:cs="宋体"/>
                <w:b/>
                <w:bCs/>
                <w:kern w:val="0"/>
                <w:szCs w:val="21"/>
                <w:shd w:val="pct10" w:color="auto" w:fill="FFFFFF"/>
              </w:rPr>
            </w:pPr>
            <w:r>
              <w:rPr>
                <w:rFonts w:ascii="宋体" w:hAnsi="宋体" w:cs="宋体"/>
                <w:b/>
                <w:bCs/>
                <w:color w:val="000000"/>
                <w:kern w:val="0"/>
                <w:sz w:val="24"/>
                <w:shd w:val="pct10" w:color="auto" w:fill="FFFFFF"/>
              </w:rPr>
              <w:t>指导专家与</w:t>
            </w:r>
            <w:r>
              <w:rPr>
                <w:rFonts w:hint="eastAsia" w:ascii="宋体" w:hAnsi="宋体" w:cs="宋体"/>
                <w:b/>
                <w:bCs/>
                <w:color w:val="000000"/>
                <w:kern w:val="0"/>
                <w:sz w:val="24"/>
                <w:shd w:val="pct10" w:color="auto" w:fill="FFFFFF"/>
              </w:rPr>
              <w:t>部分</w:t>
            </w:r>
            <w:r>
              <w:rPr>
                <w:rFonts w:ascii="宋体" w:hAnsi="宋体" w:cs="宋体"/>
                <w:b/>
                <w:bCs/>
                <w:color w:val="000000"/>
                <w:kern w:val="0"/>
                <w:sz w:val="24"/>
                <w:shd w:val="pct10" w:color="auto" w:fill="FFFFFF"/>
              </w:rPr>
              <w:t>师资</w:t>
            </w:r>
            <w:r>
              <w:rPr>
                <w:rFonts w:hint="eastAsia" w:ascii="宋体" w:hAnsi="宋体" w:cs="宋体"/>
                <w:b/>
                <w:bCs/>
                <w:color w:val="000000"/>
                <w:kern w:val="0"/>
                <w:sz w:val="24"/>
                <w:shd w:val="pct10" w:color="auto" w:fill="FFFFFF"/>
              </w:rPr>
              <w:t xml:space="preserve">      </w:t>
            </w:r>
            <w:r>
              <w:rPr>
                <w:rFonts w:hint="eastAsia" w:ascii="宋体" w:hAnsi="宋体" w:cs="宋体"/>
                <w:b/>
                <w:bCs/>
                <w:kern w:val="0"/>
                <w:szCs w:val="21"/>
                <w:shd w:val="pct10" w:color="auto" w:fill="FFFFFF"/>
              </w:rPr>
              <w:t xml:space="preserve">                                                                  </w:t>
            </w:r>
          </w:p>
          <w:p>
            <w:pPr>
              <w:widowControl/>
              <w:spacing w:before="156" w:beforeLines="50" w:after="156" w:afterLines="50" w:line="360" w:lineRule="auto"/>
              <w:jc w:val="left"/>
              <w:rPr>
                <w:rFonts w:ascii="宋体" w:hAnsi="宋体" w:cs="宋体"/>
                <w:kern w:val="0"/>
                <w:szCs w:val="21"/>
              </w:rPr>
            </w:pPr>
            <w:r>
              <w:rPr>
                <w:rFonts w:hint="eastAsia" w:ascii="宋体" w:hAnsi="宋体" w:cs="宋体"/>
                <w:b/>
                <w:kern w:val="0"/>
                <w:szCs w:val="21"/>
              </w:rPr>
              <w:t xml:space="preserve">谈民宪 </w:t>
            </w:r>
            <w:r>
              <w:rPr>
                <w:rFonts w:ascii="宋体" w:hAnsi="宋体" w:cs="宋体"/>
                <w:b/>
                <w:kern w:val="0"/>
                <w:szCs w:val="21"/>
              </w:rPr>
              <w:t> </w:t>
            </w:r>
            <w:r>
              <w:rPr>
                <w:rFonts w:ascii="宋体" w:hAnsi="宋体" w:cs="宋体"/>
                <w:kern w:val="0"/>
                <w:szCs w:val="21"/>
              </w:rPr>
              <w:t>西安交通大学经济与金融学院教授</w:t>
            </w:r>
            <w:r>
              <w:rPr>
                <w:rFonts w:hint="eastAsia" w:ascii="宋体" w:hAnsi="宋体" w:cs="宋体"/>
                <w:kern w:val="0"/>
                <w:szCs w:val="21"/>
              </w:rPr>
              <w:t>，著名经济学者，陕西省决策咨询委员会委员。</w:t>
            </w:r>
          </w:p>
          <w:p>
            <w:pPr>
              <w:widowControl/>
              <w:spacing w:before="156" w:beforeLines="50" w:after="156" w:afterLines="50" w:line="360" w:lineRule="auto"/>
              <w:jc w:val="left"/>
              <w:rPr>
                <w:rFonts w:ascii="宋体" w:hAnsi="宋体" w:cs="宋体"/>
                <w:kern w:val="0"/>
                <w:szCs w:val="21"/>
              </w:rPr>
            </w:pPr>
            <w:r>
              <w:rPr>
                <w:rFonts w:hint="eastAsia" w:ascii="宋体" w:hAnsi="宋体" w:cs="宋体"/>
                <w:b/>
                <w:kern w:val="0"/>
                <w:szCs w:val="21"/>
              </w:rPr>
              <w:t xml:space="preserve">陈  军  </w:t>
            </w:r>
            <w:r>
              <w:rPr>
                <w:rFonts w:hint="eastAsia" w:ascii="宋体" w:hAnsi="宋体" w:cs="宋体"/>
                <w:kern w:val="0"/>
                <w:szCs w:val="21"/>
              </w:rPr>
              <w:t>西安交通大学管理学院会计与财务管理系副教授</w:t>
            </w:r>
          </w:p>
          <w:p>
            <w:pPr>
              <w:widowControl/>
              <w:spacing w:before="156" w:beforeLines="50" w:after="156" w:afterLines="50" w:line="360" w:lineRule="auto"/>
              <w:jc w:val="left"/>
              <w:rPr>
                <w:rFonts w:ascii="宋体" w:hAnsi="宋体" w:cs="宋体"/>
                <w:kern w:val="0"/>
                <w:szCs w:val="21"/>
              </w:rPr>
            </w:pPr>
            <w:r>
              <w:rPr>
                <w:rFonts w:hint="eastAsia" w:ascii="宋体" w:hAnsi="宋体" w:cs="宋体"/>
                <w:b/>
                <w:kern w:val="0"/>
                <w:szCs w:val="21"/>
              </w:rPr>
              <w:t xml:space="preserve">张  禾  </w:t>
            </w:r>
            <w:r>
              <w:rPr>
                <w:rFonts w:hint="eastAsia" w:ascii="宋体" w:hAnsi="宋体" w:cs="宋体"/>
                <w:kern w:val="0"/>
                <w:szCs w:val="21"/>
              </w:rPr>
              <w:t>西安交通大学管理学院会计与财务管理系副教授</w:t>
            </w:r>
          </w:p>
          <w:p>
            <w:pPr>
              <w:widowControl/>
              <w:spacing w:before="156" w:beforeLines="50" w:after="156" w:afterLines="50" w:line="360" w:lineRule="auto"/>
              <w:jc w:val="left"/>
              <w:rPr>
                <w:rFonts w:ascii="宋体" w:hAnsi="宋体" w:cs="宋体"/>
                <w:b/>
                <w:kern w:val="0"/>
                <w:szCs w:val="21"/>
              </w:rPr>
            </w:pPr>
            <w:r>
              <w:rPr>
                <w:rFonts w:hint="eastAsia" w:ascii="宋体" w:hAnsi="宋体" w:cs="宋体"/>
                <w:b/>
                <w:kern w:val="0"/>
                <w:szCs w:val="21"/>
              </w:rPr>
              <w:t xml:space="preserve">陈  恺  </w:t>
            </w:r>
            <w:r>
              <w:rPr>
                <w:rFonts w:hint="eastAsia" w:ascii="宋体" w:hAnsi="宋体" w:cs="宋体"/>
                <w:kern w:val="0"/>
                <w:szCs w:val="21"/>
              </w:rPr>
              <w:t>财经学者，北京大学企业商学院研究中心研究员</w:t>
            </w:r>
          </w:p>
          <w:p>
            <w:pPr>
              <w:widowControl/>
              <w:spacing w:before="156" w:beforeLines="50" w:after="156" w:afterLines="50" w:line="360" w:lineRule="auto"/>
              <w:jc w:val="left"/>
              <w:rPr>
                <w:rFonts w:ascii="宋体" w:hAnsi="宋体" w:cs="宋体"/>
                <w:b/>
                <w:kern w:val="0"/>
                <w:szCs w:val="21"/>
              </w:rPr>
            </w:pPr>
            <w:r>
              <w:rPr>
                <w:rFonts w:hint="eastAsia" w:ascii="宋体" w:hAnsi="宋体" w:cs="宋体"/>
                <w:b/>
                <w:kern w:val="0"/>
                <w:szCs w:val="21"/>
              </w:rPr>
              <w:t xml:space="preserve">郭世辉  </w:t>
            </w:r>
            <w:r>
              <w:rPr>
                <w:rFonts w:hint="eastAsia" w:ascii="宋体" w:hAnsi="宋体" w:cs="宋体"/>
                <w:kern w:val="0"/>
                <w:szCs w:val="21"/>
              </w:rPr>
              <w:t>西北大学经济管理学院教授，</w:t>
            </w:r>
            <w:r>
              <w:rPr>
                <w:rFonts w:ascii="宋体" w:hAnsi="宋体" w:cs="宋体"/>
                <w:kern w:val="0"/>
                <w:szCs w:val="21"/>
              </w:rPr>
              <w:t>西安交通大学财经学院外聘教授</w:t>
            </w:r>
          </w:p>
          <w:p>
            <w:pPr>
              <w:widowControl/>
              <w:spacing w:before="156" w:beforeLines="50" w:after="156" w:afterLines="50" w:line="360" w:lineRule="auto"/>
              <w:ind w:left="826" w:hanging="826" w:hangingChars="392"/>
              <w:jc w:val="left"/>
              <w:rPr>
                <w:rFonts w:ascii="宋体" w:hAnsi="宋体" w:cs="宋体"/>
                <w:b/>
                <w:kern w:val="0"/>
                <w:szCs w:val="21"/>
              </w:rPr>
            </w:pPr>
            <w:r>
              <w:rPr>
                <w:rFonts w:hint="eastAsia" w:ascii="宋体" w:hAnsi="宋体" w:cs="宋体"/>
                <w:b/>
                <w:kern w:val="0"/>
                <w:szCs w:val="21"/>
              </w:rPr>
              <w:t xml:space="preserve">仝铁汉  </w:t>
            </w:r>
            <w:r>
              <w:rPr>
                <w:rFonts w:hint="eastAsia" w:ascii="宋体" w:hAnsi="宋体" w:cs="宋体"/>
                <w:kern w:val="0"/>
                <w:szCs w:val="21"/>
              </w:rPr>
              <w:t>西安交通大学管理学院特聘教授，西北大学国际商学院客座教授</w:t>
            </w:r>
          </w:p>
          <w:p>
            <w:pPr>
              <w:widowControl/>
              <w:spacing w:before="156" w:beforeLines="50" w:after="156" w:afterLines="50" w:line="360" w:lineRule="auto"/>
              <w:ind w:left="826" w:hanging="826" w:hangingChars="392"/>
              <w:jc w:val="left"/>
              <w:rPr>
                <w:rFonts w:ascii="宋体" w:hAnsi="宋体" w:cs="宋体"/>
                <w:kern w:val="0"/>
                <w:szCs w:val="21"/>
              </w:rPr>
            </w:pPr>
            <w:r>
              <w:rPr>
                <w:rFonts w:hint="eastAsia" w:ascii="宋体" w:hAnsi="宋体" w:cs="宋体"/>
                <w:b/>
                <w:kern w:val="0"/>
                <w:szCs w:val="21"/>
              </w:rPr>
              <w:t>李明轩</w:t>
            </w:r>
            <w:r>
              <w:rPr>
                <w:rFonts w:hint="eastAsia" w:ascii="宋体" w:hAnsi="宋体" w:cs="宋体"/>
                <w:kern w:val="0"/>
                <w:szCs w:val="21"/>
              </w:rPr>
              <w:t xml:space="preserve">  西安交通大学管理学院副教授，</w:t>
            </w:r>
            <w:r>
              <w:rPr>
                <w:rFonts w:ascii="宋体" w:hAnsi="宋体" w:cs="宋体"/>
                <w:kern w:val="0"/>
                <w:szCs w:val="21"/>
              </w:rPr>
              <w:t>陕西省财政厅会计咨询专家</w:t>
            </w:r>
          </w:p>
          <w:p>
            <w:pPr>
              <w:widowControl/>
              <w:spacing w:before="156" w:beforeLines="50" w:after="156" w:afterLines="50" w:line="360" w:lineRule="auto"/>
              <w:jc w:val="left"/>
              <w:rPr>
                <w:rFonts w:ascii="宋体" w:hAnsi="宋体" w:cs="宋体"/>
                <w:kern w:val="0"/>
                <w:szCs w:val="21"/>
              </w:rPr>
            </w:pPr>
            <w:r>
              <w:rPr>
                <w:rFonts w:hint="eastAsia" w:ascii="宋体" w:hAnsi="宋体" w:cs="宋体"/>
                <w:b/>
                <w:kern w:val="0"/>
                <w:szCs w:val="21"/>
              </w:rPr>
              <w:t>杨喜涛</w:t>
            </w:r>
            <w:r>
              <w:rPr>
                <w:rFonts w:hint="eastAsia" w:ascii="宋体" w:hAnsi="宋体" w:cs="宋体"/>
                <w:kern w:val="0"/>
                <w:szCs w:val="21"/>
              </w:rPr>
              <w:t xml:space="preserve">  </w:t>
            </w:r>
            <w:r>
              <w:rPr>
                <w:rFonts w:ascii="宋体" w:hAnsi="宋体" w:cs="宋体"/>
                <w:kern w:val="0"/>
                <w:szCs w:val="21"/>
              </w:rPr>
              <w:t>西安交通大学财经学院外聘教授、财税法律专家</w:t>
            </w:r>
          </w:p>
          <w:p>
            <w:pPr>
              <w:widowControl/>
              <w:spacing w:before="156" w:beforeLines="50" w:after="156" w:afterLines="50" w:line="360" w:lineRule="auto"/>
              <w:jc w:val="left"/>
              <w:rPr>
                <w:rFonts w:ascii="宋体" w:hAnsi="宋体" w:cs="宋体"/>
                <w:kern w:val="0"/>
                <w:szCs w:val="21"/>
              </w:rPr>
            </w:pPr>
            <w:r>
              <w:rPr>
                <w:rFonts w:ascii="宋体" w:hAnsi="宋体" w:cs="宋体"/>
                <w:b/>
                <w:bCs/>
                <w:color w:val="000000"/>
                <w:kern w:val="0"/>
                <w:sz w:val="24"/>
                <w:shd w:val="pct10" w:color="auto" w:fill="FFFFFF"/>
              </w:rPr>
              <w:t>教学模式</w:t>
            </w:r>
            <w:r>
              <w:rPr>
                <w:rFonts w:hint="eastAsia" w:ascii="宋体" w:hAnsi="宋体" w:cs="宋体"/>
                <w:b/>
                <w:bCs/>
                <w:color w:val="000000"/>
                <w:kern w:val="0"/>
                <w:sz w:val="24"/>
                <w:shd w:val="pct10" w:color="auto" w:fill="FFFFFF"/>
              </w:rPr>
              <w:t xml:space="preserve">        </w:t>
            </w:r>
            <w:r>
              <w:rPr>
                <w:rFonts w:hint="eastAsia" w:ascii="宋体" w:hAnsi="宋体" w:cs="宋体"/>
                <w:b/>
                <w:bCs/>
                <w:kern w:val="0"/>
                <w:szCs w:val="21"/>
                <w:shd w:val="pct10" w:color="auto" w:fill="FFFFFF"/>
              </w:rPr>
              <w:t xml:space="preserve">                                                                            </w:t>
            </w:r>
          </w:p>
          <w:p>
            <w:pPr>
              <w:widowControl/>
              <w:spacing w:after="312" w:afterLines="100" w:line="360" w:lineRule="auto"/>
              <w:jc w:val="left"/>
              <w:rPr>
                <w:rFonts w:ascii="宋体" w:hAnsi="宋体" w:cs="宋体"/>
                <w:kern w:val="0"/>
                <w:szCs w:val="21"/>
              </w:rPr>
            </w:pPr>
            <w:r>
              <w:rPr>
                <w:rFonts w:ascii="宋体" w:hAnsi="宋体" w:cs="宋体"/>
                <w:kern w:val="0"/>
                <w:szCs w:val="21"/>
              </w:rPr>
              <w:t>1、最新理念、信息的大量介绍；    2、理论框架的系统化讲授；</w:t>
            </w:r>
            <w:r>
              <w:rPr>
                <w:rFonts w:ascii="宋体" w:hAnsi="宋体" w:cs="宋体"/>
                <w:kern w:val="0"/>
                <w:szCs w:val="21"/>
              </w:rPr>
              <w:br w:type="textWrapping"/>
            </w:r>
            <w:r>
              <w:rPr>
                <w:rFonts w:ascii="宋体" w:hAnsi="宋体" w:cs="宋体"/>
                <w:kern w:val="0"/>
                <w:szCs w:val="21"/>
              </w:rPr>
              <w:t>3、实务操作技术的详细解析；      4、丰富的实战案例分析；   </w:t>
            </w:r>
            <w:r>
              <w:rPr>
                <w:rFonts w:ascii="宋体" w:hAnsi="宋体" w:cs="宋体"/>
                <w:kern w:val="0"/>
                <w:szCs w:val="21"/>
              </w:rPr>
              <w:br w:type="textWrapping"/>
            </w:r>
            <w:r>
              <w:rPr>
                <w:rFonts w:ascii="宋体" w:hAnsi="宋体" w:cs="宋体"/>
                <w:kern w:val="0"/>
                <w:szCs w:val="21"/>
              </w:rPr>
              <w:t>5、互动式交流探讨；          </w:t>
            </w:r>
            <w:r>
              <w:rPr>
                <w:rFonts w:hint="eastAsia" w:ascii="宋体" w:hAnsi="宋体" w:cs="宋体"/>
                <w:kern w:val="0"/>
                <w:szCs w:val="21"/>
              </w:rPr>
              <w:t xml:space="preserve">    </w:t>
            </w:r>
            <w:r>
              <w:rPr>
                <w:rFonts w:ascii="宋体" w:hAnsi="宋体" w:cs="宋体"/>
                <w:kern w:val="0"/>
                <w:szCs w:val="21"/>
              </w:rPr>
              <w:t>6、突出现实性和前沿性的讲座、论坛</w:t>
            </w:r>
          </w:p>
        </w:tc>
      </w:tr>
      <w:tr>
        <w:tblPrEx>
          <w:tblLayout w:type="fixed"/>
          <w:tblCellMar>
            <w:top w:w="0" w:type="dxa"/>
            <w:left w:w="108" w:type="dxa"/>
            <w:bottom w:w="0" w:type="dxa"/>
            <w:right w:w="108" w:type="dxa"/>
          </w:tblCellMar>
        </w:tblPrEx>
        <w:trPr>
          <w:gridAfter w:val="1"/>
          <w:wAfter w:w="44" w:type="dxa"/>
          <w:trHeight w:val="399" w:hRule="atLeast"/>
          <w:tblCellSpacing w:w="0" w:type="dxa"/>
        </w:trPr>
        <w:tc>
          <w:tcPr>
            <w:tcW w:w="8889" w:type="dxa"/>
            <w:gridSpan w:val="2"/>
            <w:shd w:val="clear" w:color="auto" w:fill="D9D9D9"/>
            <w:vAlign w:val="center"/>
          </w:tcPr>
          <w:p>
            <w:pPr>
              <w:widowControl/>
              <w:spacing w:line="360" w:lineRule="auto"/>
              <w:jc w:val="left"/>
              <w:rPr>
                <w:rFonts w:ascii="宋体" w:hAnsi="宋体" w:cs="宋体"/>
                <w:b/>
                <w:bCs/>
                <w:kern w:val="0"/>
                <w:szCs w:val="21"/>
                <w:shd w:val="pct10" w:color="auto" w:fill="FFFFFF"/>
              </w:rPr>
            </w:pPr>
            <w:r>
              <w:rPr>
                <w:rFonts w:hint="eastAsia" w:ascii="宋体" w:hAnsi="宋体" w:cs="宋体"/>
                <w:b/>
                <w:bCs/>
                <w:color w:val="000000"/>
                <w:kern w:val="0"/>
                <w:sz w:val="24"/>
                <w:shd w:val="pct10" w:color="auto" w:fill="FFFFFF"/>
              </w:rPr>
              <w:t xml:space="preserve">招生对象 </w:t>
            </w:r>
          </w:p>
        </w:tc>
      </w:tr>
    </w:tbl>
    <w:p>
      <w:pPr>
        <w:numPr>
          <w:ilvl w:val="0"/>
          <w:numId w:val="1"/>
        </w:numPr>
        <w:tabs>
          <w:tab w:val="left" w:pos="885"/>
        </w:tabs>
        <w:spacing w:before="156" w:beforeLines="50" w:after="156" w:afterLines="50" w:line="360" w:lineRule="auto"/>
        <w:ind w:left="0" w:firstLine="0"/>
        <w:jc w:val="left"/>
        <w:rPr>
          <w:rFonts w:ascii="宋体" w:hAnsi="宋体"/>
          <w:szCs w:val="21"/>
        </w:rPr>
      </w:pPr>
      <w:r>
        <w:rPr>
          <w:rFonts w:ascii="ˎ̥" w:hAnsi="ˎ̥" w:cs="宋体"/>
          <w:color w:val="000000"/>
          <w:kern w:val="0"/>
          <w:szCs w:val="21"/>
        </w:rPr>
        <w:t>企业财务总监、总会计师、财务经理/主管及相关管理人员</w:t>
      </w:r>
    </w:p>
    <w:tbl>
      <w:tblPr>
        <w:tblStyle w:val="4"/>
        <w:tblW w:w="9735" w:type="dxa"/>
        <w:tblInd w:w="-72" w:type="dxa"/>
        <w:tblLayout w:type="fixed"/>
        <w:tblCellMar>
          <w:top w:w="0" w:type="dxa"/>
          <w:left w:w="108" w:type="dxa"/>
          <w:bottom w:w="0" w:type="dxa"/>
          <w:right w:w="108" w:type="dxa"/>
        </w:tblCellMar>
      </w:tblPr>
      <w:tblGrid>
        <w:gridCol w:w="9735"/>
      </w:tblGrid>
      <w:tr>
        <w:tblPrEx>
          <w:tblLayout w:type="fixed"/>
          <w:tblCellMar>
            <w:top w:w="0" w:type="dxa"/>
            <w:left w:w="108" w:type="dxa"/>
            <w:bottom w:w="0" w:type="dxa"/>
            <w:right w:w="108" w:type="dxa"/>
          </w:tblCellMar>
        </w:tblPrEx>
        <w:trPr>
          <w:trHeight w:val="462" w:hRule="atLeast"/>
        </w:trPr>
        <w:tc>
          <w:tcPr>
            <w:tcW w:w="9735" w:type="dxa"/>
            <w:shd w:val="clear" w:color="auto" w:fill="D9D9D9"/>
            <w:vAlign w:val="center"/>
          </w:tcPr>
          <w:p>
            <w:pPr>
              <w:widowControl/>
              <w:spacing w:line="360" w:lineRule="auto"/>
              <w:jc w:val="left"/>
              <w:rPr>
                <w:rFonts w:eastAsia="黑体"/>
                <w:b/>
                <w:szCs w:val="21"/>
              </w:rPr>
            </w:pPr>
            <w:r>
              <w:rPr>
                <w:rFonts w:hint="eastAsia" w:ascii="宋体" w:hAnsi="宋体" w:cs="宋体"/>
                <w:b/>
                <w:bCs/>
                <w:color w:val="000000"/>
                <w:kern w:val="0"/>
                <w:sz w:val="24"/>
                <w:shd w:val="pct10" w:color="auto" w:fill="FFFFFF"/>
              </w:rPr>
              <w:t>学制及学费</w:t>
            </w:r>
          </w:p>
        </w:tc>
      </w:tr>
    </w:tbl>
    <w:p>
      <w:pPr>
        <w:pStyle w:val="8"/>
        <w:numPr>
          <w:ilvl w:val="0"/>
          <w:numId w:val="2"/>
        </w:numPr>
        <w:spacing w:before="156" w:beforeLines="50" w:line="360" w:lineRule="auto"/>
        <w:ind w:firstLineChars="0"/>
        <w:jc w:val="left"/>
        <w:rPr>
          <w:rFonts w:ascii="宋体" w:hAnsi="宋体"/>
          <w:b/>
          <w:szCs w:val="21"/>
        </w:rPr>
      </w:pPr>
      <w:r>
        <w:rPr>
          <w:rFonts w:hint="eastAsia" w:ascii="宋体" w:hAnsi="宋体"/>
          <w:szCs w:val="21"/>
        </w:rPr>
        <w:t>学制：一年,每月集中授课一次，每次两天。</w:t>
      </w:r>
    </w:p>
    <w:p>
      <w:pPr>
        <w:pStyle w:val="8"/>
        <w:numPr>
          <w:ilvl w:val="0"/>
          <w:numId w:val="3"/>
        </w:numPr>
        <w:spacing w:after="156" w:afterLines="50" w:line="360" w:lineRule="auto"/>
        <w:ind w:left="0" w:firstLine="0" w:firstLineChars="0"/>
        <w:jc w:val="left"/>
        <w:rPr>
          <w:rFonts w:ascii="宋体" w:hAnsi="宋体"/>
          <w:b/>
          <w:szCs w:val="21"/>
        </w:rPr>
      </w:pPr>
      <w:r>
        <w:rPr>
          <w:rFonts w:hint="eastAsia"/>
          <w:b/>
          <w:szCs w:val="21"/>
        </w:rPr>
        <w:t>10800元∕人。同一单位两人或以上每人10000元。</w:t>
      </w:r>
      <w:r>
        <w:rPr>
          <w:rFonts w:hint="eastAsia"/>
          <w:szCs w:val="21"/>
        </w:rPr>
        <w:t>（此费用包括学费、教材或讲义等）。</w:t>
      </w:r>
    </w:p>
    <w:tbl>
      <w:tblPr>
        <w:tblStyle w:val="4"/>
        <w:tblW w:w="9735" w:type="dxa"/>
        <w:tblInd w:w="-72" w:type="dxa"/>
        <w:tblLayout w:type="fixed"/>
        <w:tblCellMar>
          <w:top w:w="0" w:type="dxa"/>
          <w:left w:w="108" w:type="dxa"/>
          <w:bottom w:w="0" w:type="dxa"/>
          <w:right w:w="108" w:type="dxa"/>
        </w:tblCellMar>
      </w:tblPr>
      <w:tblGrid>
        <w:gridCol w:w="9735"/>
      </w:tblGrid>
      <w:tr>
        <w:tblPrEx>
          <w:tblLayout w:type="fixed"/>
          <w:tblCellMar>
            <w:top w:w="0" w:type="dxa"/>
            <w:left w:w="108" w:type="dxa"/>
            <w:bottom w:w="0" w:type="dxa"/>
            <w:right w:w="108" w:type="dxa"/>
          </w:tblCellMar>
        </w:tblPrEx>
        <w:trPr>
          <w:trHeight w:val="199" w:hRule="atLeast"/>
        </w:trPr>
        <w:tc>
          <w:tcPr>
            <w:tcW w:w="9735" w:type="dxa"/>
            <w:shd w:val="clear" w:color="auto" w:fill="D9D9D9"/>
            <w:vAlign w:val="center"/>
          </w:tcPr>
          <w:p>
            <w:pPr>
              <w:widowControl/>
              <w:spacing w:line="360" w:lineRule="auto"/>
              <w:jc w:val="left"/>
              <w:rPr>
                <w:rFonts w:ascii="黑体" w:hAnsi="宋体" w:eastAsia="黑体"/>
                <w:b/>
                <w:szCs w:val="21"/>
              </w:rPr>
            </w:pPr>
            <w:r>
              <w:rPr>
                <w:rFonts w:hint="eastAsia" w:ascii="宋体" w:hAnsi="宋体" w:cs="宋体"/>
                <w:b/>
                <w:bCs/>
                <w:color w:val="000000"/>
                <w:kern w:val="0"/>
                <w:sz w:val="24"/>
                <w:shd w:val="pct10" w:color="auto" w:fill="FFFFFF"/>
              </w:rPr>
              <w:t>报名方式</w:t>
            </w:r>
          </w:p>
        </w:tc>
      </w:tr>
    </w:tbl>
    <w:p>
      <w:pPr>
        <w:pStyle w:val="8"/>
        <w:spacing w:before="156" w:beforeLines="50" w:line="360" w:lineRule="auto"/>
        <w:ind w:firstLine="0" w:firstLineChars="0"/>
        <w:jc w:val="left"/>
        <w:rPr>
          <w:rFonts w:ascii="宋体" w:hAnsi="宋体"/>
          <w:szCs w:val="21"/>
        </w:rPr>
      </w:pPr>
      <w:r>
        <w:rPr>
          <w:rFonts w:hint="eastAsia" w:ascii="宋体" w:hAnsi="宋体"/>
          <w:szCs w:val="21"/>
        </w:rPr>
        <w:t>◆  递交：报名表、身份证及学历证复印件、任职证明各一份、四张二</w:t>
      </w:r>
      <w:r>
        <w:rPr>
          <w:rFonts w:ascii="宋体" w:hAnsi="宋体"/>
          <w:szCs w:val="21"/>
        </w:rPr>
        <w:t>寸免冠彩色照片；</w:t>
      </w:r>
    </w:p>
    <w:p>
      <w:pPr>
        <w:pStyle w:val="8"/>
        <w:spacing w:line="360" w:lineRule="auto"/>
        <w:ind w:firstLine="0" w:firstLineChars="0"/>
        <w:jc w:val="left"/>
        <w:rPr>
          <w:rFonts w:ascii="宋体" w:hAnsi="宋体"/>
          <w:szCs w:val="21"/>
        </w:rPr>
      </w:pPr>
      <w:r>
        <w:rPr>
          <w:rFonts w:hint="eastAsia" w:ascii="宋体" w:hAnsi="宋体"/>
          <w:szCs w:val="21"/>
        </w:rPr>
        <w:t>◆  学院</w:t>
      </w:r>
      <w:r>
        <w:rPr>
          <w:rFonts w:ascii="宋体" w:hAnsi="宋体"/>
          <w:szCs w:val="21"/>
        </w:rPr>
        <w:t>根据报名资料评审后，择优录取</w:t>
      </w:r>
      <w:r>
        <w:rPr>
          <w:rFonts w:hint="eastAsia" w:ascii="宋体" w:hAnsi="宋体"/>
          <w:szCs w:val="21"/>
        </w:rPr>
        <w:t>。</w:t>
      </w:r>
    </w:p>
    <w:p>
      <w:pPr>
        <w:widowControl/>
        <w:spacing w:line="360" w:lineRule="auto"/>
        <w:jc w:val="left"/>
        <w:rPr>
          <w:rFonts w:ascii="宋体" w:hAnsi="宋体" w:cs="宋体"/>
          <w:b/>
          <w:bCs/>
          <w:color w:val="000000"/>
          <w:kern w:val="0"/>
          <w:sz w:val="24"/>
          <w:shd w:val="pct10" w:color="auto" w:fill="FFFFFF"/>
        </w:rPr>
      </w:pPr>
    </w:p>
    <w:p>
      <w:pPr>
        <w:widowControl/>
        <w:spacing w:line="360" w:lineRule="auto"/>
        <w:jc w:val="left"/>
        <w:rPr>
          <w:rFonts w:hint="default" w:ascii="宋体" w:hAnsi="宋体" w:cs="宋体"/>
          <w:b/>
          <w:bCs/>
          <w:color w:val="000000"/>
          <w:kern w:val="0"/>
          <w:sz w:val="24"/>
          <w:shd w:val="pct10" w:color="auto" w:fill="FFFFFF"/>
          <w:lang w:val="en-US" w:eastAsia="zh-CN"/>
        </w:rPr>
      </w:pPr>
      <w:r>
        <w:rPr>
          <w:rFonts w:ascii="宋体" w:hAnsi="宋体" w:cs="宋体"/>
          <w:b/>
          <w:bCs/>
          <w:color w:val="000000"/>
          <w:kern w:val="0"/>
          <w:sz w:val="24"/>
          <w:shd w:val="pct10" w:color="auto" w:fill="FFFFFF"/>
        </w:rPr>
        <w:t>联系电话</w:t>
      </w:r>
      <w:r>
        <w:rPr>
          <w:rFonts w:hint="eastAsia" w:ascii="宋体" w:hAnsi="宋体" w:cs="宋体"/>
          <w:b/>
          <w:bCs/>
          <w:color w:val="000000"/>
          <w:kern w:val="0"/>
          <w:sz w:val="24"/>
          <w:shd w:val="pct10" w:color="auto" w:fill="FFFFFF"/>
        </w:rPr>
        <w:t xml:space="preserve">： </w:t>
      </w:r>
      <w:r>
        <w:rPr>
          <w:rFonts w:hint="eastAsia" w:ascii="宋体" w:hAnsi="宋体" w:cs="宋体"/>
          <w:b/>
          <w:bCs/>
          <w:color w:val="000000"/>
          <w:kern w:val="0"/>
          <w:sz w:val="24"/>
          <w:shd w:val="pct10" w:color="auto" w:fill="FFFFFF"/>
          <w:lang w:val="en-US" w:eastAsia="zh-CN"/>
        </w:rPr>
        <w:t>400-061-6586</w:t>
      </w:r>
      <w:bookmarkStart w:id="0" w:name="_GoBack"/>
      <w:bookmarkEnd w:id="0"/>
    </w:p>
    <w:p>
      <w:pPr>
        <w:widowControl/>
        <w:spacing w:line="360" w:lineRule="auto"/>
        <w:jc w:val="left"/>
        <w:rPr>
          <w:rFonts w:hint="eastAsia" w:ascii="宋体" w:hAnsi="宋体" w:cs="宋体"/>
          <w:b/>
          <w:bCs/>
          <w:color w:val="000000"/>
          <w:kern w:val="0"/>
          <w:sz w:val="24"/>
          <w:shd w:val="pct10" w:color="auto" w:fill="FFFFFF"/>
          <w:lang w:val="en-US" w:eastAsia="zh-CN"/>
        </w:rPr>
      </w:pPr>
    </w:p>
    <w:p>
      <w:pPr>
        <w:widowControl/>
        <w:spacing w:line="360" w:lineRule="auto"/>
        <w:jc w:val="left"/>
        <w:rPr>
          <w:rFonts w:hint="eastAsia" w:ascii="宋体" w:hAnsi="宋体" w:cs="宋体"/>
          <w:b/>
          <w:bCs/>
          <w:color w:val="000000"/>
          <w:kern w:val="0"/>
          <w:sz w:val="24"/>
          <w:shd w:val="pct10" w:color="auto" w:fill="FFFFFF"/>
          <w:lang w:val="en-US" w:eastAsia="zh-CN"/>
        </w:rPr>
      </w:pPr>
    </w:p>
    <w:p>
      <w:pPr>
        <w:widowControl/>
        <w:spacing w:line="360" w:lineRule="auto"/>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8"/>
          <w:szCs w:val="28"/>
          <w:lang w:val="en-US" w:eastAsia="zh-CN" w:bidi="ar-SA"/>
        </w:rPr>
        <w:t xml:space="preserve"> 报名表</w:t>
      </w:r>
    </w:p>
    <w:tbl>
      <w:tblPr>
        <w:tblStyle w:val="4"/>
        <w:tblpPr w:leftFromText="180" w:rightFromText="180" w:vertAnchor="text" w:horzAnchor="page" w:tblpX="1661" w:tblpY="17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632"/>
        <w:gridCol w:w="1144"/>
        <w:gridCol w:w="1139"/>
        <w:gridCol w:w="130"/>
        <w:gridCol w:w="917"/>
        <w:gridCol w:w="474"/>
        <w:gridCol w:w="178"/>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242" w:type="dxa"/>
            <w:tcBorders>
              <w:bottom w:val="single" w:color="auto" w:sz="4" w:space="0"/>
            </w:tcBorders>
            <w:noWrap w:val="0"/>
            <w:vAlign w:val="center"/>
          </w:tcPr>
          <w:p>
            <w:pPr>
              <w:jc w:val="center"/>
              <w:rPr>
                <w:rFonts w:hint="eastAsia"/>
                <w:sz w:val="24"/>
              </w:rPr>
            </w:pPr>
            <w:r>
              <w:rPr>
                <w:rFonts w:hint="eastAsia"/>
                <w:sz w:val="24"/>
              </w:rPr>
              <w:t>姓   名</w:t>
            </w:r>
          </w:p>
        </w:tc>
        <w:tc>
          <w:tcPr>
            <w:tcW w:w="2776" w:type="dxa"/>
            <w:gridSpan w:val="2"/>
            <w:tcBorders>
              <w:bottom w:val="single" w:color="auto" w:sz="4" w:space="0"/>
            </w:tcBorders>
            <w:noWrap w:val="0"/>
            <w:vAlign w:val="center"/>
          </w:tcPr>
          <w:p>
            <w:pPr>
              <w:jc w:val="center"/>
              <w:rPr>
                <w:sz w:val="24"/>
              </w:rPr>
            </w:pPr>
          </w:p>
        </w:tc>
        <w:tc>
          <w:tcPr>
            <w:tcW w:w="1139" w:type="dxa"/>
            <w:tcBorders>
              <w:bottom w:val="single" w:color="auto" w:sz="4" w:space="0"/>
            </w:tcBorders>
            <w:noWrap w:val="0"/>
            <w:vAlign w:val="center"/>
          </w:tcPr>
          <w:p>
            <w:pPr>
              <w:jc w:val="center"/>
              <w:rPr>
                <w:rFonts w:hint="eastAsia"/>
                <w:sz w:val="24"/>
              </w:rPr>
            </w:pPr>
            <w:r>
              <w:rPr>
                <w:rFonts w:hint="eastAsia"/>
                <w:sz w:val="24"/>
              </w:rPr>
              <w:t>性   别</w:t>
            </w:r>
          </w:p>
        </w:tc>
        <w:tc>
          <w:tcPr>
            <w:tcW w:w="1047" w:type="dxa"/>
            <w:gridSpan w:val="2"/>
            <w:tcBorders>
              <w:bottom w:val="single" w:color="auto" w:sz="4" w:space="0"/>
            </w:tcBorders>
            <w:noWrap w:val="0"/>
            <w:vAlign w:val="center"/>
          </w:tcPr>
          <w:p>
            <w:pPr>
              <w:jc w:val="center"/>
              <w:rPr>
                <w:rFonts w:hint="eastAsia"/>
                <w:sz w:val="24"/>
              </w:rPr>
            </w:pPr>
          </w:p>
        </w:tc>
        <w:tc>
          <w:tcPr>
            <w:tcW w:w="2318" w:type="dxa"/>
            <w:gridSpan w:val="3"/>
            <w:vMerge w:val="restart"/>
            <w:noWrap w:val="0"/>
            <w:vAlign w:val="center"/>
          </w:tcPr>
          <w:p>
            <w:pPr>
              <w:jc w:val="center"/>
              <w:rPr>
                <w:rFonts w:hint="eastAsia"/>
                <w:sz w:val="18"/>
              </w:rPr>
            </w:pPr>
            <w:r>
              <w:rPr>
                <w:rFonts w:hint="eastAsia"/>
                <w:sz w:val="24"/>
              </w:rPr>
              <w:t>2寸</w:t>
            </w:r>
          </w:p>
          <w:p>
            <w:pPr>
              <w:jc w:val="center"/>
              <w:rPr>
                <w:rFonts w:hint="eastAsia"/>
                <w:sz w:val="18"/>
              </w:rPr>
            </w:pPr>
          </w:p>
          <w:p>
            <w:pPr>
              <w:jc w:val="center"/>
              <w:rPr>
                <w:rFonts w:hint="eastAsia"/>
                <w:sz w:val="24"/>
              </w:rPr>
            </w:pPr>
            <w:r>
              <w:rPr>
                <w:rFonts w:hint="eastAsia"/>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rPr>
        <w:tc>
          <w:tcPr>
            <w:tcW w:w="1242" w:type="dxa"/>
            <w:noWrap w:val="0"/>
            <w:vAlign w:val="center"/>
          </w:tcPr>
          <w:p>
            <w:pPr>
              <w:jc w:val="center"/>
              <w:rPr>
                <w:rFonts w:hint="eastAsia"/>
                <w:sz w:val="24"/>
              </w:rPr>
            </w:pPr>
            <w:r>
              <w:rPr>
                <w:rFonts w:hint="eastAsia"/>
                <w:sz w:val="24"/>
              </w:rPr>
              <w:t>出生日期</w:t>
            </w:r>
          </w:p>
        </w:tc>
        <w:tc>
          <w:tcPr>
            <w:tcW w:w="1632" w:type="dxa"/>
            <w:noWrap w:val="0"/>
            <w:vAlign w:val="center"/>
          </w:tcPr>
          <w:p>
            <w:pPr>
              <w:jc w:val="center"/>
              <w:rPr>
                <w:rFonts w:hint="eastAsia"/>
                <w:sz w:val="24"/>
              </w:rPr>
            </w:pPr>
            <w:r>
              <w:rPr>
                <w:rFonts w:hint="eastAsia"/>
                <w:sz w:val="24"/>
              </w:rPr>
              <w:t xml:space="preserve">年  </w:t>
            </w:r>
            <w:r>
              <w:rPr>
                <w:sz w:val="24"/>
              </w:rPr>
              <w:t xml:space="preserve"> </w:t>
            </w:r>
            <w:r>
              <w:rPr>
                <w:rFonts w:hint="eastAsia"/>
                <w:sz w:val="24"/>
              </w:rPr>
              <w:t>月   日</w:t>
            </w:r>
          </w:p>
        </w:tc>
        <w:tc>
          <w:tcPr>
            <w:tcW w:w="1144" w:type="dxa"/>
            <w:noWrap w:val="0"/>
            <w:vAlign w:val="center"/>
          </w:tcPr>
          <w:p>
            <w:pPr>
              <w:jc w:val="center"/>
              <w:rPr>
                <w:rFonts w:hint="eastAsia"/>
                <w:sz w:val="24"/>
              </w:rPr>
            </w:pPr>
            <w:r>
              <w:rPr>
                <w:rFonts w:hint="eastAsia"/>
                <w:sz w:val="24"/>
              </w:rPr>
              <w:t>出生地</w:t>
            </w:r>
          </w:p>
        </w:tc>
        <w:tc>
          <w:tcPr>
            <w:tcW w:w="2186" w:type="dxa"/>
            <w:gridSpan w:val="3"/>
            <w:noWrap w:val="0"/>
            <w:vAlign w:val="center"/>
          </w:tcPr>
          <w:p>
            <w:pPr>
              <w:jc w:val="center"/>
              <w:rPr>
                <w:rFonts w:hint="eastAsia"/>
                <w:sz w:val="24"/>
              </w:rPr>
            </w:pPr>
            <w:r>
              <w:rPr>
                <w:rFonts w:hint="eastAsia"/>
                <w:sz w:val="24"/>
              </w:rPr>
              <w:t xml:space="preserve">省  </w:t>
            </w:r>
            <w:r>
              <w:rPr>
                <w:sz w:val="24"/>
              </w:rPr>
              <w:t xml:space="preserve"> </w:t>
            </w:r>
            <w:r>
              <w:rPr>
                <w:rFonts w:hint="eastAsia"/>
                <w:sz w:val="24"/>
              </w:rPr>
              <w:t>市    区</w:t>
            </w:r>
          </w:p>
        </w:tc>
        <w:tc>
          <w:tcPr>
            <w:tcW w:w="2318" w:type="dxa"/>
            <w:gridSpan w:val="3"/>
            <w:vMerge w:val="continue"/>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42" w:type="dxa"/>
            <w:noWrap w:val="0"/>
            <w:vAlign w:val="center"/>
          </w:tcPr>
          <w:p>
            <w:pPr>
              <w:jc w:val="center"/>
              <w:rPr>
                <w:rFonts w:hint="eastAsia"/>
                <w:sz w:val="18"/>
              </w:rPr>
            </w:pPr>
            <w:r>
              <w:rPr>
                <w:rFonts w:hint="eastAsia"/>
                <w:sz w:val="24"/>
              </w:rPr>
              <w:t>工作单位</w:t>
            </w:r>
          </w:p>
        </w:tc>
        <w:tc>
          <w:tcPr>
            <w:tcW w:w="4962" w:type="dxa"/>
            <w:gridSpan w:val="5"/>
            <w:noWrap w:val="0"/>
            <w:vAlign w:val="center"/>
          </w:tcPr>
          <w:p>
            <w:pPr>
              <w:jc w:val="center"/>
              <w:rPr>
                <w:rFonts w:hint="eastAsia"/>
                <w:b/>
                <w:bCs/>
                <w:sz w:val="28"/>
              </w:rPr>
            </w:pPr>
          </w:p>
        </w:tc>
        <w:tc>
          <w:tcPr>
            <w:tcW w:w="2318" w:type="dxa"/>
            <w:gridSpan w:val="3"/>
            <w:vMerge w:val="continue"/>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atLeast"/>
        </w:trPr>
        <w:tc>
          <w:tcPr>
            <w:tcW w:w="1242" w:type="dxa"/>
            <w:noWrap w:val="0"/>
            <w:vAlign w:val="center"/>
          </w:tcPr>
          <w:p>
            <w:pPr>
              <w:jc w:val="center"/>
              <w:rPr>
                <w:rFonts w:hint="eastAsia"/>
                <w:sz w:val="24"/>
              </w:rPr>
            </w:pPr>
            <w:r>
              <w:rPr>
                <w:rFonts w:hint="eastAsia"/>
                <w:sz w:val="24"/>
              </w:rPr>
              <w:t>办公地址</w:t>
            </w:r>
          </w:p>
          <w:p>
            <w:pPr>
              <w:jc w:val="center"/>
              <w:rPr>
                <w:rFonts w:hint="eastAsia"/>
                <w:sz w:val="24"/>
              </w:rPr>
            </w:pPr>
            <w:r>
              <w:rPr>
                <w:rFonts w:hint="eastAsia"/>
                <w:sz w:val="24"/>
              </w:rPr>
              <w:t>邮  编</w:t>
            </w:r>
          </w:p>
        </w:tc>
        <w:tc>
          <w:tcPr>
            <w:tcW w:w="4962" w:type="dxa"/>
            <w:gridSpan w:val="5"/>
            <w:noWrap w:val="0"/>
            <w:vAlign w:val="center"/>
          </w:tcPr>
          <w:p>
            <w:pPr>
              <w:jc w:val="center"/>
              <w:rPr>
                <w:b/>
                <w:bCs/>
                <w:sz w:val="84"/>
              </w:rPr>
            </w:pPr>
          </w:p>
        </w:tc>
        <w:tc>
          <w:tcPr>
            <w:tcW w:w="2318" w:type="dxa"/>
            <w:gridSpan w:val="3"/>
            <w:vMerge w:val="continue"/>
            <w:noWrap w:val="0"/>
            <w:vAlign w:val="center"/>
          </w:tcPr>
          <w:p>
            <w:pPr>
              <w:jc w:val="center"/>
              <w:rPr>
                <w:b/>
                <w:bCs/>
                <w:sz w:val="8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1242" w:type="dxa"/>
            <w:noWrap w:val="0"/>
            <w:vAlign w:val="center"/>
          </w:tcPr>
          <w:p>
            <w:pPr>
              <w:jc w:val="center"/>
              <w:rPr>
                <w:rFonts w:hint="eastAsia"/>
                <w:sz w:val="24"/>
              </w:rPr>
            </w:pPr>
            <w:r>
              <w:rPr>
                <w:rFonts w:hint="eastAsia"/>
                <w:sz w:val="24"/>
              </w:rPr>
              <w:t>所在部门</w:t>
            </w:r>
          </w:p>
        </w:tc>
        <w:tc>
          <w:tcPr>
            <w:tcW w:w="2776" w:type="dxa"/>
            <w:gridSpan w:val="2"/>
            <w:noWrap w:val="0"/>
            <w:vAlign w:val="center"/>
          </w:tcPr>
          <w:p>
            <w:pPr>
              <w:jc w:val="center"/>
              <w:rPr>
                <w:b/>
                <w:bCs/>
                <w:sz w:val="24"/>
              </w:rPr>
            </w:pPr>
          </w:p>
        </w:tc>
        <w:tc>
          <w:tcPr>
            <w:tcW w:w="2186" w:type="dxa"/>
            <w:gridSpan w:val="3"/>
            <w:noWrap w:val="0"/>
            <w:vAlign w:val="center"/>
          </w:tcPr>
          <w:p>
            <w:pPr>
              <w:jc w:val="center"/>
              <w:rPr>
                <w:rFonts w:hint="eastAsia"/>
                <w:sz w:val="24"/>
              </w:rPr>
            </w:pPr>
            <w:r>
              <w:rPr>
                <w:rFonts w:hint="eastAsia"/>
                <w:sz w:val="24"/>
              </w:rPr>
              <w:t>职    务</w:t>
            </w:r>
          </w:p>
        </w:tc>
        <w:tc>
          <w:tcPr>
            <w:tcW w:w="2318" w:type="dxa"/>
            <w:gridSpan w:val="3"/>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trPr>
        <w:tc>
          <w:tcPr>
            <w:tcW w:w="1242" w:type="dxa"/>
            <w:noWrap w:val="0"/>
            <w:vAlign w:val="center"/>
          </w:tcPr>
          <w:p>
            <w:pPr>
              <w:jc w:val="center"/>
              <w:rPr>
                <w:rFonts w:hint="eastAsia"/>
                <w:sz w:val="24"/>
              </w:rPr>
            </w:pPr>
            <w:r>
              <w:rPr>
                <w:rFonts w:hint="eastAsia"/>
                <w:sz w:val="24"/>
              </w:rPr>
              <w:t>办公电话</w:t>
            </w:r>
          </w:p>
        </w:tc>
        <w:tc>
          <w:tcPr>
            <w:tcW w:w="2776" w:type="dxa"/>
            <w:gridSpan w:val="2"/>
            <w:noWrap w:val="0"/>
            <w:vAlign w:val="center"/>
          </w:tcPr>
          <w:p>
            <w:pPr>
              <w:jc w:val="center"/>
              <w:rPr>
                <w:rFonts w:hint="eastAsia"/>
                <w:b/>
                <w:bCs/>
                <w:sz w:val="24"/>
              </w:rPr>
            </w:pPr>
          </w:p>
        </w:tc>
        <w:tc>
          <w:tcPr>
            <w:tcW w:w="2186" w:type="dxa"/>
            <w:gridSpan w:val="3"/>
            <w:noWrap w:val="0"/>
            <w:vAlign w:val="center"/>
          </w:tcPr>
          <w:p>
            <w:pPr>
              <w:jc w:val="center"/>
              <w:rPr>
                <w:rFonts w:hint="eastAsia"/>
                <w:sz w:val="24"/>
              </w:rPr>
            </w:pPr>
            <w:r>
              <w:rPr>
                <w:rFonts w:hint="eastAsia"/>
                <w:sz w:val="24"/>
              </w:rPr>
              <w:t>手   机</w:t>
            </w:r>
          </w:p>
        </w:tc>
        <w:tc>
          <w:tcPr>
            <w:tcW w:w="2318" w:type="dxa"/>
            <w:gridSpan w:val="3"/>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1242" w:type="dxa"/>
            <w:noWrap w:val="0"/>
            <w:vAlign w:val="center"/>
          </w:tcPr>
          <w:p>
            <w:pPr>
              <w:jc w:val="center"/>
              <w:rPr>
                <w:rFonts w:hint="eastAsia"/>
                <w:sz w:val="24"/>
              </w:rPr>
            </w:pPr>
            <w:r>
              <w:rPr>
                <w:rFonts w:hint="eastAsia"/>
                <w:bCs/>
                <w:sz w:val="24"/>
              </w:rPr>
              <w:t>家庭电话</w:t>
            </w:r>
          </w:p>
        </w:tc>
        <w:tc>
          <w:tcPr>
            <w:tcW w:w="2776" w:type="dxa"/>
            <w:gridSpan w:val="2"/>
            <w:noWrap w:val="0"/>
            <w:vAlign w:val="center"/>
          </w:tcPr>
          <w:p>
            <w:pPr>
              <w:jc w:val="center"/>
              <w:rPr>
                <w:rFonts w:hint="eastAsia"/>
                <w:b/>
                <w:bCs/>
                <w:sz w:val="24"/>
              </w:rPr>
            </w:pPr>
          </w:p>
        </w:tc>
        <w:tc>
          <w:tcPr>
            <w:tcW w:w="2186" w:type="dxa"/>
            <w:gridSpan w:val="3"/>
            <w:noWrap w:val="0"/>
            <w:vAlign w:val="center"/>
          </w:tcPr>
          <w:p>
            <w:pPr>
              <w:jc w:val="center"/>
              <w:rPr>
                <w:rFonts w:hint="eastAsia"/>
                <w:sz w:val="24"/>
              </w:rPr>
            </w:pPr>
            <w:r>
              <w:rPr>
                <w:rFonts w:hint="eastAsia"/>
                <w:sz w:val="24"/>
              </w:rPr>
              <w:t>E-mail</w:t>
            </w:r>
          </w:p>
        </w:tc>
        <w:tc>
          <w:tcPr>
            <w:tcW w:w="2318" w:type="dxa"/>
            <w:gridSpan w:val="3"/>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242" w:type="dxa"/>
            <w:noWrap w:val="0"/>
            <w:vAlign w:val="center"/>
          </w:tcPr>
          <w:p>
            <w:pPr>
              <w:jc w:val="center"/>
              <w:rPr>
                <w:rFonts w:hint="eastAsia"/>
                <w:sz w:val="24"/>
              </w:rPr>
            </w:pPr>
            <w:r>
              <w:rPr>
                <w:rFonts w:hint="eastAsia"/>
                <w:sz w:val="24"/>
              </w:rPr>
              <w:t>学历情况</w:t>
            </w:r>
          </w:p>
        </w:tc>
        <w:tc>
          <w:tcPr>
            <w:tcW w:w="7280" w:type="dxa"/>
            <w:gridSpan w:val="8"/>
            <w:noWrap w:val="0"/>
            <w:vAlign w:val="center"/>
          </w:tcPr>
          <w:p>
            <w:pPr>
              <w:ind w:firstLine="240" w:firstLineChars="100"/>
              <w:rPr>
                <w:rFonts w:hint="eastAsia"/>
                <w:sz w:val="24"/>
              </w:rPr>
            </w:pPr>
            <w:r>
              <w:rPr>
                <w:rFonts w:hint="eastAsia"/>
                <w:bCs/>
                <w:sz w:val="24"/>
              </w:rPr>
              <w:t>□大专     □本科     □研究生     □其他</w:t>
            </w:r>
            <w:r>
              <w:rPr>
                <w:rFonts w:hint="eastAsia"/>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42" w:type="dxa"/>
            <w:vMerge w:val="restart"/>
            <w:noWrap w:val="0"/>
            <w:vAlign w:val="center"/>
          </w:tcPr>
          <w:p>
            <w:pPr>
              <w:jc w:val="center"/>
              <w:rPr>
                <w:rFonts w:hint="eastAsia"/>
                <w:sz w:val="24"/>
              </w:rPr>
            </w:pPr>
            <w:r>
              <w:rPr>
                <w:rFonts w:hint="eastAsia"/>
                <w:sz w:val="24"/>
              </w:rPr>
              <w:t>单位简介</w:t>
            </w:r>
          </w:p>
        </w:tc>
        <w:tc>
          <w:tcPr>
            <w:tcW w:w="1632" w:type="dxa"/>
            <w:noWrap w:val="0"/>
            <w:vAlign w:val="center"/>
          </w:tcPr>
          <w:p>
            <w:pPr>
              <w:jc w:val="center"/>
              <w:rPr>
                <w:rFonts w:hint="eastAsia"/>
                <w:sz w:val="24"/>
              </w:rPr>
            </w:pPr>
            <w:r>
              <w:rPr>
                <w:rFonts w:hint="eastAsia"/>
                <w:sz w:val="24"/>
              </w:rPr>
              <w:t>所属行业</w:t>
            </w:r>
          </w:p>
        </w:tc>
        <w:tc>
          <w:tcPr>
            <w:tcW w:w="1144" w:type="dxa"/>
            <w:noWrap w:val="0"/>
            <w:vAlign w:val="center"/>
          </w:tcPr>
          <w:p>
            <w:pPr>
              <w:jc w:val="center"/>
              <w:rPr>
                <w:rFonts w:hint="eastAsia"/>
                <w:sz w:val="24"/>
              </w:rPr>
            </w:pPr>
            <w:r>
              <w:rPr>
                <w:rFonts w:hint="eastAsia"/>
                <w:sz w:val="24"/>
              </w:rPr>
              <w:t>资本额</w:t>
            </w:r>
          </w:p>
        </w:tc>
        <w:tc>
          <w:tcPr>
            <w:tcW w:w="1269" w:type="dxa"/>
            <w:gridSpan w:val="2"/>
            <w:noWrap w:val="0"/>
            <w:vAlign w:val="center"/>
          </w:tcPr>
          <w:p>
            <w:pPr>
              <w:jc w:val="center"/>
              <w:rPr>
                <w:sz w:val="24"/>
              </w:rPr>
            </w:pPr>
            <w:r>
              <w:rPr>
                <w:rFonts w:hint="eastAsia"/>
                <w:sz w:val="24"/>
              </w:rPr>
              <w:t>中高层管理人数(人)</w:t>
            </w:r>
          </w:p>
        </w:tc>
        <w:tc>
          <w:tcPr>
            <w:tcW w:w="1569" w:type="dxa"/>
            <w:gridSpan w:val="3"/>
            <w:noWrap w:val="0"/>
            <w:vAlign w:val="center"/>
          </w:tcPr>
          <w:p>
            <w:pPr>
              <w:rPr>
                <w:rFonts w:hint="eastAsia"/>
                <w:sz w:val="24"/>
              </w:rPr>
            </w:pPr>
            <w:r>
              <w:rPr>
                <w:rFonts w:hint="eastAsia"/>
                <w:sz w:val="24"/>
              </w:rPr>
              <w:t>企业年销售额(万元)</w:t>
            </w:r>
          </w:p>
        </w:tc>
        <w:tc>
          <w:tcPr>
            <w:tcW w:w="1666" w:type="dxa"/>
            <w:noWrap w:val="0"/>
            <w:vAlign w:val="center"/>
          </w:tcPr>
          <w:p>
            <w:pPr>
              <w:jc w:val="center"/>
              <w:rPr>
                <w:rFonts w:hint="eastAsia"/>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1242" w:type="dxa"/>
            <w:vMerge w:val="continue"/>
            <w:noWrap w:val="0"/>
            <w:vAlign w:val="center"/>
          </w:tcPr>
          <w:p>
            <w:pPr>
              <w:jc w:val="center"/>
              <w:rPr>
                <w:b/>
                <w:bCs/>
                <w:sz w:val="24"/>
              </w:rPr>
            </w:pPr>
          </w:p>
        </w:tc>
        <w:tc>
          <w:tcPr>
            <w:tcW w:w="1632" w:type="dxa"/>
            <w:noWrap w:val="0"/>
            <w:vAlign w:val="center"/>
          </w:tcPr>
          <w:p>
            <w:pPr>
              <w:jc w:val="center"/>
              <w:rPr>
                <w:b/>
                <w:bCs/>
                <w:sz w:val="24"/>
              </w:rPr>
            </w:pPr>
          </w:p>
        </w:tc>
        <w:tc>
          <w:tcPr>
            <w:tcW w:w="1144" w:type="dxa"/>
            <w:noWrap w:val="0"/>
            <w:vAlign w:val="center"/>
          </w:tcPr>
          <w:p>
            <w:pPr>
              <w:jc w:val="center"/>
              <w:rPr>
                <w:b/>
                <w:bCs/>
                <w:sz w:val="24"/>
              </w:rPr>
            </w:pPr>
          </w:p>
        </w:tc>
        <w:tc>
          <w:tcPr>
            <w:tcW w:w="1269" w:type="dxa"/>
            <w:gridSpan w:val="2"/>
            <w:noWrap w:val="0"/>
            <w:vAlign w:val="center"/>
          </w:tcPr>
          <w:p>
            <w:pPr>
              <w:jc w:val="center"/>
              <w:rPr>
                <w:rFonts w:hint="eastAsia"/>
                <w:b/>
                <w:bCs/>
                <w:sz w:val="24"/>
              </w:rPr>
            </w:pPr>
          </w:p>
        </w:tc>
        <w:tc>
          <w:tcPr>
            <w:tcW w:w="1569" w:type="dxa"/>
            <w:gridSpan w:val="3"/>
            <w:noWrap w:val="0"/>
            <w:vAlign w:val="center"/>
          </w:tcPr>
          <w:p>
            <w:pPr>
              <w:jc w:val="center"/>
              <w:rPr>
                <w:b/>
                <w:bCs/>
                <w:sz w:val="24"/>
              </w:rPr>
            </w:pPr>
          </w:p>
        </w:tc>
        <w:tc>
          <w:tcPr>
            <w:tcW w:w="1666" w:type="dxa"/>
            <w:noWrap w:val="0"/>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2874" w:type="dxa"/>
            <w:gridSpan w:val="2"/>
            <w:noWrap w:val="0"/>
            <w:vAlign w:val="center"/>
          </w:tcPr>
          <w:p>
            <w:pPr>
              <w:rPr>
                <w:b/>
                <w:bCs/>
                <w:sz w:val="24"/>
              </w:rPr>
            </w:pPr>
            <w:r>
              <w:rPr>
                <w:rFonts w:hint="eastAsia" w:ascii="Arial Black" w:hAnsi="Arial Black"/>
                <w:sz w:val="24"/>
              </w:rPr>
              <w:t>您希望今后与您的联系方式</w:t>
            </w:r>
          </w:p>
        </w:tc>
        <w:tc>
          <w:tcPr>
            <w:tcW w:w="2413" w:type="dxa"/>
            <w:gridSpan w:val="3"/>
            <w:noWrap w:val="0"/>
            <w:vAlign w:val="center"/>
          </w:tcPr>
          <w:p>
            <w:pPr>
              <w:rPr>
                <w:rFonts w:hint="eastAsia" w:ascii="Arial Black" w:hAnsi="Arial Black"/>
                <w:sz w:val="24"/>
                <w:u w:val="single"/>
              </w:rPr>
            </w:pPr>
            <w:r>
              <w:rPr>
                <w:rFonts w:hint="eastAsia" w:ascii="宋体" w:hAnsi="宋体"/>
                <w:sz w:val="24"/>
              </w:rPr>
              <w:t>○</w:t>
            </w:r>
            <w:r>
              <w:rPr>
                <w:rFonts w:hint="eastAsia" w:ascii="Arial Black" w:hAnsi="Arial Black"/>
                <w:sz w:val="24"/>
              </w:rPr>
              <w:t xml:space="preserve">办公地址和电话 </w:t>
            </w:r>
          </w:p>
        </w:tc>
        <w:tc>
          <w:tcPr>
            <w:tcW w:w="3235" w:type="dxa"/>
            <w:gridSpan w:val="4"/>
            <w:noWrap w:val="0"/>
            <w:vAlign w:val="center"/>
          </w:tcPr>
          <w:p>
            <w:pPr>
              <w:jc w:val="center"/>
              <w:rPr>
                <w:b/>
                <w:bCs/>
                <w:sz w:val="24"/>
              </w:rPr>
            </w:pPr>
            <w:r>
              <w:rPr>
                <w:rFonts w:hint="eastAsia" w:ascii="宋体" w:hAnsi="宋体"/>
                <w:sz w:val="24"/>
              </w:rPr>
              <w:t>○</w:t>
            </w:r>
            <w:r>
              <w:rPr>
                <w:rFonts w:hint="eastAsia" w:ascii="Arial Black" w:hAnsi="Arial Black"/>
                <w:sz w:val="24"/>
              </w:rPr>
              <w:t xml:space="preserve">家庭地址和电话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2874" w:type="dxa"/>
            <w:gridSpan w:val="2"/>
            <w:noWrap w:val="0"/>
            <w:vAlign w:val="center"/>
          </w:tcPr>
          <w:p>
            <w:pPr>
              <w:rPr>
                <w:b/>
                <w:bCs/>
                <w:sz w:val="24"/>
              </w:rPr>
            </w:pPr>
            <w:r>
              <w:rPr>
                <w:rFonts w:hint="eastAsia" w:ascii="Arial Black" w:hAnsi="Arial Black"/>
                <w:sz w:val="24"/>
              </w:rPr>
              <w:t>请您指定一位紧急联系人</w:t>
            </w:r>
          </w:p>
        </w:tc>
        <w:tc>
          <w:tcPr>
            <w:tcW w:w="1144" w:type="dxa"/>
            <w:noWrap w:val="0"/>
            <w:vAlign w:val="center"/>
          </w:tcPr>
          <w:p>
            <w:pPr>
              <w:jc w:val="center"/>
              <w:rPr>
                <w:b/>
                <w:bCs/>
                <w:sz w:val="24"/>
              </w:rPr>
            </w:pPr>
            <w:r>
              <w:rPr>
                <w:rFonts w:hint="eastAsia" w:ascii="Arial Black" w:hAnsi="Arial Black"/>
                <w:sz w:val="24"/>
              </w:rPr>
              <w:t xml:space="preserve">姓  名      </w:t>
            </w:r>
            <w:r>
              <w:rPr>
                <w:rFonts w:hint="eastAsia" w:ascii="Arial Black" w:hAnsi="Arial Black"/>
                <w:sz w:val="24"/>
                <w:u w:val="single"/>
              </w:rPr>
              <w:t xml:space="preserve"> </w:t>
            </w:r>
          </w:p>
        </w:tc>
        <w:tc>
          <w:tcPr>
            <w:tcW w:w="1269" w:type="dxa"/>
            <w:gridSpan w:val="2"/>
            <w:noWrap w:val="0"/>
            <w:vAlign w:val="center"/>
          </w:tcPr>
          <w:p>
            <w:pPr>
              <w:jc w:val="center"/>
              <w:rPr>
                <w:rFonts w:hint="eastAsia"/>
                <w:b/>
                <w:bCs/>
                <w:sz w:val="24"/>
              </w:rPr>
            </w:pPr>
          </w:p>
        </w:tc>
        <w:tc>
          <w:tcPr>
            <w:tcW w:w="1391" w:type="dxa"/>
            <w:gridSpan w:val="2"/>
            <w:noWrap w:val="0"/>
            <w:vAlign w:val="center"/>
          </w:tcPr>
          <w:p>
            <w:pPr>
              <w:jc w:val="center"/>
              <w:rPr>
                <w:b/>
                <w:bCs/>
                <w:sz w:val="24"/>
              </w:rPr>
            </w:pPr>
            <w:r>
              <w:rPr>
                <w:rFonts w:hint="eastAsia" w:ascii="Arial Black" w:hAnsi="Arial Black"/>
                <w:sz w:val="24"/>
              </w:rPr>
              <w:t>电  话</w:t>
            </w:r>
          </w:p>
        </w:tc>
        <w:tc>
          <w:tcPr>
            <w:tcW w:w="1844" w:type="dxa"/>
            <w:gridSpan w:val="2"/>
            <w:noWrap w:val="0"/>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0" w:hRule="atLeast"/>
        </w:trPr>
        <w:tc>
          <w:tcPr>
            <w:tcW w:w="4018" w:type="dxa"/>
            <w:gridSpan w:val="3"/>
            <w:noWrap w:val="0"/>
            <w:vAlign w:val="center"/>
          </w:tcPr>
          <w:p>
            <w:pPr>
              <w:jc w:val="center"/>
              <w:rPr>
                <w:rFonts w:hint="eastAsia"/>
                <w:sz w:val="24"/>
              </w:rPr>
            </w:pPr>
            <w:r>
              <w:rPr>
                <w:rFonts w:hint="eastAsia" w:ascii="Arial Black" w:hAnsi="Arial Black"/>
                <w:sz w:val="32"/>
              </w:rPr>
              <w:t>贴上清晰的身份证复印件</w:t>
            </w:r>
          </w:p>
        </w:tc>
        <w:tc>
          <w:tcPr>
            <w:tcW w:w="4504" w:type="dxa"/>
            <w:gridSpan w:val="6"/>
            <w:noWrap w:val="0"/>
            <w:vAlign w:val="center"/>
          </w:tcPr>
          <w:p>
            <w:pPr>
              <w:jc w:val="center"/>
              <w:rPr>
                <w:rFonts w:hint="eastAsia"/>
                <w:sz w:val="24"/>
              </w:rPr>
            </w:pPr>
            <w:r>
              <w:rPr>
                <w:rFonts w:hint="eastAsia"/>
                <w:sz w:val="24"/>
              </w:rPr>
              <w:t>个人名片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trPr>
        <w:tc>
          <w:tcPr>
            <w:tcW w:w="8522" w:type="dxa"/>
            <w:gridSpan w:val="9"/>
            <w:noWrap w:val="0"/>
            <w:vAlign w:val="center"/>
          </w:tcPr>
          <w:p>
            <w:pPr>
              <w:numPr>
                <w:ilvl w:val="0"/>
                <w:numId w:val="4"/>
              </w:numPr>
              <w:ind w:right="420"/>
              <w:rPr>
                <w:rFonts w:hint="eastAsia"/>
              </w:rPr>
            </w:pPr>
            <w:r>
              <w:rPr>
                <w:rFonts w:hint="eastAsia"/>
              </w:rPr>
              <w:t>身份证复印件一份    ②学历复印件一份    ③ 2寸彩照4张    ④任职证明复印件一份</w:t>
            </w:r>
          </w:p>
        </w:tc>
      </w:tr>
    </w:tbl>
    <w:p>
      <w:pPr>
        <w:spacing w:line="360" w:lineRule="auto"/>
        <w:rPr>
          <w:rFonts w:hint="eastAsia"/>
          <w:color w:val="000000"/>
          <w:szCs w:val="21"/>
        </w:rPr>
      </w:pPr>
    </w:p>
    <w:p>
      <w:pPr>
        <w:spacing w:line="360" w:lineRule="auto"/>
        <w:jc w:val="center"/>
        <w:rPr>
          <w:rFonts w:hint="eastAsia"/>
          <w:b/>
          <w:color w:val="000000"/>
          <w:sz w:val="28"/>
          <w:szCs w:val="28"/>
        </w:rPr>
      </w:pPr>
    </w:p>
    <w:p>
      <w:pPr>
        <w:jc w:val="left"/>
        <w:rPr>
          <w:rFonts w:hint="eastAsia"/>
          <w:sz w:val="15"/>
          <w:szCs w:val="15"/>
        </w:rPr>
      </w:pPr>
    </w:p>
    <w:p>
      <w:pPr>
        <w:jc w:val="left"/>
        <w:rPr>
          <w:rFonts w:hint="eastAsia"/>
          <w:sz w:val="15"/>
          <w:szCs w:val="15"/>
        </w:rPr>
      </w:pPr>
    </w:p>
    <w:p>
      <w:pPr>
        <w:spacing w:after="312" w:afterLines="100"/>
        <w:jc w:val="both"/>
        <w:rPr>
          <w:rFonts w:hint="eastAsia" w:ascii="隶书" w:eastAsia="隶书"/>
          <w:sz w:val="36"/>
          <w:szCs w:val="36"/>
        </w:rPr>
      </w:pPr>
    </w:p>
    <w:p>
      <w:pPr>
        <w:widowControl/>
        <w:spacing w:line="360" w:lineRule="auto"/>
        <w:jc w:val="left"/>
        <w:rPr>
          <w:rFonts w:hint="eastAsia" w:ascii="宋体" w:hAnsi="宋体" w:cs="宋体"/>
          <w:b/>
          <w:bCs/>
          <w:color w:val="000000"/>
          <w:kern w:val="0"/>
          <w:sz w:val="24"/>
          <w:shd w:val="pct10" w:color="auto" w:fill="FFFFFF"/>
          <w:lang w:val="en-US" w:eastAsia="zh-CN"/>
        </w:rPr>
      </w:pPr>
    </w:p>
    <w:p>
      <w:pPr>
        <w:widowControl/>
        <w:spacing w:line="360" w:lineRule="auto"/>
        <w:jc w:val="left"/>
        <w:rPr>
          <w:rFonts w:hint="eastAsia" w:ascii="宋体" w:hAnsi="宋体" w:cs="宋体"/>
          <w:b/>
          <w:bCs/>
          <w:color w:val="000000"/>
          <w:kern w:val="0"/>
          <w:sz w:val="24"/>
          <w:shd w:val="pct10"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Black">
    <w:panose1 w:val="020B0A04020102020204"/>
    <w:charset w:val="00"/>
    <w:family w:val="swiss"/>
    <w:pitch w:val="default"/>
    <w:sig w:usb0="00000287" w:usb1="00000000" w:usb2="00000000" w:usb3="00000000" w:csb0="2000009F" w:csb1="DFD7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23D2"/>
    <w:multiLevelType w:val="multilevel"/>
    <w:tmpl w:val="206D23D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E47B40"/>
    <w:multiLevelType w:val="multilevel"/>
    <w:tmpl w:val="2BE47B4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3F64DB4"/>
    <w:multiLevelType w:val="multilevel"/>
    <w:tmpl w:val="53F64DB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72B84DAE"/>
    <w:multiLevelType w:val="multilevel"/>
    <w:tmpl w:val="72B84DAE"/>
    <w:lvl w:ilvl="0" w:tentative="0">
      <w:start w:val="1"/>
      <w:numFmt w:val="decimalEnclosedCircle"/>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B7"/>
    <w:rsid w:val="0029639C"/>
    <w:rsid w:val="0035054F"/>
    <w:rsid w:val="004A1D12"/>
    <w:rsid w:val="004F38B7"/>
    <w:rsid w:val="0064469C"/>
    <w:rsid w:val="0079394D"/>
    <w:rsid w:val="0082545D"/>
    <w:rsid w:val="00921B65"/>
    <w:rsid w:val="009E78F9"/>
    <w:rsid w:val="00F66D1C"/>
    <w:rsid w:val="052C30CA"/>
    <w:rsid w:val="58435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470</Words>
  <Characters>2685</Characters>
  <Lines>22</Lines>
  <Paragraphs>6</Paragraphs>
  <TotalTime>2</TotalTime>
  <ScaleCrop>false</ScaleCrop>
  <LinksUpToDate>false</LinksUpToDate>
  <CharactersWithSpaces>3149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2018-03-01T03:41:00Z</dcterms:created>
  <dc:creator>xu</dc:creator>
  <cp:lastModifiedBy>Administrator</cp:lastModifiedBy>
  <dcterms:modified xsi:type="dcterms:W3CDTF">2019-03-18T06:21:53Z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