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jc w:val="center"/>
        <w:rPr>
          <w:rFonts w:hint="eastAsia" w:eastAsia="宋体"/>
          <w:lang w:eastAsia="zh-CN"/>
        </w:rPr>
      </w:pPr>
      <w:r>
        <w:rPr>
          <w:rFonts w:hint="eastAsia" w:eastAsia="宋体"/>
          <w:lang w:eastAsia="zh-CN"/>
        </w:rPr>
        <w:drawing>
          <wp:inline distT="0" distB="0" distL="114300" distR="114300">
            <wp:extent cx="4748530" cy="1677035"/>
            <wp:effectExtent l="0" t="0" r="13970" b="18415"/>
            <wp:docPr id="1" name="图片 1" descr="大连大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大连大学jpg"/>
                    <pic:cNvPicPr>
                      <a:picLocks noChangeAspect="1"/>
                    </pic:cNvPicPr>
                  </pic:nvPicPr>
                  <pic:blipFill>
                    <a:blip r:embed="rId5"/>
                    <a:stretch>
                      <a:fillRect/>
                    </a:stretch>
                  </pic:blipFill>
                  <pic:spPr>
                    <a:xfrm>
                      <a:off x="0" y="0"/>
                      <a:ext cx="4748530" cy="1677035"/>
                    </a:xfrm>
                    <a:prstGeom prst="rect">
                      <a:avLst/>
                    </a:prstGeom>
                  </pic:spPr>
                </pic:pic>
              </a:graphicData>
            </a:graphic>
          </wp:inline>
        </w:drawing>
      </w:r>
    </w:p>
    <w:p/>
    <w:p>
      <w:pPr>
        <w:pStyle w:val="2"/>
        <w:keepNext w:val="0"/>
        <w:keepLines w:val="0"/>
        <w:widowControl/>
        <w:suppressLineNumbers w:val="0"/>
        <w:jc w:val="center"/>
        <w:rPr>
          <w:rFonts w:hint="eastAsia" w:asciiTheme="minorEastAsia" w:hAnsiTheme="minorEastAsia" w:eastAsiaTheme="minorEastAsia" w:cstheme="minorEastAsia"/>
          <w:b/>
          <w:bCs/>
          <w:sz w:val="36"/>
          <w:szCs w:val="36"/>
          <w:shd w:val="clear"/>
        </w:rPr>
      </w:pPr>
      <w:r>
        <w:rPr>
          <w:rFonts w:hint="eastAsia" w:asciiTheme="minorEastAsia" w:hAnsiTheme="minorEastAsia" w:eastAsiaTheme="minorEastAsia" w:cstheme="minorEastAsia"/>
          <w:b/>
          <w:bCs/>
          <w:sz w:val="36"/>
          <w:szCs w:val="36"/>
          <w:lang w:val="en-US" w:eastAsia="zh-CN"/>
        </w:rPr>
        <w:t>大连</w:t>
      </w:r>
      <w:r>
        <w:rPr>
          <w:rFonts w:hint="eastAsia" w:asciiTheme="minorEastAsia" w:hAnsiTheme="minorEastAsia" w:eastAsiaTheme="minorEastAsia" w:cstheme="minorEastAsia"/>
          <w:b/>
          <w:bCs/>
          <w:sz w:val="36"/>
          <w:szCs w:val="36"/>
        </w:rPr>
        <w:t>大学</w:t>
      </w:r>
      <w:r>
        <w:rPr>
          <w:rFonts w:hint="eastAsia" w:asciiTheme="minorEastAsia" w:hAnsiTheme="minorEastAsia" w:eastAsiaTheme="minorEastAsia" w:cstheme="minorEastAsia"/>
          <w:b/>
          <w:bCs/>
          <w:sz w:val="36"/>
          <w:szCs w:val="36"/>
          <w:shd w:val="clear"/>
        </w:rPr>
        <w:t>同等学力人员</w:t>
      </w:r>
      <w:r>
        <w:rPr>
          <w:rFonts w:hint="eastAsia" w:asciiTheme="minorEastAsia" w:hAnsiTheme="minorEastAsia" w:eastAsiaTheme="minorEastAsia" w:cstheme="minorEastAsia"/>
          <w:b/>
          <w:bCs/>
          <w:sz w:val="36"/>
          <w:szCs w:val="36"/>
        </w:rPr>
        <w:t>口腔医学</w:t>
      </w:r>
      <w:r>
        <w:rPr>
          <w:rFonts w:hint="eastAsia" w:asciiTheme="minorEastAsia" w:hAnsiTheme="minorEastAsia" w:eastAsiaTheme="minorEastAsia" w:cstheme="minorEastAsia"/>
          <w:b/>
          <w:bCs/>
          <w:sz w:val="36"/>
          <w:szCs w:val="36"/>
          <w:lang w:val="en-US" w:eastAsia="zh-CN"/>
        </w:rPr>
        <w:t>专业</w:t>
      </w:r>
      <w:r>
        <w:rPr>
          <w:rFonts w:hint="eastAsia" w:asciiTheme="minorEastAsia" w:hAnsiTheme="minorEastAsia" w:eastAsiaTheme="minorEastAsia" w:cstheme="minorEastAsia"/>
          <w:b/>
          <w:bCs/>
          <w:sz w:val="36"/>
          <w:szCs w:val="36"/>
          <w:shd w:val="clear"/>
        </w:rPr>
        <w:t>申请硕士学位招生简章</w:t>
      </w:r>
    </w:p>
    <w:p/>
    <w:p/>
    <w:p>
      <w:pPr>
        <w:numPr>
          <w:ilvl w:val="0"/>
          <w:numId w:val="1"/>
        </w:numPr>
        <w:rPr>
          <w:rFonts w:hint="default" w:asciiTheme="minorEastAsia" w:hAnsiTheme="minorEastAsia" w:eastAsiaTheme="minorEastAsia" w:cstheme="minorEastAsia"/>
          <w:sz w:val="21"/>
          <w:szCs w:val="21"/>
          <w:lang w:val="en-US" w:eastAsia="zh-CN"/>
        </w:rPr>
      </w:pPr>
      <w:r>
        <w:rPr>
          <w:rFonts w:hint="eastAsia"/>
          <w:b/>
          <w:bCs/>
          <w:sz w:val="24"/>
          <w:szCs w:val="24"/>
          <w:lang w:val="en-US" w:eastAsia="zh-CN"/>
        </w:rPr>
        <w:t>院校简介：</w:t>
      </w:r>
    </w:p>
    <w:p>
      <w:pPr>
        <w:snapToGrid w:val="0"/>
        <w:spacing w:line="360" w:lineRule="auto"/>
        <w:ind w:firstLine="525" w:firstLineChars="250"/>
        <w:contextualSpacing/>
        <w:rPr>
          <w:rFonts w:hint="eastAsia" w:asciiTheme="minorEastAsia" w:hAnsiTheme="minorEastAsia" w:eastAsiaTheme="minorEastAsia" w:cstheme="minorEastAsia"/>
          <w:sz w:val="21"/>
          <w:szCs w:val="21"/>
          <w:lang w:val="en-US" w:eastAsia="zh-CN"/>
        </w:rPr>
      </w:pPr>
      <w:r>
        <w:rPr>
          <w:rFonts w:hint="default" w:asciiTheme="minorEastAsia" w:hAnsiTheme="minorEastAsia" w:eastAsiaTheme="minorEastAsia" w:cstheme="minorEastAsia"/>
          <w:sz w:val="21"/>
          <w:szCs w:val="21"/>
          <w:lang w:val="en-US" w:eastAsia="zh-CN"/>
        </w:rPr>
        <w:t>大连大学是一所综合性大学，现已发展成为一所拥有法学、经济、教育、文学、艺术、历史、理学、工学、医学、管理10大学科门类，主要办学指标和综合办学实力进入辽宁省高校前列的综合性普通高等学校。在艾瑞深中国校友会网公布的2021年中国大学排行榜单中，大连大学位居169名。学校现有19个一级学术硕士学位授予点，3个二级学术硕士学位授予点、6个专业硕士学位授予点。大连大学临床医学学科2021年入选中国内地大学学科ESI全球排名前1％。</w:t>
      </w:r>
    </w:p>
    <w:p>
      <w:pPr>
        <w:snapToGrid w:val="0"/>
        <w:spacing w:line="360" w:lineRule="auto"/>
        <w:ind w:firstLine="525" w:firstLineChars="250"/>
        <w:contextualSpacing/>
        <w:rPr>
          <w:rFonts w:hint="eastAsia" w:asciiTheme="minorEastAsia" w:hAnsiTheme="minorEastAsia" w:eastAsiaTheme="minorEastAsia" w:cstheme="minorEastAsia"/>
          <w:sz w:val="21"/>
          <w:szCs w:val="21"/>
          <w:lang w:val="en-US" w:eastAsia="zh-CN"/>
        </w:rPr>
      </w:pPr>
      <w:r>
        <w:rPr>
          <w:rFonts w:hint="default" w:asciiTheme="minorEastAsia" w:hAnsiTheme="minorEastAsia" w:eastAsiaTheme="minorEastAsia" w:cstheme="minorEastAsia"/>
          <w:sz w:val="21"/>
          <w:szCs w:val="21"/>
          <w:lang w:val="en-US" w:eastAsia="zh-CN"/>
        </w:rPr>
        <w:t>大连大学医学院师资力量雄厚，教学及科研条件完善。医学院下设基础医学部、口腔医学系、医学检验系和中医中药学系，拥有口腔医学专业学位硕士点和人体解剖与组织胚胎学、病原生物学、生理学3个二级学术学位硕士点，拥有辽宁省有机天然产物功能性成分利用工程技术研究中心等3个省级研究实验室。大连大学有两所临床学院，分别为大连大学中山临床学院（隶属于大连大学附属中山医院）和大连大学新华临床学院（隶属于大连大学附属新华医院）。附属中山医院教学设施完备，师资力量雄厚，骨外科是国家级临床重点学科，入选“辽宁省提升高等学校核心竞争力特色学科建设工程”高水平重点学科，外科学为“辽宁省高等学校一流特色学科”。</w:t>
      </w:r>
    </w:p>
    <w:p>
      <w:pPr>
        <w:snapToGrid w:val="0"/>
        <w:spacing w:line="360" w:lineRule="auto"/>
        <w:ind w:firstLine="525" w:firstLineChars="250"/>
        <w:contextualSpacing/>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随着医学技术的不断更新发展，口腔医学作为一门研究牙齿及其周围口腔颌面部软、硬组织的发生、发育，及其疾病的病因、发病机理、诊断与治疗等的实践性、综合性、交叉性很强的临床医学科学，越发得到当代人的重视。本校现开放了口腔医学专业的同等学力人员申请硕士学位课程班，用以培养更多的口腔医学人才。</w:t>
      </w:r>
    </w:p>
    <w:p>
      <w:pPr>
        <w:widowControl w:val="0"/>
        <w:numPr>
          <w:ilvl w:val="0"/>
          <w:numId w:val="0"/>
        </w:numPr>
        <w:jc w:val="both"/>
        <w:rPr>
          <w:rFonts w:hint="eastAsia"/>
          <w:b/>
          <w:bCs/>
          <w:sz w:val="24"/>
          <w:szCs w:val="24"/>
          <w:lang w:val="en-US" w:eastAsia="zh-CN"/>
        </w:rPr>
      </w:pPr>
    </w:p>
    <w:p>
      <w:pPr>
        <w:widowControl w:val="0"/>
        <w:numPr>
          <w:ilvl w:val="0"/>
          <w:numId w:val="0"/>
        </w:numPr>
        <w:jc w:val="both"/>
        <w:rPr>
          <w:rFonts w:hint="eastAsia"/>
          <w:b/>
          <w:bCs/>
          <w:sz w:val="24"/>
          <w:szCs w:val="24"/>
          <w:lang w:val="en-US" w:eastAsia="zh-CN"/>
        </w:rPr>
      </w:pPr>
    </w:p>
    <w:p>
      <w:pPr>
        <w:widowControl w:val="0"/>
        <w:numPr>
          <w:ilvl w:val="0"/>
          <w:numId w:val="0"/>
        </w:numPr>
        <w:jc w:val="both"/>
        <w:rPr>
          <w:rFonts w:hint="eastAsia"/>
          <w:b/>
          <w:bCs/>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1"/>
          <w:szCs w:val="21"/>
          <w:lang w:val="en-US" w:eastAsia="zh-CN"/>
        </w:rPr>
      </w:pPr>
      <w:r>
        <w:rPr>
          <w:rFonts w:hint="eastAsia"/>
          <w:b/>
          <w:bCs/>
          <w:sz w:val="24"/>
          <w:szCs w:val="24"/>
          <w:lang w:val="en-US" w:eastAsia="zh-CN"/>
        </w:rPr>
        <w:t>培养目标：</w:t>
      </w:r>
    </w:p>
    <w:p>
      <w:pPr>
        <w:keepNext w:val="0"/>
        <w:keepLines w:val="0"/>
        <w:pageBreakBefore w:val="0"/>
        <w:widowControl w:val="0"/>
        <w:kinsoku/>
        <w:wordWrap/>
        <w:overflowPunct/>
        <w:topLinePunct w:val="0"/>
        <w:autoSpaceDE/>
        <w:autoSpaceDN/>
        <w:bidi w:val="0"/>
        <w:adjustRightInd/>
        <w:snapToGrid w:val="0"/>
        <w:spacing w:line="360" w:lineRule="auto"/>
        <w:ind w:firstLine="525" w:firstLineChars="250"/>
        <w:contextualSpacing/>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本学科专业主要通过学习和掌握扎实的口腔医学基础理论和技能，培养具有高职业素养、了解本学科专业现状和发展动态以及研究方向，同时具有广博的社会科学与自然科学知识，具备从事一定医学研究能力的，能从事口腔医疗工作的技术熟练品德高尚且拥有创新潜能的高层次口腔医学应用型人才。</w:t>
      </w:r>
    </w:p>
    <w:p>
      <w:pPr>
        <w:widowControl w:val="0"/>
        <w:numPr>
          <w:ilvl w:val="0"/>
          <w:numId w:val="0"/>
        </w:numPr>
        <w:jc w:val="both"/>
        <w:rPr>
          <w:rFonts w:hint="default"/>
          <w:b/>
          <w:bCs/>
          <w:sz w:val="24"/>
          <w:szCs w:val="24"/>
          <w:lang w:val="en-US" w:eastAsia="zh-CN"/>
        </w:rPr>
      </w:pPr>
    </w:p>
    <w:p>
      <w:pPr>
        <w:numPr>
          <w:ilvl w:val="0"/>
          <w:numId w:val="1"/>
        </w:numPr>
        <w:rPr>
          <w:rFonts w:hint="eastAsia"/>
          <w:b/>
          <w:bCs/>
          <w:sz w:val="24"/>
          <w:szCs w:val="24"/>
          <w:lang w:val="en-US" w:eastAsia="zh-CN"/>
        </w:rPr>
      </w:pPr>
      <w:r>
        <w:rPr>
          <w:rFonts w:hint="eastAsia"/>
          <w:b/>
          <w:bCs/>
          <w:sz w:val="24"/>
          <w:szCs w:val="24"/>
          <w:lang w:val="en-US" w:eastAsia="zh-CN"/>
        </w:rPr>
        <w:t>项目优势：</w:t>
      </w:r>
    </w:p>
    <w:p>
      <w:pPr>
        <w:widowControl/>
        <w:spacing w:line="360" w:lineRule="auto"/>
        <w:ind w:firstLine="422" w:firstLineChars="200"/>
        <w:contextualSpacing/>
        <w:jc w:val="left"/>
        <w:rPr>
          <w:rFonts w:hint="default" w:ascii="Times New Roman" w:hAnsi="Times New Roman" w:eastAsiaTheme="minorEastAsia"/>
          <w:b w:val="0"/>
          <w:bCs w:val="0"/>
          <w:sz w:val="21"/>
          <w:szCs w:val="21"/>
          <w:lang w:val="en-US" w:eastAsia="zh-CN"/>
        </w:rPr>
      </w:pPr>
      <w:r>
        <w:rPr>
          <w:rFonts w:hint="eastAsia" w:asciiTheme="minorEastAsia" w:hAnsiTheme="minorEastAsia" w:eastAsiaTheme="minorEastAsia" w:cstheme="minorEastAsia"/>
          <w:b/>
          <w:bCs/>
          <w:sz w:val="21"/>
          <w:szCs w:val="21"/>
        </w:rPr>
        <w:t>1、免试入学：</w:t>
      </w:r>
      <w:r>
        <w:rPr>
          <w:rFonts w:hint="eastAsia" w:asciiTheme="minorEastAsia" w:hAnsiTheme="minorEastAsia" w:eastAsiaTheme="minorEastAsia" w:cstheme="minorEastAsia"/>
          <w:b w:val="0"/>
          <w:bCs w:val="0"/>
          <w:sz w:val="21"/>
          <w:szCs w:val="21"/>
          <w:lang w:val="en-US" w:eastAsia="zh-CN"/>
        </w:rPr>
        <w:t>口腔医学类本科毕业生并获得学士学位者可申请报读；</w:t>
      </w:r>
    </w:p>
    <w:p>
      <w:pPr>
        <w:snapToGrid w:val="0"/>
        <w:spacing w:line="360" w:lineRule="auto"/>
        <w:ind w:firstLine="422" w:firstLineChars="200"/>
        <w:contextualSpacing/>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bCs/>
          <w:sz w:val="21"/>
          <w:szCs w:val="21"/>
        </w:rPr>
        <w:t>2、专业优势:</w:t>
      </w:r>
      <w:r>
        <w:rPr>
          <w:rFonts w:hint="eastAsia" w:asciiTheme="minorEastAsia" w:hAnsiTheme="minorEastAsia" w:eastAsiaTheme="minorEastAsia" w:cstheme="minorEastAsia"/>
          <w:b w:val="0"/>
          <w:bCs w:val="0"/>
          <w:sz w:val="21"/>
          <w:szCs w:val="21"/>
          <w:lang w:val="en-US" w:eastAsia="zh-CN"/>
        </w:rPr>
        <w:t>口腔医学专业就业领域较宽，就业率更是能达到95%；</w:t>
      </w:r>
    </w:p>
    <w:p>
      <w:pPr>
        <w:snapToGrid w:val="0"/>
        <w:spacing w:line="360" w:lineRule="auto"/>
        <w:ind w:firstLine="422" w:firstLineChars="200"/>
        <w:contextualSpacing/>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bCs/>
          <w:sz w:val="21"/>
          <w:szCs w:val="21"/>
        </w:rPr>
        <w:t>3、师资队伍：</w:t>
      </w:r>
      <w:r>
        <w:rPr>
          <w:rFonts w:hint="eastAsia" w:asciiTheme="minorEastAsia" w:hAnsiTheme="minorEastAsia" w:eastAsiaTheme="minorEastAsia" w:cstheme="minorEastAsia"/>
          <w:b w:val="0"/>
          <w:bCs w:val="0"/>
          <w:sz w:val="21"/>
          <w:szCs w:val="21"/>
          <w:lang w:val="en-US" w:eastAsia="zh-CN"/>
        </w:rPr>
        <w:t>学校坚持实施人才强校战略，实施“金普学者”系列计划，大力强化“大连市人才储备基地”的功能；</w:t>
      </w:r>
    </w:p>
    <w:p>
      <w:pPr>
        <w:snapToGrid w:val="0"/>
        <w:spacing w:line="360" w:lineRule="auto"/>
        <w:ind w:firstLine="527" w:firstLineChars="250"/>
        <w:contextualSpacing/>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bCs/>
          <w:sz w:val="21"/>
          <w:szCs w:val="21"/>
        </w:rPr>
        <w:t>4、</w:t>
      </w:r>
      <w:r>
        <w:rPr>
          <w:rFonts w:hint="eastAsia" w:asciiTheme="minorEastAsia" w:hAnsiTheme="minorEastAsia" w:eastAsiaTheme="minorEastAsia" w:cstheme="minorEastAsia"/>
          <w:b/>
          <w:bCs/>
          <w:sz w:val="21"/>
          <w:szCs w:val="21"/>
          <w:lang w:val="en-US" w:eastAsia="zh-CN"/>
        </w:rPr>
        <w:t>申硕机会多</w:t>
      </w:r>
      <w:r>
        <w:rPr>
          <w:rFonts w:hint="eastAsia"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val="0"/>
          <w:bCs w:val="0"/>
          <w:sz w:val="21"/>
          <w:szCs w:val="21"/>
          <w:lang w:val="en-US" w:eastAsia="zh-CN"/>
        </w:rPr>
        <w:t>学习课程期间有5次申硕考试机会，准备时间充裕；</w:t>
      </w:r>
    </w:p>
    <w:p>
      <w:pPr>
        <w:snapToGrid w:val="0"/>
        <w:spacing w:line="360" w:lineRule="auto"/>
        <w:ind w:firstLine="527" w:firstLineChars="25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5、科研优势：</w:t>
      </w:r>
      <w:r>
        <w:rPr>
          <w:rFonts w:hint="eastAsia" w:asciiTheme="minorEastAsia" w:hAnsiTheme="minorEastAsia" w:eastAsiaTheme="minorEastAsia" w:cstheme="minorEastAsia"/>
          <w:sz w:val="21"/>
          <w:szCs w:val="21"/>
        </w:rPr>
        <w:t>学校</w:t>
      </w:r>
      <w:r>
        <w:rPr>
          <w:rFonts w:hint="eastAsia" w:ascii="宋体" w:hAnsi="宋体" w:eastAsia="宋体" w:cs="宋体"/>
          <w:i w:val="0"/>
          <w:iCs w:val="0"/>
          <w:caps w:val="0"/>
          <w:color w:val="222222"/>
          <w:spacing w:val="0"/>
          <w:sz w:val="21"/>
          <w:szCs w:val="21"/>
          <w:shd w:val="clear" w:fill="FFFFFF"/>
        </w:rPr>
        <w:t>学校以科研创新推进事业发展，科研实力显著增强</w:t>
      </w:r>
      <w:r>
        <w:rPr>
          <w:rFonts w:hint="eastAsia" w:asciiTheme="minorEastAsia" w:hAnsiTheme="minorEastAsia" w:eastAsiaTheme="minorEastAsia" w:cstheme="minorEastAsia"/>
          <w:sz w:val="21"/>
          <w:szCs w:val="21"/>
        </w:rPr>
        <w:t>；</w:t>
      </w:r>
    </w:p>
    <w:p>
      <w:pPr>
        <w:snapToGrid w:val="0"/>
        <w:spacing w:line="360" w:lineRule="auto"/>
        <w:ind w:firstLine="527" w:firstLineChars="250"/>
        <w:contextualSpacing/>
        <w:rPr>
          <w:rFonts w:hint="eastAsia" w:ascii="宋体" w:hAnsi="宋体" w:eastAsia="宋体" w:cs="宋体"/>
          <w:i w:val="0"/>
          <w:iCs w:val="0"/>
          <w:caps w:val="0"/>
          <w:color w:val="222222"/>
          <w:spacing w:val="0"/>
          <w:sz w:val="21"/>
          <w:szCs w:val="21"/>
          <w:shd w:val="clear" w:fill="FFFFFF"/>
          <w:lang w:eastAsia="zh-CN"/>
        </w:rPr>
      </w:pPr>
      <w:r>
        <w:rPr>
          <w:rFonts w:hint="eastAsia" w:asciiTheme="minorEastAsia" w:hAnsiTheme="minorEastAsia" w:eastAsiaTheme="minorEastAsia" w:cstheme="minorEastAsia"/>
          <w:b/>
          <w:bCs/>
          <w:sz w:val="21"/>
          <w:szCs w:val="21"/>
        </w:rPr>
        <w:t>6、</w:t>
      </w:r>
      <w:r>
        <w:rPr>
          <w:rFonts w:hint="eastAsia" w:asciiTheme="minorEastAsia" w:hAnsiTheme="minorEastAsia" w:eastAsiaTheme="minorEastAsia" w:cstheme="minorEastAsia"/>
          <w:b/>
          <w:bCs/>
          <w:sz w:val="21"/>
          <w:szCs w:val="21"/>
          <w:lang w:val="en-US" w:eastAsia="zh-CN"/>
        </w:rPr>
        <w:t>综合性强</w:t>
      </w:r>
      <w:r>
        <w:rPr>
          <w:rFonts w:hint="eastAsia" w:asciiTheme="minorEastAsia" w:hAnsiTheme="minorEastAsia" w:eastAsiaTheme="minorEastAsia" w:cstheme="minorEastAsia"/>
          <w:b/>
          <w:bCs/>
          <w:sz w:val="21"/>
          <w:szCs w:val="21"/>
        </w:rPr>
        <w:t>：</w:t>
      </w:r>
      <w:r>
        <w:rPr>
          <w:rFonts w:hint="eastAsia" w:ascii="宋体" w:hAnsi="宋体" w:eastAsia="宋体" w:cs="宋体"/>
          <w:i w:val="0"/>
          <w:iCs w:val="0"/>
          <w:caps w:val="0"/>
          <w:color w:val="222222"/>
          <w:spacing w:val="0"/>
          <w:sz w:val="21"/>
          <w:szCs w:val="21"/>
          <w:shd w:val="clear" w:fill="FFFFFF"/>
        </w:rPr>
        <w:t>学校发挥综合性地方大学、多学科交叉融合的优势，紧密围绕大连市战略性新兴产业发展，形成以信息科学、生命科学、材料科学及人文社会科学等为引领的优势学科群</w:t>
      </w:r>
      <w:r>
        <w:rPr>
          <w:rFonts w:hint="eastAsia" w:ascii="宋体" w:hAnsi="宋体" w:cs="宋体"/>
          <w:i w:val="0"/>
          <w:iCs w:val="0"/>
          <w:caps w:val="0"/>
          <w:color w:val="222222"/>
          <w:spacing w:val="0"/>
          <w:sz w:val="21"/>
          <w:szCs w:val="21"/>
          <w:shd w:val="clear" w:fill="FFFFFF"/>
          <w:lang w:eastAsia="zh-CN"/>
        </w:rPr>
        <w:t>。</w:t>
      </w:r>
    </w:p>
    <w:p>
      <w:pPr>
        <w:widowControl w:val="0"/>
        <w:numPr>
          <w:ilvl w:val="0"/>
          <w:numId w:val="0"/>
        </w:numPr>
        <w:jc w:val="both"/>
        <w:rPr>
          <w:rFonts w:hint="default"/>
          <w:b/>
          <w:bCs/>
          <w:sz w:val="24"/>
          <w:szCs w:val="24"/>
          <w:lang w:val="en-US" w:eastAsia="zh-CN"/>
        </w:rPr>
      </w:pPr>
    </w:p>
    <w:p>
      <w:pPr>
        <w:numPr>
          <w:ilvl w:val="0"/>
          <w:numId w:val="1"/>
        </w:numPr>
        <w:rPr>
          <w:rFonts w:hint="eastAsia" w:asciiTheme="minorEastAsia" w:hAnsiTheme="minorEastAsia" w:eastAsiaTheme="minorEastAsia" w:cstheme="minorEastAsia"/>
          <w:sz w:val="24"/>
        </w:rPr>
      </w:pPr>
      <w:r>
        <w:rPr>
          <w:rFonts w:hint="eastAsia"/>
          <w:b/>
          <w:bCs/>
          <w:sz w:val="24"/>
          <w:szCs w:val="24"/>
          <w:lang w:val="en-US" w:eastAsia="zh-CN"/>
        </w:rPr>
        <w:t>课程设置：</w:t>
      </w:r>
    </w:p>
    <w:p>
      <w:pPr>
        <w:numPr>
          <w:ilvl w:val="0"/>
          <w:numId w:val="0"/>
        </w:numPr>
        <w:rPr>
          <w:rFonts w:hint="eastAsia" w:asciiTheme="minorEastAsia" w:hAnsiTheme="minorEastAsia" w:eastAsiaTheme="minorEastAsia" w:cstheme="minorEastAsia"/>
          <w:sz w:val="24"/>
        </w:rPr>
      </w:pPr>
    </w:p>
    <w:tbl>
      <w:tblPr>
        <w:tblStyle w:val="7"/>
        <w:tblW w:w="0" w:type="auto"/>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5"/>
        <w:gridCol w:w="3402"/>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18" w:type="dxa"/>
            <w:gridSpan w:val="3"/>
          </w:tcPr>
          <w:p>
            <w:pPr>
              <w:spacing w:line="360" w:lineRule="auto"/>
              <w:contextualSpacing/>
              <w:jc w:val="center"/>
              <w:rPr>
                <w:rFonts w:cs="宋体" w:asciiTheme="minorEastAsia" w:hAnsiTheme="minorEastAsia"/>
                <w:b/>
                <w:sz w:val="24"/>
              </w:rPr>
            </w:pPr>
            <w:r>
              <w:rPr>
                <w:rFonts w:hint="eastAsia" w:cs="宋体" w:asciiTheme="minorEastAsia" w:hAnsiTheme="minorEastAsia"/>
                <w:b/>
                <w:sz w:val="24"/>
                <w:lang w:val="en-US" w:eastAsia="zh-CN"/>
              </w:rPr>
              <w:t>口腔医学</w:t>
            </w:r>
            <w:r>
              <w:rPr>
                <w:rFonts w:hint="eastAsia" w:cs="宋体" w:asciiTheme="minorEastAsia" w:hAnsiTheme="minorEastAsia"/>
                <w:b/>
                <w:sz w:val="24"/>
              </w:rPr>
              <w:t>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5" w:type="dxa"/>
            <w:vMerge w:val="restart"/>
            <w:vAlign w:val="center"/>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b/>
                <w:bCs/>
                <w:sz w:val="24"/>
                <w:lang w:val="en-US" w:eastAsia="zh-CN"/>
              </w:rPr>
              <w:t>公共课程</w:t>
            </w:r>
          </w:p>
        </w:tc>
        <w:tc>
          <w:tcPr>
            <w:tcW w:w="3402"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中国特色社会主义理论与实践</w:t>
            </w:r>
          </w:p>
        </w:tc>
        <w:tc>
          <w:tcPr>
            <w:tcW w:w="3311"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自然辩证法概论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5" w:type="dxa"/>
            <w:vMerge w:val="continue"/>
          </w:tcPr>
          <w:p>
            <w:pPr>
              <w:spacing w:line="360" w:lineRule="auto"/>
              <w:contextualSpacing/>
              <w:jc w:val="center"/>
              <w:rPr>
                <w:rFonts w:hint="eastAsia" w:cs="宋体" w:asciiTheme="minorEastAsia" w:hAnsiTheme="minorEastAsia"/>
                <w:sz w:val="24"/>
                <w:lang w:val="en-US" w:eastAsia="zh-CN"/>
              </w:rPr>
            </w:pPr>
          </w:p>
        </w:tc>
        <w:tc>
          <w:tcPr>
            <w:tcW w:w="3402"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专业英语</w:t>
            </w:r>
          </w:p>
        </w:tc>
        <w:tc>
          <w:tcPr>
            <w:tcW w:w="3311"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临床思维与人际沟通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505" w:type="dxa"/>
            <w:vMerge w:val="restart"/>
            <w:vAlign w:val="center"/>
          </w:tcPr>
          <w:p>
            <w:pPr>
              <w:spacing w:line="360" w:lineRule="auto"/>
              <w:contextualSpacing/>
              <w:jc w:val="center"/>
              <w:rPr>
                <w:rFonts w:hint="default" w:cs="宋体" w:asciiTheme="minorEastAsia" w:hAnsiTheme="minorEastAsia"/>
                <w:sz w:val="24"/>
                <w:lang w:val="en-US" w:eastAsia="zh-CN"/>
              </w:rPr>
            </w:pPr>
            <w:r>
              <w:rPr>
                <w:rFonts w:hint="eastAsia" w:cs="宋体" w:asciiTheme="minorEastAsia" w:hAnsiTheme="minorEastAsia"/>
                <w:b/>
                <w:bCs/>
                <w:sz w:val="24"/>
                <w:lang w:val="en-US" w:eastAsia="zh-CN"/>
              </w:rPr>
              <w:t>专业课</w:t>
            </w:r>
          </w:p>
        </w:tc>
        <w:tc>
          <w:tcPr>
            <w:tcW w:w="3402"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耳鼻喉科学</w:t>
            </w:r>
          </w:p>
        </w:tc>
        <w:tc>
          <w:tcPr>
            <w:tcW w:w="3311"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预防口腔医学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5" w:type="dxa"/>
            <w:vMerge w:val="continue"/>
          </w:tcPr>
          <w:p>
            <w:pPr>
              <w:spacing w:line="360" w:lineRule="auto"/>
              <w:contextualSpacing/>
              <w:jc w:val="center"/>
              <w:rPr>
                <w:rFonts w:hint="eastAsia" w:cs="宋体" w:asciiTheme="minorEastAsia" w:hAnsiTheme="minorEastAsia"/>
                <w:sz w:val="24"/>
                <w:lang w:val="en-US" w:eastAsia="zh-CN"/>
              </w:rPr>
            </w:pPr>
          </w:p>
        </w:tc>
        <w:tc>
          <w:tcPr>
            <w:tcW w:w="3402"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口腔解剖生理学</w:t>
            </w:r>
          </w:p>
        </w:tc>
        <w:tc>
          <w:tcPr>
            <w:tcW w:w="3311"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口腔正畸学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5" w:type="dxa"/>
            <w:vMerge w:val="continue"/>
          </w:tcPr>
          <w:p>
            <w:pPr>
              <w:spacing w:line="360" w:lineRule="auto"/>
              <w:contextualSpacing/>
              <w:jc w:val="center"/>
              <w:rPr>
                <w:rFonts w:hint="eastAsia" w:cs="宋体" w:asciiTheme="minorEastAsia" w:hAnsiTheme="minorEastAsia"/>
                <w:sz w:val="24"/>
                <w:lang w:val="en-US" w:eastAsia="zh-CN"/>
              </w:rPr>
            </w:pPr>
          </w:p>
        </w:tc>
        <w:tc>
          <w:tcPr>
            <w:tcW w:w="3402"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临床药理学</w:t>
            </w:r>
          </w:p>
        </w:tc>
        <w:tc>
          <w:tcPr>
            <w:tcW w:w="3311"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医学科研方法学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5" w:type="dxa"/>
            <w:vMerge w:val="continue"/>
          </w:tcPr>
          <w:p>
            <w:pPr>
              <w:spacing w:line="360" w:lineRule="auto"/>
              <w:contextualSpacing/>
              <w:jc w:val="center"/>
              <w:rPr>
                <w:rFonts w:hint="eastAsia" w:cs="宋体" w:asciiTheme="minorEastAsia" w:hAnsiTheme="minorEastAsia"/>
                <w:sz w:val="24"/>
                <w:lang w:val="en-US" w:eastAsia="zh-CN"/>
              </w:rPr>
            </w:pPr>
          </w:p>
        </w:tc>
        <w:tc>
          <w:tcPr>
            <w:tcW w:w="3402"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口腔内科学</w:t>
            </w:r>
          </w:p>
        </w:tc>
        <w:tc>
          <w:tcPr>
            <w:tcW w:w="3311"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口腔修复学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5" w:type="dxa"/>
            <w:vMerge w:val="restart"/>
            <w:vAlign w:val="center"/>
          </w:tcPr>
          <w:p>
            <w:pPr>
              <w:spacing w:line="360" w:lineRule="auto"/>
              <w:contextualSpacing/>
              <w:jc w:val="center"/>
              <w:rPr>
                <w:rFonts w:hint="default" w:cs="宋体" w:asciiTheme="minorEastAsia" w:hAnsiTheme="minorEastAsia"/>
                <w:b/>
                <w:bCs/>
                <w:sz w:val="24"/>
                <w:lang w:val="en-US" w:eastAsia="zh-CN"/>
              </w:rPr>
            </w:pPr>
            <w:r>
              <w:rPr>
                <w:rFonts w:hint="eastAsia" w:cs="宋体" w:asciiTheme="minorEastAsia" w:hAnsiTheme="minorEastAsia"/>
                <w:b/>
                <w:bCs/>
                <w:sz w:val="24"/>
                <w:lang w:val="en-US" w:eastAsia="zh-CN"/>
              </w:rPr>
              <w:t>选修课</w:t>
            </w:r>
          </w:p>
        </w:tc>
        <w:tc>
          <w:tcPr>
            <w:tcW w:w="3402"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儿童口腔医学诊治临床进展</w:t>
            </w:r>
          </w:p>
        </w:tc>
        <w:tc>
          <w:tcPr>
            <w:tcW w:w="3311"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口腔种植学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5" w:type="dxa"/>
            <w:vMerge w:val="continue"/>
          </w:tcPr>
          <w:p>
            <w:pPr>
              <w:spacing w:line="360" w:lineRule="auto"/>
              <w:contextualSpacing/>
              <w:jc w:val="center"/>
              <w:rPr>
                <w:rFonts w:hint="eastAsia" w:cs="宋体" w:asciiTheme="minorEastAsia" w:hAnsiTheme="minorEastAsia"/>
                <w:sz w:val="24"/>
                <w:lang w:val="en-US" w:eastAsia="zh-CN"/>
              </w:rPr>
            </w:pPr>
          </w:p>
        </w:tc>
        <w:tc>
          <w:tcPr>
            <w:tcW w:w="3402"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牙体牙髓病学</w:t>
            </w:r>
          </w:p>
        </w:tc>
        <w:tc>
          <w:tcPr>
            <w:tcW w:w="3311"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口腔分子生物学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5" w:type="dxa"/>
            <w:vMerge w:val="continue"/>
          </w:tcPr>
          <w:p>
            <w:pPr>
              <w:spacing w:line="360" w:lineRule="auto"/>
              <w:contextualSpacing/>
              <w:jc w:val="center"/>
              <w:rPr>
                <w:rFonts w:hint="eastAsia" w:cs="宋体" w:asciiTheme="minorEastAsia" w:hAnsiTheme="minorEastAsia"/>
                <w:sz w:val="24"/>
                <w:lang w:val="en-US" w:eastAsia="zh-CN"/>
              </w:rPr>
            </w:pPr>
          </w:p>
        </w:tc>
        <w:tc>
          <w:tcPr>
            <w:tcW w:w="3402"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口腔颌面外科学</w:t>
            </w:r>
          </w:p>
        </w:tc>
        <w:tc>
          <w:tcPr>
            <w:tcW w:w="3311"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腔黏膜病学</w:t>
            </w:r>
          </w:p>
        </w:tc>
      </w:tr>
    </w:tbl>
    <w:p>
      <w:pPr>
        <w:widowControl w:val="0"/>
        <w:numPr>
          <w:ilvl w:val="0"/>
          <w:numId w:val="0"/>
        </w:numPr>
        <w:ind w:firstLine="2940" w:firstLineChars="1400"/>
        <w:jc w:val="both"/>
        <w:rPr>
          <w:rFonts w:hint="eastAsia" w:ascii="宋体" w:hAnsi="宋体" w:eastAsia="宋体" w:cs="宋体"/>
          <w:i w:val="0"/>
          <w:iCs w:val="0"/>
          <w:caps w:val="0"/>
          <w:color w:val="222222"/>
          <w:spacing w:val="0"/>
          <w:sz w:val="21"/>
          <w:szCs w:val="21"/>
          <w:shd w:val="clear" w:fill="FFFFFF"/>
          <w:lang w:val="en-US" w:eastAsia="zh-CN"/>
        </w:rPr>
      </w:pPr>
    </w:p>
    <w:p>
      <w:pPr>
        <w:widowControl w:val="0"/>
        <w:numPr>
          <w:ilvl w:val="0"/>
          <w:numId w:val="0"/>
        </w:numPr>
        <w:ind w:firstLine="2940" w:firstLineChars="1400"/>
        <w:jc w:val="both"/>
        <w:rPr>
          <w:rFonts w:hint="eastAsia" w:ascii="宋体" w:hAnsi="宋体" w:eastAsia="宋体" w:cs="宋体"/>
          <w:i w:val="0"/>
          <w:iCs w:val="0"/>
          <w:caps w:val="0"/>
          <w:color w:val="222222"/>
          <w:spacing w:val="0"/>
          <w:sz w:val="21"/>
          <w:szCs w:val="21"/>
          <w:shd w:val="clear" w:fill="FFFFFF"/>
          <w:lang w:val="en-US" w:eastAsia="zh-CN"/>
        </w:rPr>
      </w:pPr>
      <w:r>
        <w:rPr>
          <w:rFonts w:hint="eastAsia" w:ascii="宋体" w:hAnsi="宋体" w:eastAsia="宋体" w:cs="宋体"/>
          <w:i w:val="0"/>
          <w:iCs w:val="0"/>
          <w:caps w:val="0"/>
          <w:color w:val="222222"/>
          <w:spacing w:val="0"/>
          <w:sz w:val="21"/>
          <w:szCs w:val="21"/>
          <w:shd w:val="clear" w:fill="FFFFFF"/>
          <w:lang w:val="en-US" w:eastAsia="zh-CN"/>
        </w:rPr>
        <w:t xml:space="preserve"> 注：具体课程参照实际教学</w:t>
      </w:r>
    </w:p>
    <w:p>
      <w:pPr>
        <w:widowControl w:val="0"/>
        <w:numPr>
          <w:ilvl w:val="0"/>
          <w:numId w:val="0"/>
        </w:numPr>
        <w:ind w:firstLine="2940" w:firstLineChars="1400"/>
        <w:jc w:val="both"/>
        <w:rPr>
          <w:rFonts w:hint="eastAsia" w:ascii="宋体" w:hAnsi="宋体" w:eastAsia="宋体" w:cs="宋体"/>
          <w:i w:val="0"/>
          <w:iCs w:val="0"/>
          <w:caps w:val="0"/>
          <w:color w:val="222222"/>
          <w:spacing w:val="0"/>
          <w:sz w:val="21"/>
          <w:szCs w:val="21"/>
          <w:shd w:val="clear" w:fill="FFFFFF"/>
          <w:lang w:val="en-US" w:eastAsia="zh-CN"/>
        </w:rPr>
      </w:pPr>
    </w:p>
    <w:p>
      <w:pPr>
        <w:widowControl w:val="0"/>
        <w:numPr>
          <w:ilvl w:val="0"/>
          <w:numId w:val="0"/>
        </w:numPr>
        <w:ind w:firstLine="2940" w:firstLineChars="1400"/>
        <w:jc w:val="both"/>
        <w:rPr>
          <w:rFonts w:hint="eastAsia" w:ascii="宋体" w:hAnsi="宋体" w:eastAsia="宋体" w:cs="宋体"/>
          <w:i w:val="0"/>
          <w:iCs w:val="0"/>
          <w:caps w:val="0"/>
          <w:color w:val="222222"/>
          <w:spacing w:val="0"/>
          <w:sz w:val="21"/>
          <w:szCs w:val="21"/>
          <w:shd w:val="clear" w:fill="FFFFFF"/>
          <w:lang w:val="en-US" w:eastAsia="zh-CN"/>
        </w:rPr>
      </w:pPr>
    </w:p>
    <w:p>
      <w:pPr>
        <w:widowControl w:val="0"/>
        <w:numPr>
          <w:ilvl w:val="0"/>
          <w:numId w:val="0"/>
        </w:numPr>
        <w:ind w:firstLine="2940" w:firstLineChars="1400"/>
        <w:jc w:val="both"/>
        <w:rPr>
          <w:rFonts w:hint="default" w:ascii="宋体" w:hAnsi="宋体" w:eastAsia="宋体" w:cs="宋体"/>
          <w:i w:val="0"/>
          <w:iCs w:val="0"/>
          <w:caps w:val="0"/>
          <w:color w:val="222222"/>
          <w:spacing w:val="0"/>
          <w:sz w:val="21"/>
          <w:szCs w:val="21"/>
          <w:shd w:val="clear" w:fill="FFFFFF"/>
          <w:lang w:val="en-US" w:eastAsia="zh-CN"/>
        </w:rPr>
      </w:pPr>
    </w:p>
    <w:p>
      <w:pPr>
        <w:numPr>
          <w:ilvl w:val="0"/>
          <w:numId w:val="1"/>
        </w:numPr>
        <w:rPr>
          <w:rFonts w:hint="eastAsia" w:asciiTheme="minorEastAsia" w:hAnsiTheme="minorEastAsia" w:eastAsiaTheme="minorEastAsia" w:cstheme="minorEastAsia"/>
          <w:kern w:val="2"/>
          <w:sz w:val="24"/>
          <w:szCs w:val="24"/>
          <w:lang w:val="en-US" w:eastAsia="zh-CN" w:bidi="ar-SA"/>
        </w:rPr>
      </w:pPr>
      <w:r>
        <w:rPr>
          <w:rFonts w:hint="eastAsia"/>
          <w:b/>
          <w:bCs/>
          <w:sz w:val="24"/>
          <w:szCs w:val="24"/>
          <w:lang w:val="en-US" w:eastAsia="zh-CN"/>
        </w:rPr>
        <w:t>报考条件：</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lang w:val="en-US" w:eastAsia="zh-CN"/>
        </w:rPr>
      </w:pPr>
      <w:r>
        <w:rPr>
          <w:rFonts w:hint="default"/>
          <w:lang w:val="en-US" w:eastAsia="zh-CN"/>
        </w:rPr>
        <w:t>1</w:t>
      </w:r>
      <w:r>
        <w:rPr>
          <w:rFonts w:hint="eastAsia"/>
          <w:lang w:val="en-US" w:eastAsia="zh-CN"/>
        </w:rPr>
        <w:t>、</w:t>
      </w:r>
      <w:r>
        <w:rPr>
          <w:rFonts w:hint="default"/>
          <w:lang w:val="en-US" w:eastAsia="zh-CN"/>
        </w:rPr>
        <w:t>热爱祖国，遵纪守法，品德端正。</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default"/>
          <w:lang w:val="en-US" w:eastAsia="zh-CN"/>
        </w:rPr>
      </w:pPr>
      <w:r>
        <w:rPr>
          <w:rFonts w:hint="default"/>
          <w:lang w:val="en-US" w:eastAsia="zh-CN"/>
        </w:rPr>
        <w:t>2</w:t>
      </w:r>
      <w:r>
        <w:rPr>
          <w:rFonts w:hint="eastAsia"/>
          <w:lang w:val="en-US" w:eastAsia="zh-CN"/>
        </w:rPr>
        <w:t>、</w:t>
      </w:r>
      <w:r>
        <w:rPr>
          <w:rFonts w:hint="default"/>
          <w:lang w:val="en-US" w:eastAsia="zh-CN"/>
        </w:rPr>
        <w:t>口腔医学类本科毕业生并获得学士学位。</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default"/>
          <w:lang w:val="en-US" w:eastAsia="zh-CN"/>
        </w:rPr>
      </w:pPr>
      <w:r>
        <w:rPr>
          <w:rFonts w:hint="default"/>
          <w:lang w:val="en-US" w:eastAsia="zh-CN"/>
        </w:rPr>
        <w:t>3</w:t>
      </w:r>
      <w:r>
        <w:rPr>
          <w:rFonts w:hint="eastAsia"/>
          <w:lang w:val="en-US" w:eastAsia="zh-CN"/>
        </w:rPr>
        <w:t>、</w:t>
      </w:r>
      <w:r>
        <w:rPr>
          <w:rFonts w:hint="default"/>
          <w:lang w:val="en-US" w:eastAsia="zh-CN"/>
        </w:rPr>
        <w:t>正在接受住院医师规范化培训的住院医师或已获得《住院医师规范化培训合格证书》的临床医师。</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default"/>
          <w:lang w:val="en-US" w:eastAsia="zh-CN"/>
        </w:rPr>
      </w:pPr>
      <w:r>
        <w:rPr>
          <w:rFonts w:hint="default"/>
          <w:lang w:val="en-US" w:eastAsia="zh-CN"/>
        </w:rPr>
        <w:t>4</w:t>
      </w:r>
      <w:r>
        <w:rPr>
          <w:rFonts w:hint="eastAsia"/>
          <w:lang w:val="en-US" w:eastAsia="zh-CN"/>
        </w:rPr>
        <w:t>、</w:t>
      </w:r>
      <w:r>
        <w:rPr>
          <w:rFonts w:hint="default"/>
          <w:lang w:val="en-US" w:eastAsia="zh-CN"/>
        </w:rPr>
        <w:t>申请人申请的专业学位类别与住院医师规范化招收专业相对应。</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default"/>
          <w:lang w:val="en-US" w:eastAsia="zh-CN"/>
        </w:rPr>
      </w:pPr>
      <w:r>
        <w:rPr>
          <w:rFonts w:hint="default"/>
          <w:lang w:val="en-US" w:eastAsia="zh-CN"/>
        </w:rPr>
        <w:t>5</w:t>
      </w:r>
      <w:r>
        <w:rPr>
          <w:rFonts w:hint="eastAsia"/>
          <w:lang w:val="en-US" w:eastAsia="zh-CN"/>
        </w:rPr>
        <w:t>、</w:t>
      </w:r>
      <w:r>
        <w:rPr>
          <w:rFonts w:hint="default"/>
          <w:lang w:val="en-US" w:eastAsia="zh-CN"/>
        </w:rPr>
        <w:t>第一外语为英语。</w:t>
      </w:r>
    </w:p>
    <w:p>
      <w:pPr>
        <w:widowControl w:val="0"/>
        <w:numPr>
          <w:ilvl w:val="0"/>
          <w:numId w:val="0"/>
        </w:numPr>
        <w:jc w:val="both"/>
        <w:rPr>
          <w:rFonts w:hint="default"/>
          <w:b/>
          <w:bCs/>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报名材料：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lang w:val="en-US" w:eastAsia="zh-CN"/>
        </w:rPr>
      </w:pPr>
      <w:r>
        <w:rPr>
          <w:rFonts w:hint="eastAsia"/>
          <w:lang w:val="en-US" w:eastAsia="zh-CN"/>
        </w:rPr>
        <w:t>1、二代身份证原件及复印件1份；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lang w:val="en-US" w:eastAsia="zh-CN"/>
        </w:rPr>
      </w:pPr>
      <w:r>
        <w:rPr>
          <w:rFonts w:hint="eastAsia"/>
          <w:lang w:val="en-US" w:eastAsia="zh-CN"/>
        </w:rPr>
        <w:t>2、本科毕业证书原件及复印件、教育部学历证书电子注册备案表各1份；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lang w:val="en-US" w:eastAsia="zh-CN"/>
        </w:rPr>
      </w:pPr>
      <w:r>
        <w:rPr>
          <w:rFonts w:hint="eastAsia"/>
          <w:lang w:val="en-US" w:eastAsia="zh-CN"/>
        </w:rPr>
        <w:t>3、学士学位证书原件及复印件、学位证书查询结果各1份；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lang w:val="en-US" w:eastAsia="zh-CN"/>
        </w:rPr>
      </w:pPr>
      <w:r>
        <w:rPr>
          <w:rFonts w:hint="eastAsia"/>
          <w:lang w:val="en-US" w:eastAsia="zh-CN"/>
        </w:rPr>
        <w:t>4、《大连大学2022年同等学力人员申请硕士专业学位登记表》1份（须双面打印，见附件1）；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lang w:val="en-US" w:eastAsia="zh-CN"/>
        </w:rPr>
      </w:pPr>
      <w:r>
        <w:rPr>
          <w:rFonts w:hint="eastAsia"/>
          <w:lang w:val="en-US" w:eastAsia="zh-CN"/>
        </w:rPr>
        <w:t>5、正在接受住院医师规范化培训的单位证明（见附件2），或住院医师规范化培训合格证书原件及复印件1份；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lang w:val="en-US" w:eastAsia="zh-CN"/>
        </w:rPr>
      </w:pPr>
      <w:r>
        <w:rPr>
          <w:rFonts w:hint="eastAsia"/>
          <w:lang w:val="en-US" w:eastAsia="zh-CN"/>
        </w:rPr>
        <w:t>6、诚信承诺书打印签字1份（见附件3）；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lang w:val="en-US" w:eastAsia="zh-CN"/>
        </w:rPr>
      </w:pPr>
      <w:r>
        <w:rPr>
          <w:rFonts w:hint="eastAsia"/>
          <w:lang w:val="en-US" w:eastAsia="zh-CN"/>
        </w:rPr>
        <w:t>以上报名材料均需A4规格纸张打印或者复印，将本人打印及复印具体材料按照所列顺序左侧装订成册并于现场资格审核时上交，所有证书(证件)原件切勿装订入册。申请人须承诺学历、学位证书和申请材料的真实性，一经学校或认证部门查证为不属实，即取消报考资格，责任由申请人自负。</w:t>
      </w:r>
    </w:p>
    <w:p>
      <w:pPr>
        <w:widowControl w:val="0"/>
        <w:numPr>
          <w:ilvl w:val="0"/>
          <w:numId w:val="0"/>
        </w:numPr>
        <w:ind w:firstLine="420" w:firstLineChars="200"/>
        <w:jc w:val="both"/>
        <w:rPr>
          <w:rFonts w:hint="eastAsia"/>
          <w:lang w:val="en-US" w:eastAsia="zh-CN"/>
        </w:rPr>
      </w:pPr>
    </w:p>
    <w:p>
      <w:pPr>
        <w:numPr>
          <w:ilvl w:val="0"/>
          <w:numId w:val="1"/>
        </w:numPr>
        <w:rPr>
          <w:rFonts w:hint="eastAsia"/>
          <w:b/>
          <w:bCs/>
          <w:sz w:val="24"/>
          <w:szCs w:val="24"/>
          <w:lang w:val="en-US" w:eastAsia="zh-CN"/>
        </w:rPr>
      </w:pPr>
      <w:r>
        <w:rPr>
          <w:rFonts w:hint="eastAsia"/>
          <w:b/>
          <w:bCs/>
          <w:sz w:val="24"/>
          <w:szCs w:val="24"/>
          <w:lang w:val="en-US" w:eastAsia="zh-CN"/>
        </w:rPr>
        <w:t>培养方式：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25" w:firstLineChars="250"/>
        <w:jc w:val="both"/>
        <w:textAlignment w:val="auto"/>
        <w:rPr>
          <w:rFonts w:hint="eastAsia"/>
          <w:b/>
          <w:bCs/>
          <w:sz w:val="24"/>
          <w:szCs w:val="24"/>
          <w:lang w:val="en-US" w:eastAsia="zh-CN"/>
        </w:rPr>
      </w:pPr>
      <w:r>
        <w:rPr>
          <w:rFonts w:hint="eastAsia"/>
          <w:lang w:val="en-US" w:eastAsia="zh-CN"/>
        </w:rPr>
        <w:t>采用线上教学+自学模式，申请人按照课程设置要求，学员学习课程，完成规定的学分，达到同等学力人员申请硕士学位课程水平。</w:t>
      </w:r>
    </w:p>
    <w:p>
      <w:pPr>
        <w:widowControl w:val="0"/>
        <w:numPr>
          <w:ilvl w:val="0"/>
          <w:numId w:val="0"/>
        </w:numPr>
        <w:jc w:val="both"/>
        <w:rPr>
          <w:rFonts w:hint="default"/>
          <w:b/>
          <w:bCs/>
          <w:sz w:val="24"/>
          <w:szCs w:val="24"/>
          <w:lang w:val="en-US" w:eastAsia="zh-CN"/>
        </w:rPr>
      </w:pPr>
    </w:p>
    <w:p>
      <w:pPr>
        <w:numPr>
          <w:ilvl w:val="0"/>
          <w:numId w:val="1"/>
        </w:numPr>
        <w:rPr>
          <w:rFonts w:hint="eastAsia"/>
          <w:b/>
          <w:bCs/>
          <w:sz w:val="24"/>
          <w:szCs w:val="24"/>
          <w:lang w:val="en-US" w:eastAsia="zh-CN"/>
        </w:rPr>
      </w:pPr>
      <w:r>
        <w:rPr>
          <w:rFonts w:hint="eastAsia"/>
          <w:b/>
          <w:bCs/>
          <w:sz w:val="24"/>
          <w:szCs w:val="24"/>
          <w:lang w:val="en-US" w:eastAsia="zh-CN"/>
        </w:rPr>
        <w:t>学习阶段：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25" w:firstLineChars="250"/>
        <w:jc w:val="both"/>
        <w:textAlignment w:val="auto"/>
        <w:rPr>
          <w:rFonts w:hint="eastAsia"/>
          <w:lang w:val="en-US" w:eastAsia="zh-CN"/>
        </w:rPr>
      </w:pPr>
      <w:r>
        <w:rPr>
          <w:rFonts w:hint="eastAsia"/>
          <w:lang w:val="en-US" w:eastAsia="zh-CN"/>
        </w:rPr>
        <w:t>第一阶段：课程学习阶段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25" w:firstLineChars="250"/>
        <w:jc w:val="both"/>
        <w:textAlignment w:val="auto"/>
        <w:rPr>
          <w:rFonts w:hint="default"/>
          <w:lang w:val="en-US" w:eastAsia="zh-CN"/>
        </w:rPr>
      </w:pPr>
      <w:r>
        <w:rPr>
          <w:rFonts w:hint="eastAsia"/>
          <w:lang w:val="en-US" w:eastAsia="zh-CN"/>
        </w:rPr>
        <w:t>第二阶段：临床能力考核及学位论文学习阶段</w:t>
      </w:r>
    </w:p>
    <w:p>
      <w:pPr>
        <w:widowControl w:val="0"/>
        <w:numPr>
          <w:ilvl w:val="0"/>
          <w:numId w:val="0"/>
        </w:numPr>
        <w:jc w:val="both"/>
        <w:rPr>
          <w:rFonts w:hint="eastAsia"/>
          <w:b/>
          <w:bCs/>
          <w:sz w:val="24"/>
          <w:szCs w:val="24"/>
          <w:lang w:val="en-US" w:eastAsia="zh-CN"/>
        </w:rPr>
      </w:pPr>
    </w:p>
    <w:p>
      <w:pPr>
        <w:widowControl w:val="0"/>
        <w:numPr>
          <w:ilvl w:val="0"/>
          <w:numId w:val="0"/>
        </w:numPr>
        <w:jc w:val="both"/>
        <w:rPr>
          <w:rFonts w:hint="default"/>
          <w:b/>
          <w:bCs/>
          <w:sz w:val="24"/>
          <w:szCs w:val="24"/>
          <w:lang w:val="en-US" w:eastAsia="zh-CN"/>
        </w:rPr>
      </w:pPr>
    </w:p>
    <w:p>
      <w:pPr>
        <w:numPr>
          <w:ilvl w:val="0"/>
          <w:numId w:val="1"/>
        </w:numPr>
        <w:rPr>
          <w:rFonts w:hint="eastAsia"/>
          <w:b/>
          <w:bCs/>
          <w:sz w:val="24"/>
          <w:szCs w:val="24"/>
          <w:lang w:val="en-US" w:eastAsia="zh-CN"/>
        </w:rPr>
      </w:pPr>
      <w:r>
        <w:rPr>
          <w:rFonts w:hint="eastAsia"/>
          <w:b/>
          <w:bCs/>
          <w:sz w:val="24"/>
          <w:szCs w:val="24"/>
          <w:lang w:val="en-US" w:eastAsia="zh-CN"/>
        </w:rPr>
        <w:t>收费标准：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25" w:firstLineChars="250"/>
        <w:jc w:val="both"/>
        <w:textAlignment w:val="auto"/>
        <w:rPr>
          <w:rFonts w:hint="eastAsia"/>
          <w:lang w:val="en-US" w:eastAsia="zh-CN"/>
        </w:rPr>
      </w:pPr>
      <w:r>
        <w:rPr>
          <w:rFonts w:hint="eastAsia"/>
          <w:lang w:val="en-US" w:eastAsia="zh-CN"/>
        </w:rPr>
        <w:t>学费共计30000元/人，按学习阶段交付，第一阶段学费15000元/人，现场报名时一次交清（请持银联卡刷卡或微信支付交费）。进入第二阶段后另交学费15000元/人。在线课程学习费由学堂在线另行收取。</w:t>
      </w:r>
    </w:p>
    <w:p>
      <w:pPr>
        <w:widowControl w:val="0"/>
        <w:numPr>
          <w:ilvl w:val="0"/>
          <w:numId w:val="0"/>
        </w:numPr>
        <w:jc w:val="both"/>
        <w:rPr>
          <w:rFonts w:hint="default"/>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342255"/>
          <wp:effectExtent l="0" t="0" r="2540" b="10795"/>
          <wp:wrapNone/>
          <wp:docPr id="2" name="WordPictureWatermark41501" descr="大连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1501" descr="大连大学LOGO"/>
                  <pic:cNvPicPr>
                    <a:picLocks noChangeAspect="1"/>
                  </pic:cNvPicPr>
                </pic:nvPicPr>
                <pic:blipFill>
                  <a:blip r:embed="rId1">
                    <a:lum bright="69998" contrast="-70001"/>
                  </a:blip>
                  <a:stretch>
                    <a:fillRect/>
                  </a:stretch>
                </pic:blipFill>
                <pic:spPr>
                  <a:xfrm>
                    <a:off x="0" y="0"/>
                    <a:ext cx="5274310" cy="53422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2853AF"/>
    <w:multiLevelType w:val="singleLevel"/>
    <w:tmpl w:val="F62853AF"/>
    <w:lvl w:ilvl="0" w:tentative="0">
      <w:start w:val="1"/>
      <w:numFmt w:val="decimal"/>
      <w:suff w:val="nothing"/>
      <w:lvlText w:val="%1、"/>
      <w:lvlJc w:val="left"/>
    </w:lvl>
  </w:abstractNum>
  <w:abstractNum w:abstractNumId="1">
    <w:nsid w:val="37F576D4"/>
    <w:multiLevelType w:val="singleLevel"/>
    <w:tmpl w:val="37F576D4"/>
    <w:lvl w:ilvl="0" w:tentative="0">
      <w:start w:val="1"/>
      <w:numFmt w:val="chineseCounting"/>
      <w:suff w:val="nothing"/>
      <w:lvlText w:val="%1、"/>
      <w:lvlJc w:val="left"/>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YmYyOGQwNjU2YTFjYjBlYWQzZDdlZjc2Nzk1ZWYifQ=="/>
  </w:docVars>
  <w:rsids>
    <w:rsidRoot w:val="240D6C65"/>
    <w:rsid w:val="02B873EF"/>
    <w:rsid w:val="03CF5817"/>
    <w:rsid w:val="06984152"/>
    <w:rsid w:val="11E3382D"/>
    <w:rsid w:val="1AFC4CEC"/>
    <w:rsid w:val="1CD510FA"/>
    <w:rsid w:val="21DD37DB"/>
    <w:rsid w:val="240D6C65"/>
    <w:rsid w:val="276E0D20"/>
    <w:rsid w:val="2BE16088"/>
    <w:rsid w:val="2DEF2DDE"/>
    <w:rsid w:val="2E794669"/>
    <w:rsid w:val="31F1280A"/>
    <w:rsid w:val="378D6FA0"/>
    <w:rsid w:val="3A443B62"/>
    <w:rsid w:val="3A7428BC"/>
    <w:rsid w:val="3A93297D"/>
    <w:rsid w:val="489A151D"/>
    <w:rsid w:val="4A0B01F8"/>
    <w:rsid w:val="4D772035"/>
    <w:rsid w:val="588001AA"/>
    <w:rsid w:val="5B113EE1"/>
    <w:rsid w:val="5E7E4D30"/>
    <w:rsid w:val="64B17175"/>
    <w:rsid w:val="6A933BC6"/>
    <w:rsid w:val="6EDD18B4"/>
    <w:rsid w:val="771F0CBB"/>
    <w:rsid w:val="7AB21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hd w:val="clear" w:fill="auto"/>
      <w:spacing w:before="0" w:beforeAutospacing="0" w:after="0" w:afterAutospacing="0" w:line="240" w:lineRule="auto"/>
      <w:ind w:left="0" w:right="0"/>
      <w:jc w:val="left"/>
    </w:pPr>
    <w:rPr>
      <w:rFonts w:hint="eastAsia" w:ascii="宋体" w:hAnsi="宋体" w:eastAsia="宋体" w:cs="宋体"/>
      <w:b/>
      <w:kern w:val="44"/>
      <w:sz w:val="24"/>
      <w:szCs w:val="24"/>
      <w:shd w:val="clear" w:fill="auto"/>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FollowedHyperlink"/>
    <w:basedOn w:val="8"/>
    <w:qFormat/>
    <w:uiPriority w:val="0"/>
    <w:rPr>
      <w:color w:val="576B95"/>
      <w:u w:val="none"/>
    </w:rPr>
  </w:style>
  <w:style w:type="character" w:styleId="11">
    <w:name w:val="Hyperlink"/>
    <w:basedOn w:val="8"/>
    <w:qFormat/>
    <w:uiPriority w:val="0"/>
    <w:rPr>
      <w:color w:val="576B95"/>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1861</Words>
  <Characters>1891</Characters>
  <Lines>0</Lines>
  <Paragraphs>0</Paragraphs>
  <TotalTime>10</TotalTime>
  <ScaleCrop>false</ScaleCrop>
  <LinksUpToDate>false</LinksUpToDate>
  <CharactersWithSpaces>1892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2022-04-21T08:56:00Z</dcterms:created>
  <dc:creator>言西</dc:creator>
  <cp:lastModifiedBy>冰冰⊙▽⊙＊</cp:lastModifiedBy>
  <dcterms:modified xsi:type="dcterms:W3CDTF">2022-05-17T08:45:10Z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AE42A517703F4201B8C4B3B867A6C3E2</vt:lpwstr>
  </property>
  <property fmtid="{D5CDD505-2E9C-101B-9397-08002B2CF9AE}" pid="4" name="commondata">
    <vt:lpwstr>eyJoZGlkIjoiNGQ5ODQ5N2Q1NmI0ZDAwYTJiMTcyMmU3ZjhhMWE4NmEifQ==</vt:lpwstr>
  </property>
</Properties>
</file>