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en-US" w:eastAsia="zh-CN"/>
        </w:rPr>
      </w:pPr>
      <w:bookmarkStart w:id="0" w:name="_GoBack"/>
      <w:bookmarkEnd w:id="0"/>
      <w:r>
        <w:rPr>
          <w:rFonts w:hint="default"/>
          <w:lang w:val="en-US" w:eastAsia="zh-CN"/>
        </w:rPr>
        <w:drawing>
          <wp:inline distT="0" distB="0" distL="114300" distR="114300">
            <wp:extent cx="4902200" cy="1336675"/>
            <wp:effectExtent l="0" t="0" r="12700" b="15875"/>
            <wp:docPr id="2" name="图片 2" descr="QQ截图2022031013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220310133240"/>
                    <pic:cNvPicPr>
                      <a:picLocks noChangeAspect="1"/>
                    </pic:cNvPicPr>
                  </pic:nvPicPr>
                  <pic:blipFill>
                    <a:blip r:embed="rId5"/>
                    <a:stretch>
                      <a:fillRect/>
                    </a:stretch>
                  </pic:blipFill>
                  <pic:spPr>
                    <a:xfrm>
                      <a:off x="0" y="0"/>
                      <a:ext cx="4902200" cy="1336675"/>
                    </a:xfrm>
                    <a:prstGeom prst="rect">
                      <a:avLst/>
                    </a:prstGeom>
                  </pic:spPr>
                </pic:pic>
              </a:graphicData>
            </a:graphic>
          </wp:inline>
        </w:drawing>
      </w:r>
    </w:p>
    <w:p>
      <w:pPr>
        <w:jc w:val="center"/>
        <w:rPr>
          <w:rFonts w:hint="default"/>
          <w:lang w:val="en-US" w:eastAsia="zh-CN"/>
        </w:rPr>
      </w:pPr>
    </w:p>
    <w:p>
      <w:pPr>
        <w:spacing w:line="360" w:lineRule="auto"/>
        <w:ind w:left="3534" w:hanging="3534" w:hangingChars="1100"/>
        <w:contextualSpacing/>
        <w:jc w:val="left"/>
        <w:rPr>
          <w:rFonts w:hint="eastAsia" w:ascii="宋体" w:hAnsi="宋体"/>
          <w:b/>
          <w:bCs w:val="0"/>
          <w:color w:val="000000"/>
          <w:sz w:val="32"/>
          <w:szCs w:val="32"/>
        </w:rPr>
      </w:pPr>
      <w:r>
        <w:rPr>
          <w:rFonts w:hint="eastAsia" w:ascii="宋体" w:hAnsi="宋体"/>
          <w:b/>
          <w:bCs w:val="0"/>
          <w:color w:val="000000"/>
          <w:sz w:val="32"/>
          <w:szCs w:val="32"/>
          <w:lang w:val="en-US" w:eastAsia="zh-CN"/>
        </w:rPr>
        <w:t>南昌航空大学设计学专业设计管理方向</w:t>
      </w:r>
      <w:r>
        <w:rPr>
          <w:rFonts w:hint="eastAsia" w:ascii="宋体" w:hAnsi="宋体"/>
          <w:b/>
          <w:bCs w:val="0"/>
          <w:color w:val="000000"/>
          <w:sz w:val="32"/>
          <w:szCs w:val="32"/>
        </w:rPr>
        <w:t>同等学力申请硕士学位招生简章</w:t>
      </w:r>
    </w:p>
    <w:p>
      <w:pPr>
        <w:jc w:val="both"/>
        <w:rPr>
          <w:rFonts w:hint="default"/>
          <w:lang w:val="en-US" w:eastAsia="zh-CN"/>
        </w:rPr>
      </w:pPr>
    </w:p>
    <w:p>
      <w:pPr>
        <w:numPr>
          <w:ilvl w:val="0"/>
          <w:numId w:val="1"/>
        </w:numPr>
        <w:jc w:val="both"/>
        <w:rPr>
          <w:rFonts w:hint="eastAsia"/>
          <w:b/>
          <w:bCs/>
          <w:lang w:val="en-US" w:eastAsia="zh-CN"/>
        </w:rPr>
      </w:pPr>
      <w:r>
        <w:rPr>
          <w:rFonts w:hint="eastAsia"/>
          <w:b/>
          <w:bCs/>
          <w:lang w:val="en-US" w:eastAsia="zh-CN"/>
        </w:rPr>
        <w:t>院校简介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b w:val="0"/>
          <w:bCs w:val="0"/>
          <w:lang w:val="en-US" w:eastAsia="zh-CN"/>
        </w:rPr>
      </w:pPr>
      <w:r>
        <w:rPr>
          <w:rFonts w:hint="eastAsia"/>
          <w:b w:val="0"/>
          <w:bCs w:val="0"/>
          <w:lang w:val="en-US" w:eastAsia="zh-CN"/>
        </w:rPr>
        <w:t>南昌航空大学</w:t>
      </w:r>
      <w:r>
        <w:rPr>
          <w:rFonts w:hint="default"/>
          <w:b w:val="0"/>
          <w:bCs w:val="0"/>
          <w:lang w:val="en-US" w:eastAsia="zh-CN"/>
        </w:rPr>
        <w:t>成立于1952年，是一所以工为主、工理文管经法教艺等学科协调发展的多科性大学，主要服务于我国航空工业和地方经济社会建设,是江西省人民政府与国家国防科技工业局共建的具有鲜明航空、国防特色的高等学校。</w:t>
      </w:r>
      <w:r>
        <w:rPr>
          <w:rFonts w:hint="eastAsia"/>
          <w:b w:val="0"/>
          <w:bCs w:val="0"/>
          <w:lang w:val="en-US" w:eastAsia="zh-CN"/>
        </w:rPr>
        <w:t>学校具有17个硕士学位授权一级学科点，12个硕士专业学位授权点。承担江西省科技重大专项、江西省社科重大招标项目、行业科技项目等省部级科研项目800多项。入选首批“领航江西”智库成员单位。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b w:val="0"/>
          <w:bCs w:val="0"/>
          <w:lang w:val="en-US" w:eastAsia="zh-CN"/>
        </w:rPr>
      </w:pPr>
      <w:r>
        <w:rPr>
          <w:rFonts w:hint="eastAsia"/>
          <w:b w:val="0"/>
          <w:bCs w:val="0"/>
          <w:lang w:val="en-US" w:eastAsia="zh-CN"/>
        </w:rPr>
        <w:t>南昌航空大学艺术与设计学院的前身为成立于2001年的南昌航空工业学院艺术系，2004年7月，根据学院的发展和学校的整体规划，艺术系更名为“艺术与设计学院”。学院</w:t>
      </w:r>
      <w:r>
        <w:rPr>
          <w:rFonts w:hint="default"/>
          <w:b w:val="0"/>
          <w:bCs w:val="0"/>
          <w:lang w:val="en-US" w:eastAsia="zh-CN"/>
        </w:rPr>
        <w:t>拥有设计学一级学科硕士点、艺术硕士专业学位点。五个本科专业：环境设计专业、产品设计专业、视觉传达设计专业、动画专业、工艺美术。学院拥有江西省工业设计中心、江西省文化艺术科学重点研究基地、江西省非物质文化遗产研究基地、江西省科普动漫创作基地4个省级科研平台，获批江西省动画专业综合改革试点项目，江西省优秀动漫教育机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b w:val="0"/>
          <w:bCs w:val="0"/>
          <w:lang w:val="en-US" w:eastAsia="zh-CN"/>
        </w:rPr>
      </w:pPr>
      <w:r>
        <w:rPr>
          <w:rFonts w:hint="eastAsia"/>
          <w:b w:val="0"/>
          <w:bCs w:val="0"/>
          <w:lang w:val="en-US" w:eastAsia="zh-CN"/>
        </w:rPr>
        <w:t>为了向社会培养更多的富有创意创新的设计管理领域高质量人才，2022年南昌航空大学艺术与设计学院特此开设设计学专业设计管理方向申硕培训班。</w:t>
      </w:r>
    </w:p>
    <w:p>
      <w:pPr>
        <w:widowControl w:val="0"/>
        <w:numPr>
          <w:ilvl w:val="0"/>
          <w:numId w:val="0"/>
        </w:numPr>
        <w:jc w:val="both"/>
        <w:rPr>
          <w:rFonts w:hint="eastAsia"/>
          <w:b/>
          <w:bCs/>
          <w:lang w:val="en-US" w:eastAsia="zh-CN"/>
        </w:rPr>
      </w:pPr>
    </w:p>
    <w:p>
      <w:pPr>
        <w:numPr>
          <w:ilvl w:val="0"/>
          <w:numId w:val="1"/>
        </w:numPr>
        <w:jc w:val="both"/>
        <w:rPr>
          <w:rFonts w:hint="default"/>
          <w:b/>
          <w:bCs/>
          <w:lang w:val="en-US" w:eastAsia="zh-CN"/>
        </w:rPr>
      </w:pPr>
      <w:r>
        <w:rPr>
          <w:rFonts w:hint="eastAsia"/>
          <w:b/>
          <w:bCs/>
          <w:lang w:val="en-US" w:eastAsia="zh-CN"/>
        </w:rPr>
        <w:t>培养目标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b w:val="0"/>
          <w:bCs w:val="0"/>
          <w:lang w:val="en-US" w:eastAsia="zh-CN"/>
        </w:rPr>
      </w:pPr>
      <w:r>
        <w:rPr>
          <w:rFonts w:hint="eastAsia"/>
          <w:b w:val="0"/>
          <w:bCs w:val="0"/>
          <w:lang w:val="en-US" w:eastAsia="zh-CN"/>
        </w:rPr>
        <w:t>本专业主要是向学生传授设计管理的基本知识和技能，培养具有设计管理能力的专门人才，围绕“设计＋管理＋实践能力＋创新能力”的人才培养思路，根据社会对艺术设计及项目运营、战略管理方面的人才需求，面向艺术设计机构与团体，培养具有设计及商业项目运营管理方面的专业应用型管理人才，</w:t>
      </w:r>
      <w:r>
        <w:rPr>
          <w:rFonts w:hint="default"/>
          <w:b w:val="0"/>
          <w:bCs w:val="0"/>
          <w:lang w:val="en-US" w:eastAsia="zh-CN"/>
        </w:rPr>
        <w:t>为设计机构或企业设计部门培养所需的设计经理人才，为设计项目提供商业策略和设计战略，以提升设计品质与项目综合价值。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b w:val="0"/>
          <w:bCs w:val="0"/>
          <w:lang w:val="en-US" w:eastAsia="zh-CN"/>
        </w:rPr>
      </w:pPr>
    </w:p>
    <w:p>
      <w:pPr>
        <w:numPr>
          <w:ilvl w:val="0"/>
          <w:numId w:val="1"/>
        </w:numPr>
        <w:jc w:val="both"/>
        <w:rPr>
          <w:rFonts w:hint="eastAsia"/>
          <w:b/>
          <w:bCs/>
          <w:lang w:val="en-US" w:eastAsia="zh-CN"/>
        </w:rPr>
      </w:pPr>
      <w:r>
        <w:rPr>
          <w:rFonts w:hint="eastAsia"/>
          <w:b/>
          <w:bCs/>
          <w:lang w:val="en-US" w:eastAsia="zh-CN"/>
        </w:rPr>
        <w:t>特色优势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1、【免试审核入学】：采取资格审核方式入学，免试入学；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2、【申硕仅考1科】：申硕考试科目只考一科（英语或日语），难度低易通过；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b/>
          <w:bCs/>
          <w:color w:val="000000" w:themeColor="text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3、【多次申硕机会】：4次机会参加申硕全国统考；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4、【正规硕士教育】：科学完整的课程体系，符合条件者可申请硕士学位；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5、【灵活授课】设面授班、网络班，学员可根据自身实际情况选择学习班型；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6、【共享学校资源】：可享受与在校生同等的电子数据资源，获得校友人脉资源。</w:t>
      </w:r>
    </w:p>
    <w:p>
      <w:pPr>
        <w:widowControl w:val="0"/>
        <w:numPr>
          <w:ilvl w:val="0"/>
          <w:numId w:val="0"/>
        </w:numPr>
        <w:jc w:val="both"/>
        <w:rPr>
          <w:rFonts w:hint="default"/>
          <w:b/>
          <w:bCs/>
          <w:lang w:val="en-US" w:eastAsia="zh-CN"/>
        </w:rPr>
      </w:pPr>
    </w:p>
    <w:p>
      <w:pPr>
        <w:numPr>
          <w:ilvl w:val="0"/>
          <w:numId w:val="1"/>
        </w:numPr>
        <w:jc w:val="both"/>
        <w:rPr>
          <w:rFonts w:hint="eastAsia"/>
          <w:b/>
          <w:bCs/>
          <w:lang w:val="en-US" w:eastAsia="zh-CN"/>
        </w:rPr>
      </w:pPr>
      <w:r>
        <w:rPr>
          <w:rFonts w:hint="eastAsia"/>
          <w:b/>
          <w:bCs/>
          <w:lang w:val="en-US" w:eastAsia="zh-CN"/>
        </w:rPr>
        <w:t>课程设置</w:t>
      </w:r>
    </w:p>
    <w:tbl>
      <w:tblPr>
        <w:tblStyle w:val="6"/>
        <w:tblW w:w="0" w:type="auto"/>
        <w:tblInd w:w="3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0"/>
        <w:gridCol w:w="3402"/>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43" w:type="dxa"/>
            <w:gridSpan w:val="3"/>
          </w:tcPr>
          <w:p>
            <w:pPr>
              <w:spacing w:line="360" w:lineRule="auto"/>
              <w:contextualSpacing/>
              <w:jc w:val="center"/>
              <w:rPr>
                <w:rFonts w:hint="eastAsia" w:cs="宋体" w:asciiTheme="minorEastAsia" w:hAnsiTheme="minorEastAsia" w:eastAsiaTheme="minorEastAsia"/>
                <w:b/>
                <w:sz w:val="24"/>
                <w:lang w:val="en-US" w:eastAsia="zh-CN"/>
              </w:rPr>
            </w:pPr>
            <w:r>
              <w:rPr>
                <w:rFonts w:hint="eastAsia" w:cs="宋体" w:asciiTheme="minorEastAsia" w:hAnsiTheme="minorEastAsia"/>
                <w:b/>
                <w:sz w:val="24"/>
                <w:lang w:val="en-US" w:eastAsia="zh-CN"/>
              </w:rPr>
              <w:t>设计管理方向</w:t>
            </w:r>
            <w:r>
              <w:rPr>
                <w:rFonts w:hint="eastAsia" w:cs="宋体" w:asciiTheme="minorEastAsia" w:hAnsiTheme="minorEastAsia"/>
                <w:b/>
                <w:sz w:val="24"/>
              </w:rPr>
              <w:t>专业</w:t>
            </w:r>
            <w:r>
              <w:rPr>
                <w:rFonts w:hint="eastAsia" w:cs="宋体" w:asciiTheme="minorEastAsia" w:hAnsiTheme="minorEastAsia"/>
                <w:b/>
                <w:sz w:val="24"/>
                <w:lang w:val="en-US" w:eastAsia="zh-CN"/>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0"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公共课程</w:t>
            </w:r>
          </w:p>
        </w:tc>
        <w:tc>
          <w:tcPr>
            <w:tcW w:w="3402" w:type="dxa"/>
          </w:tcPr>
          <w:p>
            <w:pPr>
              <w:spacing w:line="360" w:lineRule="auto"/>
              <w:contextualSpacing/>
              <w:jc w:val="center"/>
              <w:rPr>
                <w:rFonts w:hint="eastAsia" w:cs="宋体" w:asciiTheme="minorEastAsia" w:hAnsiTheme="minorEastAsia" w:eastAsiaTheme="minorEastAsia"/>
                <w:sz w:val="24"/>
                <w:lang w:val="en-US" w:eastAsia="zh-CN"/>
              </w:rPr>
            </w:pPr>
            <w:r>
              <w:rPr>
                <w:rFonts w:hint="eastAsia" w:cs="宋体" w:asciiTheme="minorEastAsia" w:hAnsiTheme="minorEastAsia"/>
                <w:sz w:val="24"/>
                <w:lang w:val="en-US" w:eastAsia="zh-CN"/>
              </w:rPr>
              <w:t>英语</w:t>
            </w:r>
          </w:p>
        </w:tc>
        <w:tc>
          <w:tcPr>
            <w:tcW w:w="3311"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ascii="宋体" w:hAnsi="宋体"/>
                <w:szCs w:val="21"/>
                <w:lang w:val="en-US" w:eastAsia="zh-CN"/>
              </w:rPr>
              <w:t>社会主义经济理论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0" w:type="dxa"/>
            <w:vMerge w:val="restart"/>
          </w:tcPr>
          <w:p>
            <w:pPr>
              <w:spacing w:line="360" w:lineRule="auto"/>
              <w:contextualSpacing/>
              <w:jc w:val="center"/>
              <w:rPr>
                <w:rFonts w:cs="宋体" w:asciiTheme="minorEastAsia" w:hAnsiTheme="minorEastAsia"/>
                <w:sz w:val="24"/>
              </w:rPr>
            </w:pPr>
          </w:p>
          <w:p>
            <w:pPr>
              <w:spacing w:line="360" w:lineRule="auto"/>
              <w:contextualSpacing/>
              <w:jc w:val="center"/>
              <w:rPr>
                <w:rFonts w:cs="宋体" w:asciiTheme="minorEastAsia" w:hAnsiTheme="minorEastAsia"/>
                <w:sz w:val="24"/>
              </w:rPr>
            </w:pPr>
          </w:p>
          <w:p>
            <w:pPr>
              <w:spacing w:line="360" w:lineRule="auto"/>
              <w:contextualSpacing/>
              <w:jc w:val="center"/>
              <w:rPr>
                <w:rFonts w:hint="eastAsia" w:cs="宋体" w:asciiTheme="minorEastAsia" w:hAnsiTheme="minorEastAsia" w:eastAsiaTheme="minorEastAsia"/>
                <w:sz w:val="24"/>
                <w:lang w:val="en-US" w:eastAsia="zh-CN"/>
              </w:rPr>
            </w:pPr>
            <w:r>
              <w:rPr>
                <w:rFonts w:hint="eastAsia" w:cs="宋体" w:asciiTheme="minorEastAsia" w:hAnsiTheme="minorEastAsia"/>
                <w:sz w:val="24"/>
              </w:rPr>
              <w:t>专业</w:t>
            </w:r>
            <w:r>
              <w:rPr>
                <w:rFonts w:hint="eastAsia" w:cs="宋体" w:asciiTheme="minorEastAsia" w:hAnsiTheme="minorEastAsia"/>
                <w:sz w:val="24"/>
                <w:lang w:val="en-US" w:eastAsia="zh-CN"/>
              </w:rPr>
              <w:t>课</w:t>
            </w:r>
          </w:p>
        </w:tc>
        <w:tc>
          <w:tcPr>
            <w:tcW w:w="3402"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设计基础</w:t>
            </w:r>
          </w:p>
        </w:tc>
        <w:tc>
          <w:tcPr>
            <w:tcW w:w="3311"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艺术设计概论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0" w:type="dxa"/>
            <w:vMerge w:val="continue"/>
          </w:tcPr>
          <w:p>
            <w:pPr>
              <w:spacing w:line="360" w:lineRule="auto"/>
              <w:contextualSpacing/>
              <w:jc w:val="center"/>
              <w:rPr>
                <w:rFonts w:cs="宋体" w:asciiTheme="minorEastAsia" w:hAnsiTheme="minorEastAsia"/>
                <w:sz w:val="24"/>
              </w:rPr>
            </w:pPr>
          </w:p>
        </w:tc>
        <w:tc>
          <w:tcPr>
            <w:tcW w:w="3402"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设计艺术原理</w:t>
            </w:r>
          </w:p>
        </w:tc>
        <w:tc>
          <w:tcPr>
            <w:tcW w:w="3311"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设计方法论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0" w:type="dxa"/>
            <w:vMerge w:val="continue"/>
          </w:tcPr>
          <w:p>
            <w:pPr>
              <w:spacing w:line="360" w:lineRule="auto"/>
              <w:contextualSpacing/>
              <w:jc w:val="center"/>
              <w:rPr>
                <w:rFonts w:cs="宋体" w:asciiTheme="minorEastAsia" w:hAnsiTheme="minorEastAsia"/>
                <w:sz w:val="24"/>
              </w:rPr>
            </w:pPr>
          </w:p>
        </w:tc>
        <w:tc>
          <w:tcPr>
            <w:tcW w:w="3402"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设计管理</w:t>
            </w:r>
          </w:p>
        </w:tc>
        <w:tc>
          <w:tcPr>
            <w:tcW w:w="3311"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设计思维与方法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0" w:type="dxa"/>
            <w:vMerge w:val="continue"/>
          </w:tcPr>
          <w:p>
            <w:pPr>
              <w:spacing w:line="360" w:lineRule="auto"/>
              <w:contextualSpacing/>
              <w:jc w:val="center"/>
              <w:rPr>
                <w:rFonts w:cs="宋体" w:asciiTheme="minorEastAsia" w:hAnsiTheme="minorEastAsia"/>
                <w:sz w:val="24"/>
              </w:rPr>
            </w:pPr>
          </w:p>
        </w:tc>
        <w:tc>
          <w:tcPr>
            <w:tcW w:w="3402"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项目管理</w:t>
            </w:r>
          </w:p>
        </w:tc>
        <w:tc>
          <w:tcPr>
            <w:tcW w:w="3311"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设计研究方法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0" w:type="dxa"/>
            <w:vMerge w:val="continue"/>
          </w:tcPr>
          <w:p>
            <w:pPr>
              <w:spacing w:line="360" w:lineRule="auto"/>
              <w:contextualSpacing/>
              <w:jc w:val="center"/>
              <w:rPr>
                <w:rFonts w:cs="宋体" w:asciiTheme="minorEastAsia" w:hAnsiTheme="minorEastAsia"/>
                <w:sz w:val="24"/>
              </w:rPr>
            </w:pPr>
          </w:p>
        </w:tc>
        <w:tc>
          <w:tcPr>
            <w:tcW w:w="3402"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品牌管理</w:t>
            </w:r>
          </w:p>
        </w:tc>
        <w:tc>
          <w:tcPr>
            <w:tcW w:w="3311"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设计流程与创新管理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0" w:type="dxa"/>
            <w:vMerge w:val="continue"/>
          </w:tcPr>
          <w:p>
            <w:pPr>
              <w:spacing w:line="360" w:lineRule="auto"/>
              <w:contextualSpacing/>
              <w:jc w:val="center"/>
              <w:rPr>
                <w:rFonts w:cs="宋体" w:asciiTheme="minorEastAsia" w:hAnsiTheme="minorEastAsia"/>
                <w:sz w:val="24"/>
              </w:rPr>
            </w:pPr>
          </w:p>
        </w:tc>
        <w:tc>
          <w:tcPr>
            <w:tcW w:w="3402" w:type="dxa"/>
          </w:tcPr>
          <w:p>
            <w:pPr>
              <w:spacing w:line="360" w:lineRule="auto"/>
              <w:contextualSpacing/>
              <w:jc w:val="center"/>
              <w:rPr>
                <w:rFonts w:hint="default" w:cs="宋体" w:asciiTheme="minorEastAsia" w:hAnsiTheme="minorEastAsia"/>
                <w:sz w:val="24"/>
                <w:lang w:val="en-US" w:eastAsia="zh-CN"/>
              </w:rPr>
            </w:pPr>
            <w:r>
              <w:rPr>
                <w:rFonts w:hint="eastAsia" w:cs="宋体" w:asciiTheme="minorEastAsia" w:hAnsiTheme="minorEastAsia"/>
                <w:sz w:val="24"/>
                <w:lang w:val="en-US" w:eastAsia="zh-CN"/>
              </w:rPr>
              <w:t>设计企业管理</w:t>
            </w:r>
          </w:p>
        </w:tc>
        <w:tc>
          <w:tcPr>
            <w:tcW w:w="3311" w:type="dxa"/>
          </w:tcPr>
          <w:p>
            <w:pPr>
              <w:spacing w:line="360" w:lineRule="auto"/>
              <w:contextualSpacing/>
              <w:jc w:val="center"/>
              <w:rPr>
                <w:rFonts w:hint="default" w:cs="宋体" w:asciiTheme="minorEastAsia" w:hAnsiTheme="minorEastAsia"/>
                <w:sz w:val="24"/>
                <w:lang w:val="en-US" w:eastAsia="zh-CN"/>
              </w:rPr>
            </w:pPr>
            <w:r>
              <w:rPr>
                <w:rFonts w:hint="eastAsia" w:cs="宋体" w:asciiTheme="minorEastAsia" w:hAnsiTheme="minorEastAsia"/>
                <w:sz w:val="24"/>
                <w:lang w:val="en-US" w:eastAsia="zh-CN"/>
              </w:rPr>
              <w:t>环境艺术设计</w:t>
            </w:r>
          </w:p>
        </w:tc>
      </w:tr>
    </w:tbl>
    <w:p>
      <w:pPr>
        <w:pStyle w:val="4"/>
        <w:snapToGrid w:val="0"/>
        <w:spacing w:line="360" w:lineRule="auto"/>
        <w:ind w:firstLine="2940" w:firstLineChars="1400"/>
        <w:contextualSpacing/>
        <w:rPr>
          <w:rFonts w:hint="eastAsia"/>
          <w:sz w:val="21"/>
          <w:szCs w:val="21"/>
          <w:lang w:val="en-US" w:eastAsia="zh-CN"/>
        </w:rPr>
      </w:pPr>
      <w:r>
        <w:rPr>
          <w:rFonts w:hint="eastAsia"/>
          <w:sz w:val="21"/>
          <w:szCs w:val="21"/>
        </w:rPr>
        <w:t>注：部分课程教学参照</w:t>
      </w:r>
      <w:r>
        <w:rPr>
          <w:rFonts w:hint="eastAsia"/>
          <w:sz w:val="21"/>
          <w:szCs w:val="21"/>
          <w:lang w:val="en-US" w:eastAsia="zh-CN"/>
        </w:rPr>
        <w:t>实际</w:t>
      </w:r>
    </w:p>
    <w:p>
      <w:pPr>
        <w:keepNext w:val="0"/>
        <w:keepLines w:val="0"/>
        <w:pageBreakBefore w:val="0"/>
        <w:numPr>
          <w:ilvl w:val="0"/>
          <w:numId w:val="1"/>
        </w:numPr>
        <w:kinsoku/>
        <w:wordWrap/>
        <w:overflowPunct/>
        <w:topLinePunct w:val="0"/>
        <w:autoSpaceDE/>
        <w:autoSpaceDN/>
        <w:bidi w:val="0"/>
        <w:adjustRightInd/>
        <w:spacing w:beforeAutospacing="0" w:afterAutospacing="0" w:line="360" w:lineRule="auto"/>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报考条件</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jc w:val="both"/>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拥护《中华人民共和国宪法》，遵守法律、法规，品行端正。</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leftChars="0" w:right="0" w:rightChars="0" w:firstLine="420" w:firstLineChars="0"/>
        <w:jc w:val="both"/>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具有大学本科学历，获得学士学位，并获得学士学位后工作三年以上（含三年），或虽无学士学位但已获得硕士或博士学位者。对已获得的学士、硕士或博士学位为国（境）外学位的，其所获的国（境）外学位需经教育部留学服务中心认证。</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leftChars="0" w:right="0" w:rightChars="0" w:firstLine="420" w:firstLineChars="0"/>
        <w:jc w:val="both"/>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有一定专业基础，并在申请学位专业或相近专业的工作中做出成绩。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420" w:leftChars="0" w:right="0" w:rightChars="0"/>
        <w:jc w:val="both"/>
        <w:textAlignment w:val="auto"/>
        <w:rPr>
          <w:rFonts w:hint="eastAsia" w:asciiTheme="minorEastAsia" w:hAnsiTheme="minorEastAsia" w:eastAsiaTheme="minorEastAsia" w:cstheme="minorEastAsia"/>
          <w:b w:val="0"/>
          <w:bCs w:val="0"/>
          <w:kern w:val="2"/>
          <w:sz w:val="21"/>
          <w:szCs w:val="21"/>
          <w:lang w:val="en-US" w:eastAsia="zh-CN" w:bidi="ar-SA"/>
        </w:rPr>
      </w:pPr>
    </w:p>
    <w:p>
      <w:pPr>
        <w:keepNext w:val="0"/>
        <w:keepLines w:val="0"/>
        <w:pageBreakBefore w:val="0"/>
        <w:numPr>
          <w:ilvl w:val="0"/>
          <w:numId w:val="1"/>
        </w:numPr>
        <w:kinsoku/>
        <w:wordWrap/>
        <w:overflowPunct/>
        <w:topLinePunct w:val="0"/>
        <w:autoSpaceDE/>
        <w:autoSpaceDN/>
        <w:bidi w:val="0"/>
        <w:adjustRightInd/>
        <w:spacing w:beforeAutospacing="0" w:afterAutospacing="0" w:line="360" w:lineRule="auto"/>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报名材料</w:t>
      </w:r>
    </w:p>
    <w:p>
      <w:pPr>
        <w:pStyle w:val="4"/>
        <w:keepNext w:val="0"/>
        <w:keepLines w:val="0"/>
        <w:pageBreakBefore w:val="0"/>
        <w:numPr>
          <w:ilvl w:val="0"/>
          <w:numId w:val="3"/>
        </w:numPr>
        <w:kinsoku/>
        <w:wordWrap/>
        <w:overflowPunct/>
        <w:topLinePunct w:val="0"/>
        <w:autoSpaceDE/>
        <w:autoSpaceDN/>
        <w:bidi w:val="0"/>
        <w:adjustRightInd/>
        <w:snapToGrid w:val="0"/>
        <w:spacing w:beforeAutospacing="0" w:afterAutospacing="0" w:line="360" w:lineRule="auto"/>
        <w:ind w:left="360" w:leftChars="0" w:firstLine="0" w:firstLineChars="0"/>
        <w:contextualSpacing/>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填写南昌航空大学同等学力申硕班报名登记表；</w:t>
      </w:r>
    </w:p>
    <w:p>
      <w:pPr>
        <w:pStyle w:val="4"/>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left="360" w:leftChars="0" w:right="0" w:rightChars="0"/>
        <w:contextualSpacing/>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2、学历、学位证书电子版；</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t>3、身份证正反电子版</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t>4、二寸蓝底寸照电子版</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keepNext w:val="0"/>
        <w:keepLines w:val="0"/>
        <w:pageBreakBefore w:val="0"/>
        <w:numPr>
          <w:ilvl w:val="0"/>
          <w:numId w:val="1"/>
        </w:numPr>
        <w:kinsoku/>
        <w:wordWrap/>
        <w:overflowPunct/>
        <w:topLinePunct w:val="0"/>
        <w:autoSpaceDE/>
        <w:autoSpaceDN/>
        <w:bidi w:val="0"/>
        <w:adjustRightInd/>
        <w:spacing w:beforeAutospacing="0" w:afterAutospacing="0" w:line="360" w:lineRule="auto"/>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培养方式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both"/>
        <w:textAlignment w:val="auto"/>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1、学制：1.5年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2、学习方式：在职不脱产，线上授课</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jc w:val="both"/>
        <w:textAlignment w:val="auto"/>
        <w:rPr>
          <w:rFonts w:hint="eastAsia" w:asciiTheme="minorEastAsia" w:hAnsiTheme="minorEastAsia" w:eastAsiaTheme="minorEastAsia" w:cstheme="minorEastAsia"/>
          <w:b/>
          <w:bCs/>
          <w:sz w:val="21"/>
          <w:szCs w:val="21"/>
          <w:lang w:val="en-US" w:eastAsia="zh-CN"/>
        </w:rPr>
      </w:pPr>
    </w:p>
    <w:p>
      <w:pPr>
        <w:keepNext w:val="0"/>
        <w:keepLines w:val="0"/>
        <w:pageBreakBefore w:val="0"/>
        <w:numPr>
          <w:ilvl w:val="0"/>
          <w:numId w:val="1"/>
        </w:numPr>
        <w:kinsoku/>
        <w:wordWrap/>
        <w:overflowPunct/>
        <w:topLinePunct w:val="0"/>
        <w:autoSpaceDE/>
        <w:autoSpaceDN/>
        <w:bidi w:val="0"/>
        <w:adjustRightInd/>
        <w:spacing w:beforeAutospacing="0" w:afterAutospacing="0" w:line="360" w:lineRule="auto"/>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收费标准</w:t>
      </w:r>
    </w:p>
    <w:p>
      <w:pPr>
        <w:keepNext w:val="0"/>
        <w:keepLines w:val="0"/>
        <w:pageBreakBefore w:val="0"/>
        <w:widowControl w:val="0"/>
        <w:numPr>
          <w:ilvl w:val="0"/>
          <w:numId w:val="4"/>
        </w:numPr>
        <w:kinsoku/>
        <w:wordWrap/>
        <w:overflowPunct/>
        <w:topLinePunct w:val="0"/>
        <w:autoSpaceDE/>
        <w:autoSpaceDN/>
        <w:bidi w:val="0"/>
        <w:adjustRightInd/>
        <w:spacing w:beforeAutospacing="0" w:afterAutospacing="0" w:line="360" w:lineRule="auto"/>
        <w:ind w:left="420" w:leftChars="200" w:firstLine="0" w:firstLineChars="0"/>
        <w:jc w:val="both"/>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第一阶段（课程学费）：12800元；</w:t>
      </w:r>
      <w:r>
        <w:rPr>
          <w:rFonts w:hint="eastAsia" w:asciiTheme="minorEastAsia" w:hAnsiTheme="minorEastAsia" w:eastAsiaTheme="minorEastAsia" w:cstheme="minorEastAsia"/>
          <w:kern w:val="0"/>
          <w:sz w:val="21"/>
          <w:szCs w:val="21"/>
          <w:lang w:val="en-US" w:eastAsia="zh-CN" w:bidi="ar"/>
        </w:rPr>
        <w:br w:type="textWrapping"/>
      </w:r>
      <w:r>
        <w:rPr>
          <w:rFonts w:hint="eastAsia" w:asciiTheme="minorEastAsia" w:hAnsiTheme="minorEastAsia" w:eastAsiaTheme="minorEastAsia" w:cstheme="minorEastAsia"/>
          <w:kern w:val="0"/>
          <w:sz w:val="21"/>
          <w:szCs w:val="21"/>
          <w:lang w:val="en-US" w:eastAsia="zh-CN" w:bidi="ar"/>
        </w:rPr>
        <w:t>2、第二阶段（学位论文指导、学位申请相关费用）：6800元。</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Chars="200"/>
        <w:jc w:val="both"/>
        <w:textAlignment w:val="auto"/>
        <w:rPr>
          <w:rFonts w:hint="eastAsia" w:asciiTheme="minorEastAsia" w:hAnsiTheme="minorEastAsia" w:eastAsiaTheme="minorEastAsia" w:cstheme="minorEastAsia"/>
          <w:kern w:val="0"/>
          <w:sz w:val="21"/>
          <w:szCs w:val="21"/>
          <w:lang w:val="en-US" w:eastAsia="zh-CN" w:bidi="ar"/>
        </w:rPr>
      </w:pPr>
    </w:p>
    <w:p>
      <w:pPr>
        <w:keepNext w:val="0"/>
        <w:keepLines w:val="0"/>
        <w:pageBreakBefore w:val="0"/>
        <w:numPr>
          <w:ilvl w:val="0"/>
          <w:numId w:val="1"/>
        </w:numPr>
        <w:kinsoku/>
        <w:wordWrap/>
        <w:overflowPunct/>
        <w:topLinePunct w:val="0"/>
        <w:autoSpaceDE/>
        <w:autoSpaceDN/>
        <w:bidi w:val="0"/>
        <w:adjustRightInd/>
        <w:spacing w:beforeAutospacing="0" w:afterAutospacing="0" w:line="360" w:lineRule="auto"/>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获取证书</w:t>
      </w:r>
    </w:p>
    <w:p>
      <w:pPr>
        <w:pStyle w:val="4"/>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firstLine="420" w:firstLineChars="200"/>
        <w:contextualSpacing/>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学员按教学计划完成全部课程学习且考试合格者，颁发</w:t>
      </w:r>
      <w:r>
        <w:rPr>
          <w:rFonts w:hint="eastAsia" w:asciiTheme="minorEastAsia" w:hAnsiTheme="minorEastAsia" w:eastAsiaTheme="minorEastAsia" w:cstheme="minorEastAsia"/>
          <w:sz w:val="21"/>
          <w:szCs w:val="21"/>
          <w:lang w:val="en-US" w:eastAsia="zh-CN"/>
        </w:rPr>
        <w:t>南昌航空</w:t>
      </w:r>
      <w:r>
        <w:rPr>
          <w:rFonts w:hint="eastAsia" w:asciiTheme="minorEastAsia" w:hAnsiTheme="minorEastAsia" w:eastAsiaTheme="minorEastAsia" w:cstheme="minorEastAsia"/>
          <w:sz w:val="21"/>
          <w:szCs w:val="21"/>
        </w:rPr>
        <w:t>大学</w:t>
      </w:r>
      <w:r>
        <w:rPr>
          <w:rFonts w:hint="eastAsia" w:asciiTheme="minorEastAsia" w:hAnsiTheme="minorEastAsia" w:eastAsiaTheme="minorEastAsia" w:cstheme="minorEastAsia"/>
          <w:sz w:val="21"/>
          <w:szCs w:val="21"/>
          <w:lang w:val="en-US" w:eastAsia="zh-CN"/>
        </w:rPr>
        <w:t>设计学</w:t>
      </w:r>
      <w:r>
        <w:rPr>
          <w:rFonts w:hint="eastAsia" w:asciiTheme="minorEastAsia" w:hAnsiTheme="minorEastAsia" w:eastAsiaTheme="minorEastAsia" w:cstheme="minorEastAsia"/>
          <w:sz w:val="21"/>
          <w:szCs w:val="21"/>
        </w:rPr>
        <w:t>专业结业证书。</w:t>
      </w:r>
    </w:p>
    <w:p>
      <w:pPr>
        <w:pStyle w:val="4"/>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firstLine="420" w:firstLineChars="200"/>
        <w:contextualSpacing/>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具有学士学位的学员且完成专业全部课程学习，通过同等学力申硕全国统一考试后，可申请进入硕士学位论文撰写阶段</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通过同等学力水平认定，经我校学位委员会批准，授予颁发硕士学位证书。 </w:t>
      </w:r>
    </w:p>
    <w:p>
      <w:pPr>
        <w:pStyle w:val="4"/>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firstLine="420" w:firstLineChars="200"/>
        <w:contextualSpacing/>
        <w:textAlignment w:val="auto"/>
        <w:rPr>
          <w:rFonts w:hint="eastAsia" w:asciiTheme="minorEastAsia" w:hAnsiTheme="minorEastAsia" w:eastAsiaTheme="minorEastAsia" w:cstheme="minorEastAsia"/>
          <w:sz w:val="21"/>
          <w:szCs w:val="21"/>
          <w:lang w:val="en-US" w:eastAsia="zh-CN"/>
        </w:rPr>
      </w:pPr>
    </w:p>
    <w:p>
      <w:pPr>
        <w:pStyle w:val="4"/>
        <w:snapToGrid w:val="0"/>
        <w:spacing w:line="360" w:lineRule="auto"/>
        <w:ind w:firstLine="482" w:firstLineChars="200"/>
        <w:contextualSpacing/>
        <w:rPr>
          <w:rFonts w:hint="default"/>
          <w:b/>
          <w:bCs/>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426710"/>
          <wp:effectExtent l="0" t="0" r="2540" b="2540"/>
          <wp:wrapNone/>
          <wp:docPr id="1" name="WordPictureWatermark13455" descr="南昌航空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3455" descr="南昌航空大学logo"/>
                  <pic:cNvPicPr>
                    <a:picLocks noChangeAspect="1"/>
                  </pic:cNvPicPr>
                </pic:nvPicPr>
                <pic:blipFill>
                  <a:blip r:embed="rId1">
                    <a:lum bright="69998" contrast="-70001"/>
                  </a:blip>
                  <a:stretch>
                    <a:fillRect/>
                  </a:stretch>
                </pic:blipFill>
                <pic:spPr>
                  <a:xfrm>
                    <a:off x="0" y="0"/>
                    <a:ext cx="5274310" cy="54267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D6361A"/>
    <w:multiLevelType w:val="singleLevel"/>
    <w:tmpl w:val="A2D6361A"/>
    <w:lvl w:ilvl="0" w:tentative="0">
      <w:start w:val="1"/>
      <w:numFmt w:val="chineseCounting"/>
      <w:suff w:val="nothing"/>
      <w:lvlText w:val="%1、"/>
      <w:lvlJc w:val="left"/>
      <w:rPr>
        <w:rFonts w:hint="eastAsia"/>
      </w:rPr>
    </w:lvl>
  </w:abstractNum>
  <w:abstractNum w:abstractNumId="1">
    <w:nsid w:val="BF769E9C"/>
    <w:multiLevelType w:val="singleLevel"/>
    <w:tmpl w:val="BF769E9C"/>
    <w:lvl w:ilvl="0" w:tentative="0">
      <w:start w:val="1"/>
      <w:numFmt w:val="decimal"/>
      <w:suff w:val="nothing"/>
      <w:lvlText w:val="%1、"/>
      <w:lvlJc w:val="left"/>
      <w:pPr>
        <w:ind w:left="360" w:leftChars="0" w:firstLine="0" w:firstLineChars="0"/>
      </w:pPr>
    </w:lvl>
  </w:abstractNum>
  <w:abstractNum w:abstractNumId="2">
    <w:nsid w:val="0A11893D"/>
    <w:multiLevelType w:val="singleLevel"/>
    <w:tmpl w:val="0A11893D"/>
    <w:lvl w:ilvl="0" w:tentative="0">
      <w:start w:val="1"/>
      <w:numFmt w:val="decimal"/>
      <w:suff w:val="nothing"/>
      <w:lvlText w:val="%1、"/>
      <w:lvlJc w:val="left"/>
    </w:lvl>
  </w:abstractNum>
  <w:abstractNum w:abstractNumId="3">
    <w:nsid w:val="2058ACD2"/>
    <w:multiLevelType w:val="singleLevel"/>
    <w:tmpl w:val="2058ACD2"/>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006EC"/>
    <w:rsid w:val="03457CFC"/>
    <w:rsid w:val="07E21FBD"/>
    <w:rsid w:val="09150170"/>
    <w:rsid w:val="0CA912FB"/>
    <w:rsid w:val="0E9F763C"/>
    <w:rsid w:val="130664D3"/>
    <w:rsid w:val="19F618F8"/>
    <w:rsid w:val="1B03607B"/>
    <w:rsid w:val="1FF71F26"/>
    <w:rsid w:val="214006EC"/>
    <w:rsid w:val="24D308EB"/>
    <w:rsid w:val="313A538F"/>
    <w:rsid w:val="372E4027"/>
    <w:rsid w:val="397D1296"/>
    <w:rsid w:val="40201AB5"/>
    <w:rsid w:val="470260C8"/>
    <w:rsid w:val="499A6485"/>
    <w:rsid w:val="4B1300D7"/>
    <w:rsid w:val="4EC34BAC"/>
    <w:rsid w:val="50984667"/>
    <w:rsid w:val="5A4B6B1B"/>
    <w:rsid w:val="5B3226CB"/>
    <w:rsid w:val="5BF57AD8"/>
    <w:rsid w:val="61E33ADD"/>
    <w:rsid w:val="63E37065"/>
    <w:rsid w:val="6F064C35"/>
    <w:rsid w:val="71775FF0"/>
    <w:rsid w:val="73A274B8"/>
    <w:rsid w:val="76142A12"/>
    <w:rsid w:val="7EE30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1458</Words>
  <Characters>1483</Characters>
  <Lines>0</Lines>
  <Paragraphs>0</Paragraphs>
  <TotalTime>1</TotalTime>
  <ScaleCrop>false</ScaleCrop>
  <LinksUpToDate>false</LinksUpToDate>
  <CharactersWithSpaces>1488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2022-03-10T01:27:00Z</dcterms:created>
  <dc:creator>Administrator</dc:creator>
  <cp:lastModifiedBy>冰冰⊙▽⊙＊</cp:lastModifiedBy>
  <dcterms:modified xsi:type="dcterms:W3CDTF">2022-05-18T07:40:29Z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C2F89B6C5E5947BB9B18A44E53EDA046</vt:lpwstr>
  </property>
</Properties>
</file>