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color w:val="FF0000"/>
          <w:sz w:val="28"/>
          <w:szCs w:val="28"/>
        </w:rPr>
      </w:pPr>
      <w:r>
        <w:rPr>
          <w:rFonts w:hint="eastAsia" w:asciiTheme="minorEastAsia" w:hAnsiTheme="minorEastAsia"/>
          <w:b/>
          <w:color w:val="FF0000"/>
          <w:sz w:val="28"/>
          <w:szCs w:val="28"/>
        </w:rPr>
        <w:t>不是企业选不选择精益管理模式，而是时代已经选择了它！</w:t>
      </w:r>
    </w:p>
    <w:p>
      <w:pPr>
        <w:jc w:val="center"/>
        <w:rPr>
          <w:rFonts w:ascii="黑体" w:hAnsi="黑体" w:eastAsia="黑体"/>
          <w:b/>
          <w:sz w:val="32"/>
          <w:szCs w:val="32"/>
        </w:rPr>
      </w:pPr>
      <w:r>
        <w:rPr>
          <w:rFonts w:hint="eastAsia" w:ascii="黑体" w:hAnsi="黑体" w:eastAsia="黑体"/>
          <w:b/>
          <w:sz w:val="32"/>
          <w:szCs w:val="32"/>
        </w:rPr>
        <w:t>《精益生产》深入推进与八大障碍突破</w:t>
      </w:r>
    </w:p>
    <w:p>
      <w:pPr>
        <w:jc w:val="center"/>
        <w:rPr>
          <w:rFonts w:asciiTheme="minorEastAsia" w:hAnsiTheme="minorEastAsia"/>
          <w:b/>
          <w:color w:val="FF0000"/>
          <w:sz w:val="28"/>
          <w:szCs w:val="28"/>
        </w:rPr>
      </w:pPr>
      <w:r>
        <w:rPr>
          <w:rFonts w:hint="eastAsia" w:asciiTheme="minorEastAsia" w:hAnsiTheme="minorEastAsia"/>
          <w:b/>
          <w:color w:val="FF0000"/>
          <w:sz w:val="28"/>
          <w:szCs w:val="28"/>
        </w:rPr>
        <w:t>工匠精神与精益管理模式在未来的中国必将大放光彩</w:t>
      </w:r>
    </w:p>
    <w:p>
      <w:pPr>
        <w:widowControl/>
        <w:shd w:val="clear" w:color="auto" w:fill="FFFFFF"/>
        <w:spacing w:line="360" w:lineRule="exact"/>
        <w:ind w:firstLine="422" w:firstLineChars="150"/>
        <w:jc w:val="center"/>
        <w:rPr>
          <w:rFonts w:ascii="黑体" w:hAnsi="黑体" w:eastAsia="黑体" w:cs="宋体"/>
          <w:b/>
          <w:bCs/>
          <w:kern w:val="0"/>
          <w:sz w:val="28"/>
          <w:szCs w:val="28"/>
        </w:rPr>
      </w:pPr>
      <w:r>
        <w:rPr>
          <w:rFonts w:hint="eastAsia" w:ascii="黑体" w:hAnsi="黑体" w:eastAsia="黑体" w:cs="宋体"/>
          <w:b/>
          <w:bCs/>
          <w:kern w:val="0"/>
          <w:sz w:val="28"/>
          <w:szCs w:val="28"/>
        </w:rPr>
        <w:t>成功之道，在于做精</w:t>
      </w:r>
    </w:p>
    <w:p>
      <w:pPr>
        <w:widowControl/>
        <w:shd w:val="clear" w:color="auto" w:fill="FFFFFF"/>
        <w:spacing w:line="360" w:lineRule="exact"/>
        <w:ind w:firstLine="422" w:firstLineChars="150"/>
        <w:jc w:val="center"/>
        <w:rPr>
          <w:rFonts w:ascii="黑体" w:hAnsi="黑体" w:eastAsia="黑体" w:cs="宋体"/>
          <w:b/>
          <w:bCs/>
          <w:kern w:val="0"/>
          <w:sz w:val="28"/>
          <w:szCs w:val="28"/>
        </w:rPr>
      </w:pPr>
      <w:r>
        <w:rPr>
          <w:rFonts w:hint="eastAsia" w:ascii="黑体" w:hAnsi="黑体" w:eastAsia="黑体" w:cs="宋体"/>
          <w:b/>
          <w:bCs/>
          <w:kern w:val="0"/>
          <w:sz w:val="28"/>
          <w:szCs w:val="28"/>
        </w:rPr>
        <w:t>只有做精，才能做强</w:t>
      </w:r>
    </w:p>
    <w:p>
      <w:pPr>
        <w:widowControl/>
        <w:shd w:val="clear" w:color="auto" w:fill="FFFFFF"/>
        <w:spacing w:line="360" w:lineRule="exact"/>
        <w:ind w:firstLine="422" w:firstLineChars="150"/>
        <w:jc w:val="center"/>
        <w:rPr>
          <w:rFonts w:ascii="黑体" w:hAnsi="黑体" w:eastAsia="黑体" w:cs="宋体"/>
          <w:b/>
          <w:bCs/>
          <w:kern w:val="0"/>
          <w:sz w:val="28"/>
          <w:szCs w:val="28"/>
        </w:rPr>
      </w:pPr>
      <w:r>
        <w:rPr>
          <w:rFonts w:hint="eastAsia" w:ascii="黑体" w:hAnsi="黑体" w:eastAsia="黑体" w:cs="宋体"/>
          <w:b/>
          <w:bCs/>
          <w:kern w:val="0"/>
          <w:sz w:val="28"/>
          <w:szCs w:val="28"/>
        </w:rPr>
        <w:t>精益求精，方出精品</w:t>
      </w:r>
    </w:p>
    <w:p>
      <w:pPr>
        <w:ind w:firstLine="3920" w:firstLineChars="1400"/>
        <w:rPr>
          <w:rFonts w:hint="eastAsia"/>
          <w:sz w:val="28"/>
          <w:szCs w:val="28"/>
        </w:rPr>
      </w:pPr>
      <w:r>
        <w:rPr>
          <w:rFonts w:hint="eastAsia"/>
          <w:sz w:val="28"/>
          <w:szCs w:val="28"/>
        </w:rPr>
        <w:t xml:space="preserve">04月05-06日  深圳  </w:t>
      </w:r>
    </w:p>
    <w:p>
      <w:pPr>
        <w:ind w:firstLine="3920" w:firstLineChars="1400"/>
        <w:rPr>
          <w:rFonts w:hint="eastAsia"/>
          <w:sz w:val="28"/>
          <w:szCs w:val="28"/>
        </w:rPr>
      </w:pPr>
      <w:r>
        <w:rPr>
          <w:rFonts w:hint="eastAsia"/>
          <w:sz w:val="28"/>
          <w:szCs w:val="28"/>
        </w:rPr>
        <w:t>06月28-29日  广州</w:t>
      </w:r>
    </w:p>
    <w:p>
      <w:pPr>
        <w:widowControl/>
        <w:shd w:val="clear" w:color="auto" w:fill="FFFFFF"/>
        <w:spacing w:line="360" w:lineRule="exact"/>
        <w:ind w:firstLine="364" w:firstLineChars="152"/>
        <w:jc w:val="left"/>
        <w:rPr>
          <w:rFonts w:ascii="黑体" w:hAnsi="黑体" w:eastAsia="黑体" w:cs="宋体"/>
          <w:bCs/>
          <w:kern w:val="0"/>
          <w:sz w:val="24"/>
          <w:szCs w:val="24"/>
        </w:rPr>
      </w:pPr>
      <w:r>
        <w:rPr>
          <w:rFonts w:hint="eastAsia" w:ascii="黑体" w:hAnsi="黑体" w:eastAsia="黑体" w:cs="宋体"/>
          <w:bCs/>
          <w:kern w:val="0"/>
          <w:sz w:val="24"/>
          <w:szCs w:val="24"/>
          <w:highlight w:val="lightGray"/>
        </w:rPr>
        <w:t>对于“精益运营管理模式”，是否存在以下疑惑：</w:t>
      </w:r>
    </w:p>
    <w:p>
      <w:pPr>
        <w:widowControl/>
        <w:shd w:val="clear" w:color="auto" w:fill="FFFFFF"/>
        <w:spacing w:line="360" w:lineRule="exact"/>
        <w:ind w:firstLine="360" w:firstLineChars="150"/>
        <w:jc w:val="left"/>
        <w:rPr>
          <w:rFonts w:cs="宋体" w:asciiTheme="minorEastAsia" w:hAnsiTheme="minorEastAsia"/>
          <w:bCs/>
          <w:kern w:val="0"/>
          <w:sz w:val="24"/>
          <w:szCs w:val="24"/>
        </w:rPr>
      </w:pPr>
      <w:r>
        <w:rPr>
          <w:rFonts w:hint="eastAsia" w:cs="宋体" w:asciiTheme="minorEastAsia" w:hAnsiTheme="minorEastAsia"/>
          <w:bCs/>
          <w:kern w:val="0"/>
          <w:sz w:val="24"/>
          <w:szCs w:val="24"/>
        </w:rPr>
        <w:t>▲知道“精益运营管理模式”能给企业带来巨大的效益与帮助，但无从下手。</w:t>
      </w:r>
    </w:p>
    <w:p>
      <w:pPr>
        <w:widowControl/>
        <w:shd w:val="clear" w:color="auto" w:fill="FFFFFF"/>
        <w:spacing w:line="360" w:lineRule="exact"/>
        <w:ind w:firstLine="360" w:firstLineChars="150"/>
        <w:jc w:val="left"/>
        <w:rPr>
          <w:rFonts w:cs="宋体" w:asciiTheme="minorEastAsia" w:hAnsiTheme="minorEastAsia"/>
          <w:bCs/>
          <w:kern w:val="0"/>
          <w:sz w:val="24"/>
          <w:szCs w:val="24"/>
        </w:rPr>
      </w:pPr>
      <w:r>
        <w:rPr>
          <w:rFonts w:hint="eastAsia" w:cs="宋体" w:asciiTheme="minorEastAsia" w:hAnsiTheme="minorEastAsia"/>
          <w:bCs/>
          <w:kern w:val="0"/>
          <w:sz w:val="24"/>
          <w:szCs w:val="24"/>
        </w:rPr>
        <w:t>▲“精益运营管理模式”在企业已经导入，但收效甚微，有的甚至半途而废。</w:t>
      </w:r>
    </w:p>
    <w:p>
      <w:pPr>
        <w:widowControl/>
        <w:shd w:val="clear" w:color="auto" w:fill="FFFFFF"/>
        <w:spacing w:line="360" w:lineRule="exact"/>
        <w:ind w:firstLine="360" w:firstLineChars="150"/>
        <w:jc w:val="left"/>
        <w:rPr>
          <w:rFonts w:cs="宋体" w:asciiTheme="minorEastAsia" w:hAnsiTheme="minorEastAsia"/>
          <w:bCs/>
          <w:kern w:val="0"/>
          <w:sz w:val="24"/>
          <w:szCs w:val="24"/>
        </w:rPr>
      </w:pPr>
      <w:r>
        <w:rPr>
          <w:rFonts w:hint="eastAsia" w:cs="宋体" w:asciiTheme="minorEastAsia" w:hAnsiTheme="minorEastAsia"/>
          <w:bCs/>
          <w:kern w:val="0"/>
          <w:sz w:val="24"/>
          <w:szCs w:val="24"/>
        </w:rPr>
        <w:t>▲掌握了理论，套用了别人的经验，用在自己的企业，却不管用。</w:t>
      </w:r>
    </w:p>
    <w:p>
      <w:pPr>
        <w:widowControl/>
        <w:shd w:val="clear" w:color="auto" w:fill="FFFFFF"/>
        <w:spacing w:line="360" w:lineRule="exact"/>
        <w:ind w:firstLine="360" w:firstLineChars="150"/>
        <w:jc w:val="left"/>
        <w:rPr>
          <w:rFonts w:cs="宋体" w:asciiTheme="minorEastAsia" w:hAnsiTheme="minorEastAsia"/>
          <w:bCs/>
          <w:kern w:val="0"/>
          <w:sz w:val="24"/>
          <w:szCs w:val="24"/>
        </w:rPr>
      </w:pPr>
      <w:r>
        <w:rPr>
          <w:rFonts w:hint="eastAsia" w:cs="宋体" w:asciiTheme="minorEastAsia" w:hAnsiTheme="minorEastAsia"/>
          <w:bCs/>
          <w:kern w:val="0"/>
          <w:sz w:val="24"/>
          <w:szCs w:val="24"/>
        </w:rPr>
        <w:t>▲老板和管理团队，花了大量的时间与精力，去推行实施，却处处碰壁，许多问题难以突破。</w:t>
      </w:r>
    </w:p>
    <w:p>
      <w:pPr>
        <w:widowControl/>
        <w:shd w:val="clear" w:color="auto" w:fill="FFFFFF"/>
        <w:spacing w:line="360" w:lineRule="exact"/>
        <w:ind w:firstLine="360" w:firstLineChars="150"/>
        <w:jc w:val="left"/>
        <w:rPr>
          <w:rFonts w:cs="宋体" w:asciiTheme="minorEastAsia" w:hAnsiTheme="minorEastAsia"/>
          <w:bCs/>
          <w:kern w:val="0"/>
          <w:sz w:val="24"/>
          <w:szCs w:val="24"/>
        </w:rPr>
      </w:pPr>
      <w:r>
        <w:rPr>
          <w:rFonts w:hint="eastAsia" w:cs="宋体" w:asciiTheme="minorEastAsia" w:hAnsiTheme="minorEastAsia"/>
          <w:bCs/>
          <w:kern w:val="0"/>
          <w:sz w:val="24"/>
          <w:szCs w:val="24"/>
        </w:rPr>
        <w:t>▲点效率有提高，但系统效率没有得到明显的改善。</w:t>
      </w:r>
    </w:p>
    <w:p>
      <w:pPr>
        <w:widowControl/>
        <w:shd w:val="clear" w:color="auto" w:fill="FFFFFF"/>
        <w:spacing w:line="360" w:lineRule="exact"/>
        <w:jc w:val="left"/>
        <w:rPr>
          <w:rFonts w:ascii="黑体" w:hAnsi="黑体" w:eastAsia="黑体" w:cs="宋体"/>
          <w:b/>
          <w:bCs/>
          <w:kern w:val="0"/>
          <w:sz w:val="28"/>
          <w:szCs w:val="28"/>
          <w:highlight w:val="lightGray"/>
        </w:rPr>
      </w:pPr>
    </w:p>
    <w:p>
      <w:pPr>
        <w:widowControl/>
        <w:shd w:val="clear" w:color="auto" w:fill="FFFFFF"/>
        <w:spacing w:line="360" w:lineRule="exact"/>
        <w:ind w:firstLine="360" w:firstLineChars="150"/>
        <w:jc w:val="left"/>
        <w:rPr>
          <w:rFonts w:ascii="黑体" w:hAnsi="黑体" w:eastAsia="黑体" w:cs="宋体"/>
          <w:bCs/>
          <w:kern w:val="0"/>
          <w:sz w:val="24"/>
          <w:szCs w:val="24"/>
        </w:rPr>
      </w:pPr>
      <w:r>
        <w:rPr>
          <w:rFonts w:hint="eastAsia" w:ascii="黑体" w:hAnsi="黑体" w:eastAsia="黑体" w:cs="宋体"/>
          <w:bCs/>
          <w:kern w:val="0"/>
          <w:sz w:val="24"/>
          <w:szCs w:val="24"/>
          <w:highlight w:val="lightGray"/>
        </w:rPr>
        <w:t>假如你的企业存在以下问题，该是亮剑解决问题的时候了</w:t>
      </w:r>
    </w:p>
    <w:p>
      <w:pPr>
        <w:pStyle w:val="13"/>
        <w:widowControl/>
        <w:numPr>
          <w:ilvl w:val="0"/>
          <w:numId w:val="1"/>
        </w:numPr>
        <w:shd w:val="clear" w:color="auto" w:fill="FFFFFF"/>
        <w:spacing w:line="360" w:lineRule="exact"/>
        <w:ind w:left="851" w:hanging="425" w:firstLineChars="0"/>
        <w:jc w:val="left"/>
        <w:rPr>
          <w:rFonts w:cs="宋体" w:asciiTheme="minorEastAsia" w:hAnsiTheme="minorEastAsia"/>
          <w:bCs/>
          <w:kern w:val="0"/>
          <w:sz w:val="24"/>
          <w:szCs w:val="24"/>
        </w:rPr>
      </w:pPr>
      <w:r>
        <w:rPr>
          <w:rFonts w:hint="eastAsia" w:cs="宋体" w:asciiTheme="minorEastAsia" w:hAnsiTheme="minorEastAsia"/>
          <w:bCs/>
          <w:kern w:val="0"/>
          <w:sz w:val="24"/>
          <w:szCs w:val="24"/>
        </w:rPr>
        <w:t>工厂生产效率低下，虽强调改善，但无从下手或改善效果不明显</w:t>
      </w:r>
    </w:p>
    <w:p>
      <w:pPr>
        <w:pStyle w:val="13"/>
        <w:widowControl/>
        <w:numPr>
          <w:ilvl w:val="0"/>
          <w:numId w:val="1"/>
        </w:numPr>
        <w:shd w:val="clear" w:color="auto" w:fill="FFFFFF"/>
        <w:spacing w:line="360" w:lineRule="exact"/>
        <w:ind w:left="851" w:hanging="425" w:firstLineChars="0"/>
        <w:jc w:val="left"/>
        <w:rPr>
          <w:rFonts w:cs="宋体" w:asciiTheme="minorEastAsia" w:hAnsiTheme="minorEastAsia"/>
          <w:bCs/>
          <w:kern w:val="0"/>
          <w:sz w:val="24"/>
          <w:szCs w:val="24"/>
        </w:rPr>
      </w:pPr>
      <w:r>
        <w:rPr>
          <w:rFonts w:hint="eastAsia" w:cs="宋体" w:asciiTheme="minorEastAsia" w:hAnsiTheme="minorEastAsia"/>
          <w:bCs/>
          <w:kern w:val="0"/>
          <w:sz w:val="24"/>
          <w:szCs w:val="24"/>
        </w:rPr>
        <w:t>客户投诉、抱怨，产品质量难以满足客户的要求</w:t>
      </w:r>
    </w:p>
    <w:p>
      <w:pPr>
        <w:pStyle w:val="13"/>
        <w:widowControl/>
        <w:numPr>
          <w:ilvl w:val="0"/>
          <w:numId w:val="1"/>
        </w:numPr>
        <w:shd w:val="clear" w:color="auto" w:fill="FFFFFF"/>
        <w:spacing w:line="360" w:lineRule="exact"/>
        <w:ind w:left="851" w:hanging="425" w:firstLineChars="0"/>
        <w:jc w:val="left"/>
        <w:rPr>
          <w:rFonts w:cs="宋体" w:asciiTheme="minorEastAsia" w:hAnsiTheme="minorEastAsia"/>
          <w:bCs/>
          <w:kern w:val="0"/>
          <w:sz w:val="24"/>
          <w:szCs w:val="24"/>
        </w:rPr>
      </w:pPr>
      <w:r>
        <w:rPr>
          <w:rFonts w:hint="eastAsia" w:cs="宋体" w:asciiTheme="minorEastAsia" w:hAnsiTheme="minorEastAsia"/>
          <w:bCs/>
          <w:kern w:val="0"/>
          <w:sz w:val="24"/>
          <w:szCs w:val="24"/>
        </w:rPr>
        <w:t>人工、材料成本不断上涨，企业利润率越来越低，成本管控难上加难</w:t>
      </w:r>
    </w:p>
    <w:p>
      <w:pPr>
        <w:pStyle w:val="13"/>
        <w:widowControl/>
        <w:numPr>
          <w:ilvl w:val="0"/>
          <w:numId w:val="1"/>
        </w:numPr>
        <w:shd w:val="clear" w:color="auto" w:fill="FFFFFF"/>
        <w:spacing w:line="360" w:lineRule="exact"/>
        <w:ind w:left="851" w:hanging="425" w:firstLineChars="0"/>
        <w:jc w:val="left"/>
        <w:rPr>
          <w:rFonts w:cs="宋体" w:asciiTheme="minorEastAsia" w:hAnsiTheme="minorEastAsia"/>
          <w:bCs/>
          <w:kern w:val="0"/>
          <w:sz w:val="24"/>
          <w:szCs w:val="24"/>
        </w:rPr>
      </w:pPr>
      <w:r>
        <w:rPr>
          <w:rFonts w:hint="eastAsia" w:cs="宋体" w:asciiTheme="minorEastAsia" w:hAnsiTheme="minorEastAsia"/>
          <w:bCs/>
          <w:kern w:val="0"/>
          <w:sz w:val="24"/>
          <w:szCs w:val="24"/>
        </w:rPr>
        <w:t>客户要货急，生产疲于应付，导致业务接单、计划、采购、生产、成本之间矛盾激化，交期延误问题频繁发生</w:t>
      </w:r>
    </w:p>
    <w:p>
      <w:pPr>
        <w:pStyle w:val="13"/>
        <w:widowControl/>
        <w:numPr>
          <w:ilvl w:val="0"/>
          <w:numId w:val="1"/>
        </w:numPr>
        <w:shd w:val="clear" w:color="auto" w:fill="FFFFFF"/>
        <w:spacing w:line="360" w:lineRule="exact"/>
        <w:ind w:left="851" w:hanging="425" w:firstLineChars="0"/>
        <w:jc w:val="left"/>
        <w:rPr>
          <w:rFonts w:cs="宋体" w:asciiTheme="minorEastAsia" w:hAnsiTheme="minorEastAsia"/>
          <w:bCs/>
          <w:kern w:val="0"/>
          <w:sz w:val="24"/>
          <w:szCs w:val="24"/>
        </w:rPr>
      </w:pPr>
      <w:r>
        <w:rPr>
          <w:rFonts w:hint="eastAsia" w:cs="宋体" w:asciiTheme="minorEastAsia" w:hAnsiTheme="minorEastAsia"/>
          <w:bCs/>
          <w:kern w:val="0"/>
          <w:sz w:val="24"/>
          <w:szCs w:val="24"/>
        </w:rPr>
        <w:t>员工归属感不强，流动性大，积极性与动力明显不足，思想意识与能力水平无法满足企业发展的需求</w:t>
      </w:r>
    </w:p>
    <w:p>
      <w:pPr>
        <w:pStyle w:val="13"/>
        <w:widowControl/>
        <w:numPr>
          <w:ilvl w:val="0"/>
          <w:numId w:val="1"/>
        </w:numPr>
        <w:shd w:val="clear" w:color="auto" w:fill="FFFFFF"/>
        <w:spacing w:line="360" w:lineRule="exact"/>
        <w:ind w:left="851" w:hanging="425" w:firstLineChars="0"/>
        <w:jc w:val="left"/>
        <w:rPr>
          <w:rFonts w:cs="宋体" w:asciiTheme="minorEastAsia" w:hAnsiTheme="minorEastAsia"/>
          <w:bCs/>
          <w:kern w:val="0"/>
          <w:sz w:val="24"/>
          <w:szCs w:val="24"/>
        </w:rPr>
      </w:pPr>
      <w:r>
        <w:rPr>
          <w:rFonts w:hint="eastAsia" w:cs="宋体" w:asciiTheme="minorEastAsia" w:hAnsiTheme="minorEastAsia"/>
          <w:bCs/>
          <w:kern w:val="0"/>
          <w:sz w:val="24"/>
          <w:szCs w:val="24"/>
        </w:rPr>
        <w:t>管理松散，流程机制不健全，推诿扯皮、执行不力、本位主义等不良现象，给企业带来一系列的问题与困扰</w:t>
      </w:r>
    </w:p>
    <w:p>
      <w:pPr>
        <w:widowControl/>
        <w:shd w:val="clear" w:color="auto" w:fill="FFFFFF"/>
        <w:spacing w:line="360" w:lineRule="exact"/>
        <w:jc w:val="center"/>
        <w:rPr>
          <w:rFonts w:ascii="黑体" w:hAnsi="黑体" w:eastAsia="黑体" w:cs="宋体"/>
          <w:bCs/>
          <w:kern w:val="0"/>
          <w:sz w:val="28"/>
          <w:szCs w:val="28"/>
        </w:rPr>
      </w:pPr>
      <w:r>
        <w:rPr>
          <w:rFonts w:hint="eastAsia" w:ascii="黑体" w:hAnsi="黑体" w:eastAsia="黑体" w:cs="宋体"/>
          <w:bCs/>
          <w:kern w:val="0"/>
          <w:sz w:val="28"/>
          <w:szCs w:val="28"/>
          <w:highlight w:val="lightGray"/>
        </w:rPr>
        <w:t>破解工厂管理六大难题</w:t>
      </w:r>
    </w:p>
    <w:p>
      <w:pPr>
        <w:spacing w:line="240" w:lineRule="exact"/>
        <w:rPr>
          <w:rFonts w:ascii="黑体" w:hAnsi="黑体" w:eastAsia="黑体"/>
          <w:b/>
          <w:sz w:val="30"/>
          <w:szCs w:val="30"/>
        </w:rPr>
      </w:pPr>
    </w:p>
    <w:p>
      <w:pPr>
        <w:jc w:val="center"/>
        <w:rPr>
          <w:rFonts w:ascii="黑体" w:hAnsi="黑体" w:eastAsia="黑体"/>
          <w:b/>
        </w:rPr>
      </w:pPr>
      <w:r>
        <w:rPr>
          <w:rFonts w:ascii="华文琥珀" w:eastAsia="华文琥珀"/>
          <w:sz w:val="32"/>
          <w:szCs w:val="32"/>
        </w:rPr>
        <w:drawing>
          <wp:inline distT="0" distB="0" distL="0" distR="0">
            <wp:extent cx="3489960" cy="19297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491910" cy="1931088"/>
                    </a:xfrm>
                    <a:prstGeom prst="rect">
                      <a:avLst/>
                    </a:prstGeom>
                    <a:noFill/>
                  </pic:spPr>
                </pic:pic>
              </a:graphicData>
            </a:graphic>
          </wp:inline>
        </w:drawing>
      </w:r>
    </w:p>
    <w:p>
      <w:pPr>
        <w:widowControl/>
        <w:shd w:val="clear" w:color="auto" w:fill="FFFFFF"/>
        <w:spacing w:line="360" w:lineRule="exact"/>
        <w:ind w:firstLine="361" w:firstLineChars="150"/>
        <w:jc w:val="center"/>
        <w:rPr>
          <w:rFonts w:cs="宋体" w:asciiTheme="majorEastAsia" w:hAnsiTheme="majorEastAsia" w:eastAsiaTheme="majorEastAsia"/>
          <w:b/>
          <w:bCs/>
          <w:kern w:val="0"/>
          <w:sz w:val="24"/>
          <w:szCs w:val="24"/>
          <w:highlight w:val="lightGray"/>
        </w:rPr>
      </w:pPr>
      <w:r>
        <w:rPr>
          <w:rFonts w:hint="eastAsia" w:cs="宋体" w:asciiTheme="majorEastAsia" w:hAnsiTheme="majorEastAsia" w:eastAsiaTheme="majorEastAsia"/>
          <w:b/>
          <w:bCs/>
          <w:kern w:val="0"/>
          <w:sz w:val="24"/>
          <w:szCs w:val="24"/>
          <w:highlight w:val="lightGray"/>
        </w:rPr>
        <w:t>大量实际案例分享研讨、屏弃空头理论，带着问题来，拿着方案回</w:t>
      </w:r>
    </w:p>
    <w:p>
      <w:pPr>
        <w:widowControl/>
        <w:shd w:val="clear" w:color="auto" w:fill="FFFFFF"/>
        <w:spacing w:line="360" w:lineRule="exact"/>
        <w:ind w:left="-2" w:leftChars="-1" w:firstLine="428"/>
        <w:jc w:val="left"/>
        <w:rPr>
          <w:rFonts w:ascii="黑体" w:hAnsi="黑体" w:eastAsia="黑体" w:cs="宋体"/>
          <w:bCs/>
          <w:kern w:val="0"/>
          <w:sz w:val="24"/>
          <w:szCs w:val="24"/>
        </w:rPr>
      </w:pPr>
      <w:r>
        <w:rPr>
          <w:rFonts w:hint="eastAsia" w:ascii="黑体" w:hAnsi="黑体" w:eastAsia="黑体" w:cs="宋体"/>
          <w:bCs/>
          <w:kern w:val="0"/>
          <w:sz w:val="24"/>
          <w:szCs w:val="24"/>
          <w:highlight w:val="lightGray"/>
        </w:rPr>
        <w:t>参加本次交流你将达成如下目标与收益：</w:t>
      </w:r>
    </w:p>
    <w:p>
      <w:pPr>
        <w:widowControl/>
        <w:shd w:val="clear" w:color="auto" w:fill="FFFFFF"/>
        <w:spacing w:line="360" w:lineRule="exact"/>
        <w:ind w:left="-2" w:leftChars="-1" w:firstLine="569"/>
        <w:jc w:val="left"/>
        <w:rPr>
          <w:rFonts w:cs="宋体" w:asciiTheme="minorEastAsia" w:hAnsiTheme="minorEastAsia"/>
          <w:bCs/>
          <w:kern w:val="0"/>
          <w:sz w:val="24"/>
          <w:szCs w:val="24"/>
        </w:rPr>
      </w:pPr>
      <w:r>
        <w:rPr>
          <w:rFonts w:hint="eastAsia" w:cs="宋体" w:asciiTheme="minorEastAsia" w:hAnsiTheme="minorEastAsia"/>
          <w:bCs/>
          <w:kern w:val="0"/>
          <w:sz w:val="24"/>
          <w:szCs w:val="24"/>
        </w:rPr>
        <w:t>★深层次理解与领会“精益运营管理模式”的精髓</w:t>
      </w:r>
    </w:p>
    <w:p>
      <w:pPr>
        <w:widowControl/>
        <w:shd w:val="clear" w:color="auto" w:fill="FFFFFF"/>
        <w:spacing w:line="360" w:lineRule="exact"/>
        <w:ind w:left="-2" w:leftChars="-1" w:firstLine="569"/>
        <w:jc w:val="left"/>
        <w:rPr>
          <w:rFonts w:cs="宋体" w:asciiTheme="minorEastAsia" w:hAnsiTheme="minorEastAsia"/>
          <w:bCs/>
          <w:kern w:val="0"/>
          <w:sz w:val="24"/>
          <w:szCs w:val="24"/>
        </w:rPr>
      </w:pPr>
      <w:r>
        <w:rPr>
          <w:rFonts w:hint="eastAsia" w:cs="宋体" w:asciiTheme="minorEastAsia" w:hAnsiTheme="minorEastAsia"/>
          <w:bCs/>
          <w:kern w:val="0"/>
          <w:sz w:val="24"/>
          <w:szCs w:val="24"/>
        </w:rPr>
        <w:t>★了解与掌握在推行精益运营管理中所遇到的问题与棘手之处</w:t>
      </w:r>
    </w:p>
    <w:p>
      <w:pPr>
        <w:widowControl/>
        <w:shd w:val="clear" w:color="auto" w:fill="FFFFFF"/>
        <w:spacing w:line="360" w:lineRule="exact"/>
        <w:ind w:left="-2" w:leftChars="-1" w:firstLine="569"/>
        <w:jc w:val="left"/>
        <w:rPr>
          <w:rFonts w:cs="宋体" w:asciiTheme="minorEastAsia" w:hAnsiTheme="minorEastAsia"/>
          <w:bCs/>
          <w:kern w:val="0"/>
          <w:sz w:val="24"/>
          <w:szCs w:val="24"/>
        </w:rPr>
      </w:pPr>
      <w:r>
        <w:rPr>
          <w:rFonts w:hint="eastAsia" w:cs="宋体" w:asciiTheme="minorEastAsia" w:hAnsiTheme="minorEastAsia"/>
          <w:bCs/>
          <w:kern w:val="0"/>
          <w:sz w:val="24"/>
          <w:szCs w:val="24"/>
        </w:rPr>
        <w:t>★结合自己企业的实际情况拟定精益运营管理实施方案</w:t>
      </w:r>
    </w:p>
    <w:p>
      <w:pPr>
        <w:widowControl/>
        <w:shd w:val="clear" w:color="auto" w:fill="FFFFFF"/>
        <w:spacing w:line="360" w:lineRule="exact"/>
        <w:ind w:left="-2" w:leftChars="-1" w:firstLine="569"/>
        <w:jc w:val="left"/>
        <w:rPr>
          <w:rFonts w:cs="宋体" w:asciiTheme="minorEastAsia" w:hAnsiTheme="minorEastAsia"/>
          <w:bCs/>
          <w:kern w:val="0"/>
          <w:sz w:val="24"/>
          <w:szCs w:val="24"/>
        </w:rPr>
      </w:pPr>
      <w:r>
        <w:rPr>
          <w:rFonts w:hint="eastAsia" w:cs="宋体" w:asciiTheme="minorEastAsia" w:hAnsiTheme="minorEastAsia"/>
          <w:bCs/>
          <w:kern w:val="0"/>
          <w:sz w:val="24"/>
          <w:szCs w:val="24"/>
        </w:rPr>
        <w:t>★破解在推行过程中所面临的种种问题与困惑</w:t>
      </w:r>
    </w:p>
    <w:p>
      <w:pPr>
        <w:widowControl/>
        <w:shd w:val="clear" w:color="auto" w:fill="FFFFFF"/>
        <w:spacing w:line="360" w:lineRule="exact"/>
        <w:ind w:left="-2" w:leftChars="-1" w:firstLine="569"/>
        <w:jc w:val="left"/>
        <w:rPr>
          <w:rFonts w:cs="宋体" w:asciiTheme="minorEastAsia" w:hAnsiTheme="minorEastAsia"/>
          <w:b/>
          <w:bCs/>
          <w:kern w:val="0"/>
          <w:sz w:val="24"/>
          <w:szCs w:val="24"/>
        </w:rPr>
      </w:pPr>
      <w:r>
        <w:rPr>
          <w:rFonts w:hint="eastAsia" w:cs="宋体" w:asciiTheme="minorEastAsia" w:hAnsiTheme="minorEastAsia"/>
          <w:bCs/>
          <w:kern w:val="0"/>
          <w:sz w:val="24"/>
          <w:szCs w:val="24"/>
        </w:rPr>
        <w:t>★掌握与获得更多降本增效、精益改善的机制、方法与工具</w:t>
      </w:r>
    </w:p>
    <w:p>
      <w:pPr>
        <w:widowControl/>
        <w:shd w:val="clear" w:color="auto" w:fill="FFFFFF"/>
        <w:spacing w:line="360" w:lineRule="exact"/>
        <w:ind w:firstLine="361" w:firstLineChars="150"/>
        <w:jc w:val="left"/>
        <w:rPr>
          <w:rFonts w:cs="宋体" w:asciiTheme="majorEastAsia" w:hAnsiTheme="majorEastAsia" w:eastAsiaTheme="majorEastAsia"/>
          <w:b/>
          <w:bCs/>
          <w:kern w:val="0"/>
          <w:sz w:val="24"/>
          <w:szCs w:val="24"/>
        </w:rPr>
      </w:pPr>
    </w:p>
    <w:p>
      <w:pPr>
        <w:widowControl/>
        <w:shd w:val="clear" w:color="auto" w:fill="FFFFFF"/>
        <w:spacing w:line="360" w:lineRule="exact"/>
        <w:ind w:left="1564" w:leftChars="59" w:hanging="1440" w:hangingChars="600"/>
        <w:rPr>
          <w:rFonts w:cs="宋体" w:asciiTheme="majorEastAsia" w:hAnsiTheme="majorEastAsia" w:eastAsiaTheme="majorEastAsia"/>
          <w:b/>
          <w:bCs/>
          <w:kern w:val="0"/>
          <w:sz w:val="24"/>
          <w:szCs w:val="24"/>
        </w:rPr>
      </w:pPr>
      <w:r>
        <w:rPr>
          <w:rFonts w:hint="eastAsia" w:ascii="黑体" w:hAnsi="黑体" w:eastAsia="黑体" w:cs="Tahoma"/>
          <w:sz w:val="24"/>
          <w:szCs w:val="24"/>
        </w:rPr>
        <w:t>【参会对象】企业董事长、总（副总）经理、厂长、总监、部门经理/主管。</w:t>
      </w:r>
      <w:r>
        <w:rPr>
          <w:rFonts w:ascii="黑体" w:hAnsi="黑体" w:eastAsia="黑体" w:cs="Tahoma"/>
          <w:sz w:val="24"/>
          <w:szCs w:val="24"/>
        </w:rPr>
        <w:br w:type="textWrapping"/>
      </w:r>
      <w:r>
        <w:rPr>
          <w:rFonts w:hint="eastAsia" w:cs="宋体" w:asciiTheme="majorEastAsia" w:hAnsiTheme="majorEastAsia" w:eastAsiaTheme="majorEastAsia"/>
          <w:b/>
          <w:bCs/>
          <w:kern w:val="0"/>
          <w:sz w:val="24"/>
          <w:szCs w:val="24"/>
        </w:rPr>
        <w:t>同一企业5人以上参加，老师可到企业提供一天免费诊断指导.</w:t>
      </w:r>
    </w:p>
    <w:p>
      <w:pPr>
        <w:spacing w:line="400" w:lineRule="exact"/>
        <w:rPr>
          <w:rFonts w:ascii="黑体" w:hAnsi="黑体" w:eastAsia="黑体"/>
          <w:color w:val="FF0000"/>
          <w:sz w:val="28"/>
          <w:szCs w:val="28"/>
        </w:rPr>
      </w:pPr>
      <w:r>
        <w:rPr>
          <w:rFonts w:hint="eastAsia" w:ascii="黑体" w:hAnsi="黑体" w:eastAsia="黑体"/>
          <w:color w:val="FF0000"/>
          <w:sz w:val="28"/>
          <w:szCs w:val="28"/>
        </w:rPr>
        <w:t>【课程内容】</w:t>
      </w:r>
    </w:p>
    <w:p>
      <w:pPr>
        <w:spacing w:line="340" w:lineRule="exact"/>
        <w:ind w:firstLine="120" w:firstLineChars="50"/>
        <w:rPr>
          <w:rFonts w:asciiTheme="minorEastAsia" w:hAnsiTheme="minorEastAsia"/>
          <w:b/>
          <w:color w:val="FF0000"/>
          <w:sz w:val="24"/>
        </w:rPr>
      </w:pPr>
      <w:r>
        <w:rPr>
          <w:rFonts w:hint="eastAsia" w:asciiTheme="minorEastAsia" w:hAnsiTheme="minorEastAsia"/>
          <w:b/>
          <w:color w:val="FF0000"/>
          <w:sz w:val="24"/>
        </w:rPr>
        <w:t>第一章、见证中国式精益运营管理模式</w:t>
      </w:r>
    </w:p>
    <w:p>
      <w:pPr>
        <w:pStyle w:val="13"/>
        <w:numPr>
          <w:ilvl w:val="0"/>
          <w:numId w:val="2"/>
        </w:numPr>
        <w:spacing w:line="340" w:lineRule="exact"/>
        <w:ind w:firstLineChars="0"/>
        <w:rPr>
          <w:rFonts w:asciiTheme="minorEastAsia" w:hAnsiTheme="minorEastAsia"/>
          <w:b/>
          <w:color w:val="FF0000"/>
          <w:sz w:val="24"/>
        </w:rPr>
      </w:pPr>
      <w:r>
        <w:rPr>
          <w:rFonts w:hint="eastAsia" w:asciiTheme="minorEastAsia" w:hAnsiTheme="minorEastAsia"/>
          <w:b/>
          <w:color w:val="FF0000"/>
          <w:sz w:val="24"/>
        </w:rPr>
        <w:t>当前制造业面临的挑战</w:t>
      </w:r>
    </w:p>
    <w:p>
      <w:pPr>
        <w:pStyle w:val="13"/>
        <w:numPr>
          <w:ilvl w:val="0"/>
          <w:numId w:val="3"/>
        </w:numPr>
        <w:spacing w:line="400" w:lineRule="exact"/>
        <w:ind w:firstLineChars="0"/>
        <w:rPr>
          <w:rFonts w:asciiTheme="majorEastAsia" w:hAnsiTheme="majorEastAsia" w:eastAsiaTheme="majorEastAsia"/>
          <w:sz w:val="24"/>
          <w:szCs w:val="24"/>
        </w:rPr>
      </w:pPr>
      <w:r>
        <w:rPr>
          <w:rFonts w:hint="eastAsia" w:asciiTheme="majorEastAsia" w:hAnsiTheme="majorEastAsia" w:eastAsiaTheme="majorEastAsia"/>
          <w:sz w:val="24"/>
        </w:rPr>
        <w:t>产能过剩，</w:t>
      </w:r>
      <w:r>
        <w:rPr>
          <w:rFonts w:hint="eastAsia" w:asciiTheme="majorEastAsia" w:hAnsiTheme="majorEastAsia" w:eastAsiaTheme="majorEastAsia"/>
          <w:sz w:val="24"/>
          <w:szCs w:val="24"/>
        </w:rPr>
        <w:t>产品高度同质化，如何做到与众不同的供给</w:t>
      </w:r>
    </w:p>
    <w:p>
      <w:pPr>
        <w:spacing w:line="400" w:lineRule="exact"/>
        <w:ind w:left="597" w:leftChars="135" w:hanging="314" w:hangingChars="131"/>
        <w:rPr>
          <w:rFonts w:asciiTheme="majorEastAsia" w:hAnsiTheme="majorEastAsia" w:eastAsiaTheme="majorEastAsia"/>
          <w:sz w:val="24"/>
        </w:rPr>
      </w:pPr>
      <w:r>
        <w:rPr>
          <w:rFonts w:hint="eastAsia" w:asciiTheme="majorEastAsia" w:hAnsiTheme="majorEastAsia" w:eastAsiaTheme="majorEastAsia"/>
          <w:sz w:val="24"/>
          <w:szCs w:val="24"/>
        </w:rPr>
        <w:t>2、人工、材料、各种运营成本急剧上升</w:t>
      </w:r>
    </w:p>
    <w:p>
      <w:pPr>
        <w:spacing w:line="400" w:lineRule="exact"/>
        <w:ind w:left="717" w:leftChars="135" w:hanging="434" w:hangingChars="181"/>
        <w:rPr>
          <w:rFonts w:ascii="新宋体" w:hAnsi="新宋体" w:eastAsia="新宋体"/>
          <w:sz w:val="24"/>
          <w:szCs w:val="24"/>
        </w:rPr>
      </w:pPr>
      <w:r>
        <w:rPr>
          <w:rFonts w:hint="eastAsia" w:ascii="新宋体" w:hAnsi="新宋体" w:eastAsia="新宋体"/>
          <w:sz w:val="24"/>
          <w:szCs w:val="24"/>
        </w:rPr>
        <w:t>3、“低质低价”如何走向“高质高价”</w:t>
      </w:r>
    </w:p>
    <w:p>
      <w:pPr>
        <w:spacing w:line="400" w:lineRule="exact"/>
        <w:ind w:left="719" w:leftChars="135" w:hanging="436" w:hangingChars="181"/>
        <w:rPr>
          <w:rFonts w:ascii="新宋体" w:hAnsi="新宋体" w:eastAsia="新宋体"/>
          <w:b/>
          <w:sz w:val="24"/>
          <w:szCs w:val="24"/>
        </w:rPr>
      </w:pPr>
      <w:r>
        <w:rPr>
          <w:rFonts w:hint="eastAsia" w:ascii="新宋体" w:hAnsi="新宋体" w:eastAsia="新宋体"/>
          <w:b/>
          <w:sz w:val="24"/>
          <w:szCs w:val="24"/>
        </w:rPr>
        <w:t>■局势分析，现状剖析，研讨交流</w:t>
      </w:r>
    </w:p>
    <w:p>
      <w:pPr>
        <w:spacing w:line="340" w:lineRule="exact"/>
        <w:ind w:firstLine="120" w:firstLineChars="50"/>
        <w:rPr>
          <w:rFonts w:asciiTheme="minorEastAsia" w:hAnsiTheme="minorEastAsia"/>
          <w:b/>
          <w:sz w:val="24"/>
        </w:rPr>
      </w:pP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第二节、中国式精益运营管理模式</w:t>
      </w:r>
    </w:p>
    <w:p>
      <w:pPr>
        <w:widowControl/>
        <w:spacing w:line="336" w:lineRule="atLeast"/>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1、精益运营管理</w:t>
      </w:r>
      <w:r>
        <w:rPr>
          <w:rFonts w:cs="宋体" w:asciiTheme="minorEastAsia" w:hAnsiTheme="minorEastAsia"/>
          <w:kern w:val="0"/>
          <w:sz w:val="24"/>
          <w:szCs w:val="24"/>
        </w:rPr>
        <w:t>模式的</w:t>
      </w:r>
      <w:r>
        <w:rPr>
          <w:rFonts w:hint="eastAsia" w:cs="宋体" w:asciiTheme="minorEastAsia" w:hAnsiTheme="minorEastAsia"/>
          <w:kern w:val="0"/>
          <w:sz w:val="24"/>
          <w:szCs w:val="24"/>
        </w:rPr>
        <w:t>精髓与</w:t>
      </w:r>
      <w:r>
        <w:rPr>
          <w:rFonts w:cs="宋体" w:asciiTheme="minorEastAsia" w:hAnsiTheme="minorEastAsia"/>
          <w:kern w:val="0"/>
          <w:sz w:val="24"/>
          <w:szCs w:val="24"/>
        </w:rPr>
        <w:t>核心思想</w:t>
      </w:r>
    </w:p>
    <w:p>
      <w:pPr>
        <w:widowControl/>
        <w:spacing w:line="336" w:lineRule="atLeast"/>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2、德国、</w:t>
      </w:r>
      <w:r>
        <w:rPr>
          <w:rFonts w:cs="宋体" w:asciiTheme="minorEastAsia" w:hAnsiTheme="minorEastAsia"/>
          <w:kern w:val="0"/>
          <w:sz w:val="24"/>
          <w:szCs w:val="24"/>
        </w:rPr>
        <w:t>日</w:t>
      </w:r>
      <w:r>
        <w:rPr>
          <w:rFonts w:hint="eastAsia" w:cs="宋体" w:asciiTheme="minorEastAsia" w:hAnsiTheme="minorEastAsia"/>
          <w:kern w:val="0"/>
          <w:sz w:val="24"/>
          <w:szCs w:val="24"/>
        </w:rPr>
        <w:t>本、中国，精益管理</w:t>
      </w:r>
      <w:r>
        <w:rPr>
          <w:rFonts w:cs="宋体" w:asciiTheme="minorEastAsia" w:hAnsiTheme="minorEastAsia"/>
          <w:kern w:val="0"/>
          <w:sz w:val="24"/>
          <w:szCs w:val="24"/>
        </w:rPr>
        <w:t>模式有哪些区别</w:t>
      </w:r>
    </w:p>
    <w:p>
      <w:pPr>
        <w:widowControl/>
        <w:spacing w:line="336" w:lineRule="atLeast"/>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3、海纳百川，中国式精益运营管理</w:t>
      </w:r>
      <w:r>
        <w:rPr>
          <w:rFonts w:cs="宋体" w:asciiTheme="minorEastAsia" w:hAnsiTheme="minorEastAsia"/>
          <w:kern w:val="0"/>
          <w:sz w:val="24"/>
          <w:szCs w:val="24"/>
        </w:rPr>
        <w:t>模式</w:t>
      </w:r>
      <w:r>
        <w:rPr>
          <w:rFonts w:hint="eastAsia" w:cs="宋体" w:asciiTheme="minorEastAsia" w:hAnsiTheme="minorEastAsia"/>
          <w:kern w:val="0"/>
          <w:sz w:val="24"/>
          <w:szCs w:val="24"/>
        </w:rPr>
        <w:t>后发</w:t>
      </w:r>
      <w:r>
        <w:rPr>
          <w:rFonts w:cs="宋体" w:asciiTheme="minorEastAsia" w:hAnsiTheme="minorEastAsia"/>
          <w:kern w:val="0"/>
          <w:sz w:val="24"/>
          <w:szCs w:val="24"/>
        </w:rPr>
        <w:t>优势</w:t>
      </w:r>
    </w:p>
    <w:p>
      <w:pPr>
        <w:widowControl/>
        <w:spacing w:line="336" w:lineRule="atLeast"/>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4、国内外制造企业实施精益运营模式成果介绍</w:t>
      </w:r>
    </w:p>
    <w:p>
      <w:pPr>
        <w:widowControl/>
        <w:spacing w:line="336" w:lineRule="atLeast"/>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5、明睿管理咨询精益运营管理模式案例分享</w:t>
      </w:r>
    </w:p>
    <w:p>
      <w:pPr>
        <w:spacing w:line="340" w:lineRule="exact"/>
        <w:ind w:firstLine="120" w:firstLineChars="50"/>
        <w:rPr>
          <w:rFonts w:asciiTheme="minorEastAsia" w:hAnsiTheme="minorEastAsia"/>
          <w:b/>
          <w:sz w:val="24"/>
          <w:szCs w:val="24"/>
        </w:rPr>
      </w:pPr>
      <w:r>
        <w:rPr>
          <w:rFonts w:cs="宋体" w:asciiTheme="minorEastAsia" w:hAnsiTheme="minorEastAsia"/>
          <w:b/>
          <w:bCs/>
          <w:kern w:val="0"/>
          <w:sz w:val="24"/>
          <w:szCs w:val="24"/>
        </w:rPr>
        <w:t> </w:t>
      </w:r>
      <w:r>
        <w:rPr>
          <w:rFonts w:hint="eastAsia" w:ascii="新宋体" w:hAnsi="新宋体" w:eastAsia="新宋体"/>
          <w:b/>
          <w:sz w:val="24"/>
          <w:szCs w:val="24"/>
        </w:rPr>
        <w:t xml:space="preserve">■ </w:t>
      </w:r>
      <w:r>
        <w:rPr>
          <w:rFonts w:hint="eastAsia" w:cs="宋体" w:asciiTheme="minorEastAsia" w:hAnsiTheme="minorEastAsia"/>
          <w:b/>
          <w:bCs/>
          <w:kern w:val="0"/>
          <w:sz w:val="24"/>
          <w:szCs w:val="24"/>
        </w:rPr>
        <w:t>研讨交流</w:t>
      </w:r>
      <w:r>
        <w:rPr>
          <w:rFonts w:cs="宋体" w:asciiTheme="minorEastAsia" w:hAnsiTheme="minorEastAsia"/>
          <w:b/>
          <w:bCs/>
          <w:kern w:val="0"/>
          <w:sz w:val="24"/>
          <w:szCs w:val="24"/>
        </w:rPr>
        <w:t>：</w:t>
      </w:r>
      <w:r>
        <w:rPr>
          <w:rFonts w:hint="eastAsia" w:cs="宋体" w:asciiTheme="minorEastAsia" w:hAnsiTheme="minorEastAsia"/>
          <w:b/>
          <w:bCs/>
          <w:kern w:val="0"/>
          <w:sz w:val="24"/>
          <w:szCs w:val="24"/>
        </w:rPr>
        <w:t>中外企业实施精益管理模式差异对比分析</w:t>
      </w:r>
    </w:p>
    <w:p>
      <w:pPr>
        <w:spacing w:line="400" w:lineRule="exact"/>
        <w:ind w:left="717" w:leftChars="135" w:hanging="434" w:hangingChars="181"/>
        <w:rPr>
          <w:rFonts w:ascii="新宋体" w:hAnsi="新宋体" w:eastAsia="新宋体"/>
          <w:sz w:val="24"/>
          <w:szCs w:val="24"/>
        </w:rPr>
      </w:pPr>
    </w:p>
    <w:p>
      <w:pPr>
        <w:spacing w:line="340" w:lineRule="exact"/>
        <w:ind w:firstLine="140" w:firstLineChars="58"/>
        <w:rPr>
          <w:rFonts w:ascii="宋体" w:hAnsi="宋体"/>
          <w:b/>
          <w:color w:val="FF0000"/>
          <w:sz w:val="24"/>
        </w:rPr>
      </w:pPr>
      <w:r>
        <w:rPr>
          <w:rFonts w:hint="eastAsia" w:asciiTheme="minorEastAsia" w:hAnsiTheme="minorEastAsia"/>
          <w:b/>
          <w:color w:val="FF0000"/>
          <w:sz w:val="24"/>
        </w:rPr>
        <w:t>第二章、</w:t>
      </w:r>
      <w:r>
        <w:rPr>
          <w:rFonts w:hint="eastAsia" w:ascii="宋体" w:hAnsi="宋体"/>
          <w:b/>
          <w:color w:val="FF0000"/>
          <w:sz w:val="24"/>
        </w:rPr>
        <w:t>制造企业品质、效率、成本与利润困惑</w:t>
      </w:r>
    </w:p>
    <w:p>
      <w:pPr>
        <w:ind w:firstLine="140" w:firstLineChars="58"/>
        <w:rPr>
          <w:rFonts w:asciiTheme="minorEastAsia" w:hAnsiTheme="minorEastAsia"/>
          <w:b/>
          <w:color w:val="FF0000"/>
          <w:sz w:val="24"/>
          <w:szCs w:val="24"/>
        </w:rPr>
      </w:pPr>
      <w:r>
        <w:rPr>
          <w:rFonts w:hint="eastAsia" w:asciiTheme="minorEastAsia" w:hAnsiTheme="minorEastAsia"/>
          <w:b/>
          <w:color w:val="FF0000"/>
          <w:sz w:val="24"/>
          <w:szCs w:val="24"/>
        </w:rPr>
        <w:t>第一节：擦亮企业的“金字招牌”--- “高品质”</w:t>
      </w:r>
    </w:p>
    <w:p>
      <w:pPr>
        <w:ind w:firstLine="283" w:firstLineChars="118"/>
        <w:rPr>
          <w:rFonts w:asciiTheme="minorEastAsia" w:hAnsiTheme="minorEastAsia"/>
          <w:sz w:val="24"/>
          <w:szCs w:val="24"/>
        </w:rPr>
      </w:pPr>
      <w:r>
        <w:rPr>
          <w:rFonts w:hint="eastAsia" w:asciiTheme="minorEastAsia" w:hAnsiTheme="minorEastAsia"/>
          <w:sz w:val="24"/>
          <w:szCs w:val="24"/>
        </w:rPr>
        <w:t>1、国内部分企业产品质量乱象</w:t>
      </w:r>
    </w:p>
    <w:p>
      <w:pPr>
        <w:spacing w:line="400" w:lineRule="exact"/>
        <w:ind w:firstLine="283" w:firstLineChars="118"/>
        <w:rPr>
          <w:rFonts w:asciiTheme="minorEastAsia" w:hAnsiTheme="minorEastAsia"/>
          <w:sz w:val="24"/>
          <w:szCs w:val="24"/>
        </w:rPr>
      </w:pPr>
      <w:r>
        <w:rPr>
          <w:rFonts w:hint="eastAsia" w:asciiTheme="minorEastAsia" w:hAnsiTheme="minorEastAsia"/>
          <w:sz w:val="24"/>
          <w:szCs w:val="24"/>
        </w:rPr>
        <w:t>2、出国“爆买”，是崇洋媚外，还是对国货的不信任？</w:t>
      </w:r>
    </w:p>
    <w:p>
      <w:pPr>
        <w:spacing w:line="400" w:lineRule="exact"/>
        <w:ind w:firstLine="283" w:firstLineChars="118"/>
        <w:rPr>
          <w:rFonts w:asciiTheme="minorEastAsia" w:hAnsiTheme="minorEastAsia"/>
          <w:sz w:val="24"/>
          <w:szCs w:val="24"/>
        </w:rPr>
      </w:pPr>
      <w:r>
        <w:rPr>
          <w:rFonts w:hint="eastAsia" w:asciiTheme="minorEastAsia" w:hAnsiTheme="minorEastAsia"/>
          <w:sz w:val="24"/>
          <w:szCs w:val="24"/>
        </w:rPr>
        <w:t>3、“以客为先，质量至上”，在你的企业得到体现吗？</w:t>
      </w:r>
    </w:p>
    <w:p>
      <w:pPr>
        <w:spacing w:line="400" w:lineRule="exact"/>
        <w:ind w:firstLine="283" w:firstLineChars="118"/>
        <w:rPr>
          <w:rFonts w:asciiTheme="minorEastAsia" w:hAnsiTheme="minorEastAsia"/>
          <w:sz w:val="24"/>
          <w:szCs w:val="24"/>
        </w:rPr>
      </w:pPr>
      <w:r>
        <w:rPr>
          <w:rFonts w:hint="eastAsia" w:asciiTheme="minorEastAsia" w:hAnsiTheme="minorEastAsia"/>
          <w:sz w:val="24"/>
          <w:szCs w:val="24"/>
        </w:rPr>
        <w:t>4、永续经营∨赚了钱再说</w:t>
      </w:r>
    </w:p>
    <w:p>
      <w:pPr>
        <w:spacing w:line="400" w:lineRule="exact"/>
        <w:ind w:firstLine="283" w:firstLineChars="118"/>
        <w:rPr>
          <w:rFonts w:asciiTheme="minorEastAsia" w:hAnsiTheme="minorEastAsia"/>
          <w:sz w:val="24"/>
          <w:szCs w:val="24"/>
        </w:rPr>
      </w:pPr>
      <w:r>
        <w:rPr>
          <w:rFonts w:hint="eastAsia" w:asciiTheme="minorEastAsia" w:hAnsiTheme="minorEastAsia"/>
          <w:sz w:val="24"/>
          <w:szCs w:val="24"/>
        </w:rPr>
        <w:t>5、质量信誉破产∨质量信誉的构建</w:t>
      </w:r>
    </w:p>
    <w:p>
      <w:pPr>
        <w:spacing w:line="400" w:lineRule="exact"/>
        <w:ind w:firstLine="283" w:firstLineChars="118"/>
        <w:rPr>
          <w:rFonts w:asciiTheme="minorEastAsia" w:hAnsiTheme="minorEastAsia"/>
          <w:sz w:val="24"/>
          <w:szCs w:val="24"/>
        </w:rPr>
      </w:pPr>
      <w:r>
        <w:rPr>
          <w:rFonts w:hint="eastAsia" w:asciiTheme="minorEastAsia" w:hAnsiTheme="minorEastAsia"/>
          <w:sz w:val="24"/>
          <w:szCs w:val="24"/>
        </w:rPr>
        <w:t xml:space="preserve">   案例：香港奶粉限购、三星手机电池爆炸、海尔砸冰箱</w:t>
      </w:r>
    </w:p>
    <w:p>
      <w:pPr>
        <w:spacing w:line="400" w:lineRule="exact"/>
        <w:ind w:firstLine="283" w:firstLineChars="118"/>
        <w:rPr>
          <w:rFonts w:asciiTheme="minorEastAsia" w:hAnsiTheme="minorEastAsia"/>
          <w:sz w:val="24"/>
          <w:szCs w:val="24"/>
        </w:rPr>
      </w:pPr>
      <w:r>
        <w:rPr>
          <w:rFonts w:hint="eastAsia" w:asciiTheme="minorEastAsia" w:hAnsiTheme="minorEastAsia"/>
          <w:sz w:val="24"/>
          <w:szCs w:val="24"/>
        </w:rPr>
        <w:t>6、德国/日本的产品为什么成为高品质的代名词</w:t>
      </w:r>
    </w:p>
    <w:p>
      <w:pPr>
        <w:spacing w:line="400" w:lineRule="exact"/>
        <w:ind w:firstLine="283" w:firstLineChars="118"/>
        <w:rPr>
          <w:rFonts w:asciiTheme="minorEastAsia" w:hAnsiTheme="minorEastAsia"/>
          <w:sz w:val="24"/>
          <w:szCs w:val="24"/>
        </w:rPr>
      </w:pPr>
      <w:r>
        <w:rPr>
          <w:rFonts w:hint="eastAsia" w:asciiTheme="minorEastAsia" w:hAnsiTheme="minorEastAsia"/>
          <w:sz w:val="24"/>
          <w:szCs w:val="24"/>
        </w:rPr>
        <w:t>7、激烈竟争的最后结果=高品质+优质服务</w:t>
      </w:r>
    </w:p>
    <w:p>
      <w:pPr>
        <w:spacing w:line="400" w:lineRule="exact"/>
        <w:ind w:firstLine="140" w:firstLineChars="58"/>
        <w:rPr>
          <w:rFonts w:asciiTheme="minorEastAsia" w:hAnsiTheme="minorEastAsia"/>
          <w:b/>
          <w:color w:val="FF0000"/>
          <w:sz w:val="24"/>
          <w:szCs w:val="24"/>
        </w:rPr>
      </w:pPr>
      <w:r>
        <w:rPr>
          <w:rFonts w:hint="eastAsia" w:asciiTheme="minorEastAsia" w:hAnsiTheme="minorEastAsia"/>
          <w:b/>
          <w:color w:val="FF0000"/>
          <w:sz w:val="24"/>
          <w:szCs w:val="24"/>
        </w:rPr>
        <w:t>第二节、降本增效，企业效益如何最大化</w:t>
      </w:r>
    </w:p>
    <w:p>
      <w:pPr>
        <w:spacing w:line="400" w:lineRule="exact"/>
        <w:ind w:firstLine="283" w:firstLineChars="118"/>
        <w:rPr>
          <w:rFonts w:asciiTheme="majorEastAsia" w:hAnsiTheme="majorEastAsia" w:eastAsiaTheme="majorEastAsia"/>
          <w:sz w:val="24"/>
          <w:szCs w:val="24"/>
        </w:rPr>
      </w:pPr>
      <w:r>
        <w:rPr>
          <w:rFonts w:hint="eastAsia" w:asciiTheme="majorEastAsia" w:hAnsiTheme="majorEastAsia" w:eastAsiaTheme="majorEastAsia"/>
          <w:sz w:val="24"/>
          <w:szCs w:val="24"/>
        </w:rPr>
        <w:t>1、欧美日产业发展之路对我们的启示</w:t>
      </w:r>
    </w:p>
    <w:p>
      <w:pPr>
        <w:spacing w:line="400" w:lineRule="exact"/>
        <w:ind w:firstLine="283" w:firstLineChars="118"/>
        <w:rPr>
          <w:rFonts w:asciiTheme="majorEastAsia" w:hAnsiTheme="majorEastAsia" w:eastAsiaTheme="majorEastAsia"/>
          <w:sz w:val="24"/>
          <w:szCs w:val="24"/>
        </w:rPr>
      </w:pPr>
      <w:r>
        <w:rPr>
          <w:rFonts w:hint="eastAsia" w:asciiTheme="majorEastAsia" w:hAnsiTheme="majorEastAsia" w:eastAsiaTheme="majorEastAsia"/>
          <w:sz w:val="24"/>
          <w:szCs w:val="24"/>
        </w:rPr>
        <w:t>2、企业如何破解效率与成本困局？</w:t>
      </w:r>
    </w:p>
    <w:p>
      <w:pPr>
        <w:spacing w:line="400" w:lineRule="exact"/>
        <w:ind w:firstLine="283" w:firstLineChars="118"/>
        <w:rPr>
          <w:rFonts w:asciiTheme="majorEastAsia" w:hAnsiTheme="majorEastAsia" w:eastAsiaTheme="majorEastAsia"/>
          <w:sz w:val="24"/>
          <w:szCs w:val="24"/>
        </w:rPr>
      </w:pPr>
      <w:r>
        <w:rPr>
          <w:rFonts w:hint="eastAsia" w:asciiTheme="majorEastAsia" w:hAnsiTheme="majorEastAsia" w:eastAsiaTheme="majorEastAsia"/>
          <w:sz w:val="24"/>
          <w:szCs w:val="24"/>
        </w:rPr>
        <w:t>3、提升效率的思路与出路、方法与工具</w:t>
      </w:r>
    </w:p>
    <w:p>
      <w:pPr>
        <w:spacing w:line="340" w:lineRule="exact"/>
        <w:ind w:firstLine="241" w:firstLineChars="100"/>
        <w:rPr>
          <w:rFonts w:asciiTheme="minorEastAsia" w:hAnsiTheme="minorEastAsia"/>
          <w:b/>
          <w:sz w:val="24"/>
          <w:szCs w:val="24"/>
        </w:rPr>
      </w:pPr>
      <w:r>
        <w:rPr>
          <w:rFonts w:hint="eastAsia" w:ascii="新宋体" w:hAnsi="新宋体" w:eastAsia="新宋体"/>
          <w:b/>
          <w:sz w:val="24"/>
          <w:szCs w:val="24"/>
        </w:rPr>
        <w:t>■ 国内优秀企业案例分享与</w:t>
      </w:r>
      <w:r>
        <w:rPr>
          <w:rFonts w:hint="eastAsia" w:cs="宋体" w:asciiTheme="minorEastAsia" w:hAnsiTheme="minorEastAsia"/>
          <w:b/>
          <w:bCs/>
          <w:kern w:val="0"/>
          <w:sz w:val="24"/>
          <w:szCs w:val="24"/>
        </w:rPr>
        <w:t>交流</w:t>
      </w:r>
    </w:p>
    <w:p>
      <w:pPr>
        <w:spacing w:line="400" w:lineRule="exact"/>
        <w:ind w:firstLine="283" w:firstLineChars="118"/>
        <w:rPr>
          <w:rFonts w:asciiTheme="majorEastAsia" w:hAnsiTheme="majorEastAsia" w:eastAsiaTheme="majorEastAsia"/>
          <w:sz w:val="24"/>
          <w:szCs w:val="24"/>
        </w:rPr>
      </w:pPr>
      <w:r>
        <w:rPr>
          <w:rFonts w:hint="eastAsia" w:asciiTheme="majorEastAsia" w:hAnsiTheme="majorEastAsia" w:eastAsiaTheme="majorEastAsia"/>
          <w:sz w:val="24"/>
          <w:szCs w:val="24"/>
        </w:rPr>
        <w:t>4、如何以有限资源撬动最大产出</w:t>
      </w:r>
    </w:p>
    <w:p>
      <w:pPr>
        <w:spacing w:line="400" w:lineRule="exact"/>
        <w:ind w:firstLine="283" w:firstLineChars="118"/>
        <w:rPr>
          <w:rFonts w:asciiTheme="majorEastAsia" w:hAnsiTheme="majorEastAsia" w:eastAsiaTheme="majorEastAsia"/>
          <w:sz w:val="24"/>
          <w:szCs w:val="24"/>
        </w:rPr>
      </w:pPr>
      <w:r>
        <w:rPr>
          <w:rFonts w:hint="eastAsia" w:asciiTheme="majorEastAsia" w:hAnsiTheme="majorEastAsia" w:eastAsiaTheme="majorEastAsia"/>
          <w:sz w:val="24"/>
          <w:szCs w:val="24"/>
        </w:rPr>
        <w:t>5、显性成本与隐性成本、可控成本与不可控成本</w:t>
      </w:r>
    </w:p>
    <w:p>
      <w:pPr>
        <w:spacing w:line="400" w:lineRule="exact"/>
        <w:ind w:firstLine="283" w:firstLineChars="118"/>
        <w:rPr>
          <w:rFonts w:cs="宋体" w:asciiTheme="minorEastAsia" w:hAnsiTheme="minorEastAsia"/>
          <w:kern w:val="0"/>
          <w:sz w:val="24"/>
          <w:szCs w:val="24"/>
        </w:rPr>
      </w:pPr>
      <w:r>
        <w:rPr>
          <w:rFonts w:hint="eastAsia" w:asciiTheme="minorEastAsia" w:hAnsiTheme="minorEastAsia"/>
          <w:sz w:val="24"/>
          <w:szCs w:val="24"/>
        </w:rPr>
        <w:t>6、如何</w:t>
      </w:r>
      <w:r>
        <w:rPr>
          <w:rFonts w:hint="eastAsia" w:cs="宋体" w:asciiTheme="minorEastAsia" w:hAnsiTheme="minorEastAsia"/>
          <w:kern w:val="0"/>
          <w:sz w:val="24"/>
          <w:szCs w:val="24"/>
        </w:rPr>
        <w:t>构建企业成本管控“系统化和一体化”</w:t>
      </w:r>
    </w:p>
    <w:p>
      <w:pPr>
        <w:spacing w:line="400" w:lineRule="exact"/>
        <w:ind w:firstLine="284" w:firstLineChars="118"/>
        <w:rPr>
          <w:rFonts w:cs="宋体" w:asciiTheme="minorEastAsia" w:hAnsiTheme="minorEastAsia"/>
          <w:b/>
          <w:bCs/>
          <w:kern w:val="0"/>
          <w:sz w:val="24"/>
          <w:szCs w:val="24"/>
        </w:rPr>
      </w:pPr>
      <w:r>
        <w:rPr>
          <w:rFonts w:hint="eastAsia" w:ascii="新宋体" w:hAnsi="新宋体" w:eastAsia="新宋体"/>
          <w:b/>
          <w:sz w:val="24"/>
          <w:szCs w:val="24"/>
        </w:rPr>
        <w:t>■ 案例</w:t>
      </w:r>
      <w:r>
        <w:rPr>
          <w:rFonts w:hint="eastAsia" w:cs="宋体" w:asciiTheme="minorEastAsia" w:hAnsiTheme="minorEastAsia"/>
          <w:b/>
          <w:bCs/>
          <w:kern w:val="0"/>
          <w:sz w:val="24"/>
          <w:szCs w:val="24"/>
        </w:rPr>
        <w:t>研讨交流</w:t>
      </w:r>
    </w:p>
    <w:p>
      <w:pPr>
        <w:spacing w:line="340" w:lineRule="exact"/>
        <w:ind w:firstLine="140" w:firstLineChars="58"/>
        <w:rPr>
          <w:rFonts w:asciiTheme="minorEastAsia" w:hAnsiTheme="minorEastAsia"/>
          <w:b/>
          <w:color w:val="FF0000"/>
          <w:sz w:val="24"/>
        </w:rPr>
      </w:pP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第三章、中国式精益运营管理模式“3P十二项原则”</w:t>
      </w: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第一节、1P着眼长远发展理念与合作共赢</w:t>
      </w:r>
    </w:p>
    <w:p>
      <w:pPr>
        <w:spacing w:line="340" w:lineRule="exact"/>
        <w:ind w:firstLine="422" w:firstLineChars="176"/>
        <w:rPr>
          <w:rFonts w:asciiTheme="minorEastAsia" w:hAnsiTheme="minorEastAsia"/>
          <w:color w:val="000000" w:themeColor="text1"/>
          <w:sz w:val="24"/>
        </w:rPr>
      </w:pPr>
      <w:r>
        <w:rPr>
          <w:rFonts w:hint="eastAsia" w:asciiTheme="minorEastAsia" w:hAnsiTheme="minorEastAsia"/>
          <w:color w:val="000000" w:themeColor="text1"/>
          <w:sz w:val="24"/>
        </w:rPr>
        <w:t>1、着眼长远发展，永续经营、奉献社会</w:t>
      </w:r>
    </w:p>
    <w:p>
      <w:pPr>
        <w:spacing w:line="340" w:lineRule="exact"/>
        <w:ind w:firstLine="422" w:firstLineChars="176"/>
        <w:rPr>
          <w:rFonts w:asciiTheme="minorEastAsia" w:hAnsiTheme="minorEastAsia"/>
          <w:color w:val="000000" w:themeColor="text1"/>
          <w:sz w:val="24"/>
        </w:rPr>
      </w:pPr>
      <w:r>
        <w:rPr>
          <w:rFonts w:hint="eastAsia" w:asciiTheme="minorEastAsia" w:hAnsiTheme="minorEastAsia"/>
          <w:color w:val="000000" w:themeColor="text1"/>
          <w:sz w:val="24"/>
        </w:rPr>
        <w:t>2、尊重、发展及激励公司员工与团队</w:t>
      </w:r>
    </w:p>
    <w:p>
      <w:pPr>
        <w:spacing w:line="340" w:lineRule="exact"/>
        <w:ind w:firstLine="422" w:firstLineChars="176"/>
        <w:rPr>
          <w:rFonts w:asciiTheme="minorEastAsia" w:hAnsiTheme="minorEastAsia"/>
          <w:color w:val="000000" w:themeColor="text1"/>
          <w:sz w:val="24"/>
        </w:rPr>
      </w:pPr>
      <w:r>
        <w:rPr>
          <w:rFonts w:hint="eastAsia" w:asciiTheme="minorEastAsia" w:hAnsiTheme="minorEastAsia"/>
          <w:color w:val="000000" w:themeColor="text1"/>
          <w:sz w:val="24"/>
        </w:rPr>
        <w:t>3、尊重、发展与协作供应商</w:t>
      </w: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第二节、2P优化运作管理流程，杜绝浪费、提升效益</w:t>
      </w:r>
    </w:p>
    <w:p>
      <w:pPr>
        <w:pStyle w:val="13"/>
        <w:numPr>
          <w:ilvl w:val="0"/>
          <w:numId w:val="4"/>
        </w:numPr>
        <w:spacing w:line="340" w:lineRule="exact"/>
        <w:ind w:firstLine="66" w:firstLineChars="0"/>
        <w:rPr>
          <w:rFonts w:asciiTheme="minorEastAsia" w:hAnsiTheme="minorEastAsia"/>
          <w:color w:val="000000" w:themeColor="text1"/>
          <w:sz w:val="24"/>
        </w:rPr>
      </w:pPr>
      <w:r>
        <w:rPr>
          <w:rFonts w:hint="eastAsia" w:asciiTheme="minorEastAsia" w:hAnsiTheme="minorEastAsia"/>
          <w:color w:val="000000" w:themeColor="text1"/>
          <w:sz w:val="24"/>
        </w:rPr>
        <w:t>实施敏捷高效的开发设计与生产，快速响应市场需求</w:t>
      </w:r>
    </w:p>
    <w:p>
      <w:pPr>
        <w:pStyle w:val="13"/>
        <w:numPr>
          <w:ilvl w:val="0"/>
          <w:numId w:val="4"/>
        </w:numPr>
        <w:spacing w:line="340" w:lineRule="exact"/>
        <w:ind w:firstLine="66" w:firstLineChars="0"/>
        <w:rPr>
          <w:rFonts w:asciiTheme="minorEastAsia" w:hAnsiTheme="minorEastAsia"/>
          <w:color w:val="000000" w:themeColor="text1"/>
          <w:sz w:val="24"/>
        </w:rPr>
      </w:pPr>
      <w:r>
        <w:rPr>
          <w:rFonts w:hint="eastAsia" w:asciiTheme="minorEastAsia" w:hAnsiTheme="minorEastAsia"/>
          <w:color w:val="000000" w:themeColor="text1"/>
          <w:sz w:val="24"/>
        </w:rPr>
        <w:t>平稳化、同步化、均衡化、柔性化生产</w:t>
      </w:r>
    </w:p>
    <w:p>
      <w:pPr>
        <w:pStyle w:val="13"/>
        <w:numPr>
          <w:ilvl w:val="0"/>
          <w:numId w:val="4"/>
        </w:numPr>
        <w:spacing w:line="340" w:lineRule="exact"/>
        <w:ind w:firstLine="66" w:firstLineChars="0"/>
        <w:rPr>
          <w:rFonts w:asciiTheme="minorEastAsia" w:hAnsiTheme="minorEastAsia"/>
          <w:color w:val="000000" w:themeColor="text1"/>
          <w:sz w:val="24"/>
        </w:rPr>
      </w:pPr>
      <w:r>
        <w:rPr>
          <w:rFonts w:hint="eastAsia" w:asciiTheme="minorEastAsia" w:hAnsiTheme="minorEastAsia"/>
          <w:color w:val="000000" w:themeColor="text1"/>
          <w:sz w:val="24"/>
        </w:rPr>
        <w:t>减少库存与物流停滞，使问题得到及时浮现与解决</w:t>
      </w:r>
    </w:p>
    <w:p>
      <w:pPr>
        <w:pStyle w:val="13"/>
        <w:numPr>
          <w:ilvl w:val="0"/>
          <w:numId w:val="4"/>
        </w:numPr>
        <w:spacing w:line="400" w:lineRule="exact"/>
        <w:ind w:firstLine="66" w:firstLineChars="0"/>
        <w:rPr>
          <w:rFonts w:asciiTheme="minorEastAsia" w:hAnsiTheme="minorEastAsia"/>
          <w:bCs/>
          <w:color w:val="000000" w:themeColor="text1"/>
          <w:sz w:val="24"/>
        </w:rPr>
      </w:pPr>
      <w:r>
        <w:rPr>
          <w:rFonts w:hint="eastAsia" w:asciiTheme="minorEastAsia" w:hAnsiTheme="minorEastAsia"/>
          <w:bCs/>
          <w:color w:val="000000" w:themeColor="text1"/>
          <w:sz w:val="24"/>
        </w:rPr>
        <w:t>采用防呆防错，智能自动化，减少与防止品质问题的发生</w:t>
      </w:r>
    </w:p>
    <w:p>
      <w:pPr>
        <w:pStyle w:val="13"/>
        <w:numPr>
          <w:ilvl w:val="0"/>
          <w:numId w:val="4"/>
        </w:numPr>
        <w:spacing w:line="400" w:lineRule="exact"/>
        <w:ind w:firstLine="6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实施标准化生产，采用已验证技术</w:t>
      </w:r>
    </w:p>
    <w:p>
      <w:pPr>
        <w:pStyle w:val="13"/>
        <w:numPr>
          <w:ilvl w:val="0"/>
          <w:numId w:val="4"/>
        </w:numPr>
        <w:spacing w:line="400" w:lineRule="exact"/>
        <w:ind w:firstLine="66"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通过视觉化管理使问题无处隐藏</w:t>
      </w:r>
    </w:p>
    <w:p>
      <w:pPr>
        <w:pStyle w:val="13"/>
        <w:numPr>
          <w:ilvl w:val="0"/>
          <w:numId w:val="4"/>
        </w:numPr>
        <w:spacing w:line="400" w:lineRule="exact"/>
        <w:ind w:firstLine="66" w:firstLineChars="0"/>
        <w:rPr>
          <w:rFonts w:asciiTheme="majorEastAsia" w:hAnsiTheme="majorEastAsia" w:eastAsiaTheme="majorEastAsia"/>
          <w:sz w:val="24"/>
          <w:szCs w:val="24"/>
        </w:rPr>
      </w:pPr>
      <w:r>
        <w:rPr>
          <w:rFonts w:hint="eastAsia" w:asciiTheme="majorEastAsia" w:hAnsiTheme="majorEastAsia" w:eastAsiaTheme="majorEastAsia"/>
          <w:bCs/>
          <w:sz w:val="24"/>
          <w:szCs w:val="24"/>
        </w:rPr>
        <w:t>应用IE手段实施现场改善，达至降本增效</w:t>
      </w:r>
    </w:p>
    <w:p>
      <w:pPr>
        <w:spacing w:line="340" w:lineRule="exact"/>
        <w:ind w:firstLine="142" w:firstLineChars="59"/>
        <w:rPr>
          <w:rFonts w:asciiTheme="minorEastAsia" w:hAnsiTheme="minorEastAsia"/>
          <w:b/>
          <w:bCs/>
          <w:color w:val="FF0000"/>
          <w:sz w:val="24"/>
        </w:rPr>
      </w:pPr>
      <w:r>
        <w:rPr>
          <w:rFonts w:hint="eastAsia" w:asciiTheme="minorEastAsia" w:hAnsiTheme="minorEastAsia"/>
          <w:b/>
          <w:color w:val="FF0000"/>
          <w:sz w:val="24"/>
        </w:rPr>
        <w:t>第三节、3P</w:t>
      </w:r>
      <w:r>
        <w:rPr>
          <w:rFonts w:hint="eastAsia" w:asciiTheme="minorEastAsia" w:hAnsiTheme="minorEastAsia"/>
          <w:b/>
          <w:bCs/>
          <w:color w:val="FF0000"/>
          <w:sz w:val="24"/>
        </w:rPr>
        <w:t>持续改进与学习</w:t>
      </w:r>
    </w:p>
    <w:p>
      <w:pPr>
        <w:spacing w:line="400" w:lineRule="exact"/>
        <w:ind w:firstLine="424" w:firstLineChars="177"/>
        <w:rPr>
          <w:rFonts w:asciiTheme="majorEastAsia" w:hAnsiTheme="majorEastAsia" w:eastAsiaTheme="majorEastAsia"/>
          <w:sz w:val="24"/>
          <w:szCs w:val="24"/>
        </w:rPr>
      </w:pPr>
      <w:r>
        <w:rPr>
          <w:rFonts w:hint="eastAsia" w:asciiTheme="majorEastAsia" w:hAnsiTheme="majorEastAsia" w:eastAsiaTheme="majorEastAsia"/>
          <w:sz w:val="24"/>
          <w:szCs w:val="24"/>
        </w:rPr>
        <w:t>1、打造学习型组织，提升员工与团队能力</w:t>
      </w:r>
    </w:p>
    <w:p>
      <w:pPr>
        <w:spacing w:line="400" w:lineRule="exact"/>
        <w:ind w:firstLine="424" w:firstLineChars="177"/>
        <w:rPr>
          <w:rFonts w:asciiTheme="majorEastAsia" w:hAnsiTheme="majorEastAsia" w:eastAsiaTheme="majorEastAsia"/>
          <w:sz w:val="24"/>
          <w:szCs w:val="24"/>
        </w:rPr>
      </w:pPr>
      <w:r>
        <w:rPr>
          <w:rFonts w:hint="eastAsia" w:asciiTheme="majorEastAsia" w:hAnsiTheme="majorEastAsia" w:eastAsiaTheme="majorEastAsia"/>
          <w:sz w:val="24"/>
          <w:szCs w:val="24"/>
        </w:rPr>
        <w:t>2、践行 “走动管理”、“三现主义”，PDCA持续改善常态化</w:t>
      </w:r>
    </w:p>
    <w:p>
      <w:pPr>
        <w:spacing w:line="400" w:lineRule="exact"/>
        <w:ind w:firstLine="424" w:firstLineChars="176"/>
        <w:rPr>
          <w:rFonts w:cs="宋体" w:asciiTheme="minorEastAsia" w:hAnsiTheme="minorEastAsia"/>
          <w:b/>
          <w:bCs/>
          <w:kern w:val="0"/>
          <w:sz w:val="24"/>
          <w:szCs w:val="24"/>
        </w:rPr>
      </w:pPr>
      <w:r>
        <w:rPr>
          <w:rFonts w:hint="eastAsia" w:ascii="新宋体" w:hAnsi="新宋体" w:eastAsia="新宋体"/>
          <w:b/>
          <w:sz w:val="24"/>
          <w:szCs w:val="24"/>
        </w:rPr>
        <w:t>■ 实施精益运营企业案例分享与</w:t>
      </w:r>
      <w:r>
        <w:rPr>
          <w:rFonts w:hint="eastAsia" w:cs="宋体" w:asciiTheme="minorEastAsia" w:hAnsiTheme="minorEastAsia"/>
          <w:b/>
          <w:bCs/>
          <w:kern w:val="0"/>
          <w:sz w:val="24"/>
          <w:szCs w:val="24"/>
        </w:rPr>
        <w:t>交流</w:t>
      </w:r>
    </w:p>
    <w:p>
      <w:pPr>
        <w:spacing w:line="340" w:lineRule="exact"/>
        <w:ind w:firstLine="140" w:firstLineChars="58"/>
        <w:rPr>
          <w:rFonts w:asciiTheme="minorEastAsia" w:hAnsiTheme="minorEastAsia"/>
          <w:b/>
          <w:color w:val="FF0000"/>
          <w:sz w:val="24"/>
        </w:rPr>
      </w:pP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第四章、精益运营管理主要内涵与构成</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1、精益产品开发与设计</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2、精益计划与精益物流运作</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3、精益品质管理</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4、精益生产效率管理</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5、精益成本管控</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6、精益现场改善</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7、精益运营机制与流程</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8、精益人才和团队打造与激励</w:t>
      </w:r>
    </w:p>
    <w:p>
      <w:pPr>
        <w:spacing w:line="400" w:lineRule="exact"/>
        <w:ind w:firstLine="424" w:firstLineChars="176"/>
        <w:rPr>
          <w:rFonts w:cs="宋体" w:asciiTheme="minorEastAsia" w:hAnsiTheme="minorEastAsia"/>
          <w:b/>
          <w:bCs/>
          <w:kern w:val="0"/>
          <w:sz w:val="24"/>
          <w:szCs w:val="24"/>
        </w:rPr>
      </w:pPr>
      <w:r>
        <w:rPr>
          <w:rFonts w:hint="eastAsia" w:ascii="新宋体" w:hAnsi="新宋体" w:eastAsia="新宋体"/>
          <w:b/>
          <w:sz w:val="24"/>
          <w:szCs w:val="24"/>
        </w:rPr>
        <w:t>■ 逐一剖析与案例</w:t>
      </w:r>
      <w:r>
        <w:rPr>
          <w:rFonts w:hint="eastAsia" w:cs="宋体" w:asciiTheme="minorEastAsia" w:hAnsiTheme="minorEastAsia"/>
          <w:b/>
          <w:bCs/>
          <w:kern w:val="0"/>
          <w:sz w:val="24"/>
          <w:szCs w:val="24"/>
        </w:rPr>
        <w:t>分享交流</w:t>
      </w:r>
    </w:p>
    <w:p>
      <w:pPr>
        <w:spacing w:line="340" w:lineRule="exact"/>
        <w:ind w:firstLine="140" w:firstLineChars="58"/>
        <w:rPr>
          <w:rFonts w:asciiTheme="minorEastAsia" w:hAnsiTheme="minorEastAsia"/>
          <w:b/>
          <w:color w:val="FF0000"/>
          <w:sz w:val="24"/>
        </w:rPr>
      </w:pP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第五章、精益运营管理模式如何导入与营造</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1、意识变革，培训先行</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2、反复宣导与造势</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3、培训、测试、征文与PK活动</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4、精益推行组织的建立、任命与宣誓就职</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5、考核、表彰嘉奖，好人好事不断</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6、以点带面、逐步展开、层层深入、高潮迭起</w:t>
      </w:r>
    </w:p>
    <w:p>
      <w:pPr>
        <w:spacing w:line="400" w:lineRule="exact"/>
        <w:ind w:firstLine="422" w:firstLineChars="176"/>
        <w:rPr>
          <w:rFonts w:asciiTheme="majorEastAsia" w:hAnsiTheme="majorEastAsia" w:eastAsiaTheme="majorEastAsia"/>
          <w:sz w:val="24"/>
        </w:rPr>
      </w:pPr>
      <w:r>
        <w:rPr>
          <w:rFonts w:hint="eastAsia" w:asciiTheme="majorEastAsia" w:hAnsiTheme="majorEastAsia" w:eastAsiaTheme="majorEastAsia"/>
          <w:sz w:val="24"/>
        </w:rPr>
        <w:t>7、营造“人人有舞台，人人有活力”的工作环境与氛围</w:t>
      </w:r>
    </w:p>
    <w:p>
      <w:pPr>
        <w:spacing w:line="400" w:lineRule="exact"/>
        <w:ind w:firstLine="424" w:firstLineChars="176"/>
        <w:rPr>
          <w:rFonts w:cs="宋体" w:asciiTheme="majorEastAsia" w:hAnsiTheme="majorEastAsia" w:eastAsiaTheme="majorEastAsia"/>
          <w:b/>
          <w:bCs/>
          <w:color w:val="000000" w:themeColor="text1"/>
          <w:kern w:val="0"/>
          <w:sz w:val="24"/>
          <w:szCs w:val="24"/>
        </w:rPr>
      </w:pPr>
      <w:r>
        <w:rPr>
          <w:rFonts w:hint="eastAsia" w:asciiTheme="majorEastAsia" w:hAnsiTheme="majorEastAsia" w:eastAsiaTheme="majorEastAsia"/>
          <w:b/>
          <w:color w:val="000000" w:themeColor="text1"/>
          <w:sz w:val="24"/>
          <w:szCs w:val="24"/>
        </w:rPr>
        <w:t>■ 明睿咨询 成功案例</w:t>
      </w:r>
      <w:r>
        <w:rPr>
          <w:rFonts w:hint="eastAsia" w:cs="宋体" w:asciiTheme="majorEastAsia" w:hAnsiTheme="majorEastAsia" w:eastAsiaTheme="majorEastAsia"/>
          <w:b/>
          <w:bCs/>
          <w:color w:val="000000" w:themeColor="text1"/>
          <w:kern w:val="0"/>
          <w:sz w:val="24"/>
          <w:szCs w:val="24"/>
        </w:rPr>
        <w:t>分享交流</w:t>
      </w:r>
    </w:p>
    <w:p>
      <w:pPr>
        <w:spacing w:line="340" w:lineRule="exact"/>
        <w:rPr>
          <w:rFonts w:asciiTheme="minorEastAsia" w:hAnsiTheme="minorEastAsia"/>
          <w:b/>
          <w:color w:val="FF0000"/>
          <w:sz w:val="24"/>
        </w:rPr>
      </w:pP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第六章、精益运营管理推行组织的建立与职能</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1、公司高层领导的重视是变革与项目成功的关键</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2、成立项目推行小组、任命组长/副组长/成员</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3、明确组长、副组长、推行成员的工作职责</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4、聘请经验丰富的管理咨询公司作为顾问</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5、建立畅通的沟通平台与渠道</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6、打造良好的团队与配合协作</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7、确保决定事项得到彻底的执行</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8、跟进、监督、考核、奖励</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9、定期总结、评估与检讨</w:t>
      </w:r>
    </w:p>
    <w:p>
      <w:pPr>
        <w:spacing w:line="400" w:lineRule="exact"/>
        <w:ind w:firstLine="424" w:firstLineChars="176"/>
        <w:rPr>
          <w:rFonts w:cs="宋体" w:asciiTheme="majorEastAsia" w:hAnsiTheme="majorEastAsia" w:eastAsiaTheme="majorEastAsia"/>
          <w:b/>
          <w:bCs/>
          <w:color w:val="000000" w:themeColor="text1"/>
          <w:kern w:val="0"/>
          <w:sz w:val="24"/>
          <w:szCs w:val="24"/>
        </w:rPr>
      </w:pPr>
      <w:r>
        <w:rPr>
          <w:rFonts w:hint="eastAsia" w:asciiTheme="majorEastAsia" w:hAnsiTheme="majorEastAsia" w:eastAsiaTheme="majorEastAsia"/>
          <w:b/>
          <w:color w:val="000000" w:themeColor="text1"/>
          <w:sz w:val="24"/>
          <w:szCs w:val="24"/>
        </w:rPr>
        <w:t>■ 明睿咨询 成功案例</w:t>
      </w:r>
      <w:r>
        <w:rPr>
          <w:rFonts w:hint="eastAsia" w:cs="宋体" w:asciiTheme="majorEastAsia" w:hAnsiTheme="majorEastAsia" w:eastAsiaTheme="majorEastAsia"/>
          <w:b/>
          <w:bCs/>
          <w:color w:val="000000" w:themeColor="text1"/>
          <w:kern w:val="0"/>
          <w:sz w:val="24"/>
          <w:szCs w:val="24"/>
        </w:rPr>
        <w:t>分享交流</w:t>
      </w:r>
    </w:p>
    <w:p>
      <w:pPr>
        <w:spacing w:line="340" w:lineRule="exact"/>
        <w:rPr>
          <w:rFonts w:asciiTheme="minorEastAsia" w:hAnsiTheme="minorEastAsia"/>
          <w:b/>
          <w:color w:val="FF0000"/>
          <w:sz w:val="24"/>
        </w:rPr>
      </w:pP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第七章、推行与实施精益运营管理的思路、步骤、方法与工具</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1、不同行业、不同发展阶段，企业精益运营管理模式介绍</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2、谨慎参考与选择标杆企业精益运营管理模式</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3、由初始到高级，逐步推进</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4、精益 “6S与目视化” 运营管理</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5、精益 “制度与流程优化” 运营管理</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6、精益 “敏捷计划与高效生产” 运营管理</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7、精益“物流与供应链”运营管理</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8、精益 “TQM全面质量管控”运营管理</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9、精益 “TPM全员设备维护” 运营管理</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10、精益“成本管控”运营管理</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11、精益“防呆、防错和设备自动化”运营管理</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12、精益“IE现场改善”运营管理</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13、精益“执行力提升”运营管理</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14、精益“人才培养与激励”运营管理</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15、精益“企业文化塑造”运营管理</w:t>
      </w:r>
    </w:p>
    <w:p>
      <w:pPr>
        <w:spacing w:line="400" w:lineRule="exact"/>
        <w:ind w:firstLine="424" w:firstLineChars="176"/>
        <w:rPr>
          <w:rFonts w:cs="宋体" w:asciiTheme="majorEastAsia" w:hAnsiTheme="majorEastAsia" w:eastAsiaTheme="majorEastAsia"/>
          <w:b/>
          <w:bCs/>
          <w:color w:val="000000" w:themeColor="text1"/>
          <w:kern w:val="0"/>
          <w:sz w:val="24"/>
          <w:szCs w:val="24"/>
        </w:rPr>
      </w:pPr>
      <w:r>
        <w:rPr>
          <w:rFonts w:hint="eastAsia" w:asciiTheme="majorEastAsia" w:hAnsiTheme="majorEastAsia" w:eastAsiaTheme="majorEastAsia"/>
          <w:b/>
          <w:color w:val="000000" w:themeColor="text1"/>
          <w:sz w:val="24"/>
          <w:szCs w:val="24"/>
        </w:rPr>
        <w:t>■ 逐一剖析与案例</w:t>
      </w:r>
      <w:r>
        <w:rPr>
          <w:rFonts w:hint="eastAsia" w:cs="宋体" w:asciiTheme="majorEastAsia" w:hAnsiTheme="majorEastAsia" w:eastAsiaTheme="majorEastAsia"/>
          <w:b/>
          <w:bCs/>
          <w:color w:val="000000" w:themeColor="text1"/>
          <w:kern w:val="0"/>
          <w:sz w:val="24"/>
          <w:szCs w:val="24"/>
        </w:rPr>
        <w:t>分享交流</w:t>
      </w:r>
    </w:p>
    <w:p>
      <w:pPr>
        <w:spacing w:line="340" w:lineRule="exact"/>
        <w:rPr>
          <w:rFonts w:asciiTheme="minorEastAsia" w:hAnsiTheme="minorEastAsia"/>
          <w:b/>
          <w:color w:val="FF0000"/>
          <w:sz w:val="24"/>
        </w:rPr>
      </w:pP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第八章、如何制定3-5年精益运营管理实施与推行方案</w:t>
      </w:r>
    </w:p>
    <w:p>
      <w:pPr>
        <w:spacing w:line="400" w:lineRule="exact"/>
        <w:ind w:firstLine="422" w:firstLineChars="176"/>
        <w:rPr>
          <w:rFonts w:asciiTheme="majorEastAsia" w:hAnsiTheme="majorEastAsia" w:eastAsiaTheme="majorEastAsia"/>
          <w:bCs/>
          <w:color w:val="000000" w:themeColor="text1"/>
          <w:sz w:val="24"/>
        </w:rPr>
      </w:pPr>
      <w:r>
        <w:rPr>
          <w:rFonts w:hint="eastAsia" w:asciiTheme="majorEastAsia" w:hAnsiTheme="majorEastAsia" w:eastAsiaTheme="majorEastAsia"/>
          <w:bCs/>
          <w:color w:val="000000" w:themeColor="text1"/>
          <w:sz w:val="24"/>
        </w:rPr>
        <w:t>1、精益运营管理是对企业管理永无止境的持续改善与追求。</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2、急功近利，短期大见成效的想法是不切实际的</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3、由易到难，制定循序渐进的3-5年行动路线图</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4、以“关键问题点解决”为导向</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5、以“关键绩效指标改善”为导向</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6、最好以半年或一年作为一个项目的突破与解决期限</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7、以点带面，局部带动全体，层层深入</w:t>
      </w:r>
    </w:p>
    <w:p>
      <w:pPr>
        <w:spacing w:line="400" w:lineRule="exact"/>
        <w:ind w:firstLine="422" w:firstLineChars="176"/>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8、定期总结、评估、检讨与纠偏</w:t>
      </w:r>
    </w:p>
    <w:p>
      <w:pPr>
        <w:spacing w:line="400" w:lineRule="exact"/>
        <w:ind w:firstLine="424" w:firstLineChars="176"/>
        <w:rPr>
          <w:rFonts w:cs="宋体" w:asciiTheme="majorEastAsia" w:hAnsiTheme="majorEastAsia" w:eastAsiaTheme="majorEastAsia"/>
          <w:b/>
          <w:bCs/>
          <w:color w:val="000000" w:themeColor="text1"/>
          <w:kern w:val="0"/>
          <w:sz w:val="24"/>
          <w:szCs w:val="24"/>
        </w:rPr>
      </w:pPr>
      <w:r>
        <w:rPr>
          <w:rFonts w:hint="eastAsia" w:asciiTheme="majorEastAsia" w:hAnsiTheme="majorEastAsia" w:eastAsiaTheme="majorEastAsia"/>
          <w:b/>
          <w:color w:val="000000" w:themeColor="text1"/>
          <w:sz w:val="24"/>
          <w:szCs w:val="24"/>
        </w:rPr>
        <w:t>■ 明睿咨询 成功案例</w:t>
      </w:r>
      <w:r>
        <w:rPr>
          <w:rFonts w:hint="eastAsia" w:cs="宋体" w:asciiTheme="majorEastAsia" w:hAnsiTheme="majorEastAsia" w:eastAsiaTheme="majorEastAsia"/>
          <w:b/>
          <w:bCs/>
          <w:color w:val="000000" w:themeColor="text1"/>
          <w:kern w:val="0"/>
          <w:sz w:val="24"/>
          <w:szCs w:val="24"/>
        </w:rPr>
        <w:t>分享交流</w:t>
      </w:r>
    </w:p>
    <w:p>
      <w:pPr>
        <w:spacing w:line="340" w:lineRule="exact"/>
        <w:rPr>
          <w:rFonts w:asciiTheme="minorEastAsia" w:hAnsiTheme="minorEastAsia"/>
          <w:b/>
          <w:color w:val="FF0000"/>
          <w:sz w:val="24"/>
        </w:rPr>
      </w:pP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第九章、实施精益运营管理阶段性目标如何达成</w:t>
      </w:r>
    </w:p>
    <w:p>
      <w:pPr>
        <w:spacing w:line="400" w:lineRule="exact"/>
        <w:ind w:firstLine="422" w:firstLineChars="176"/>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1、建立实施项目评价体系（PQCDMS）</w:t>
      </w:r>
    </w:p>
    <w:p>
      <w:pPr>
        <w:spacing w:line="400" w:lineRule="exact"/>
        <w:ind w:firstLine="422" w:firstLineChars="176"/>
        <w:rPr>
          <w:rFonts w:asciiTheme="majorEastAsia" w:hAnsiTheme="majorEastAsia" w:eastAsiaTheme="majorEastAsia"/>
          <w:color w:val="000000" w:themeColor="text1"/>
          <w:sz w:val="24"/>
          <w:szCs w:val="24"/>
        </w:rPr>
      </w:pPr>
      <w:r>
        <w:rPr>
          <w:rFonts w:asciiTheme="majorEastAsia" w:hAnsiTheme="majorEastAsia" w:eastAsiaTheme="majorEastAsia"/>
          <w:color w:val="000000" w:themeColor="text1"/>
          <w:sz w:val="24"/>
          <w:szCs w:val="24"/>
        </w:rPr>
        <w:t>2</w:t>
      </w:r>
      <w:r>
        <w:rPr>
          <w:rFonts w:hint="eastAsia" w:asciiTheme="majorEastAsia" w:hAnsiTheme="majorEastAsia" w:eastAsiaTheme="majorEastAsia"/>
          <w:color w:val="000000" w:themeColor="text1"/>
          <w:sz w:val="24"/>
          <w:szCs w:val="24"/>
        </w:rPr>
        <w:t>、</w:t>
      </w:r>
      <w:r>
        <w:rPr>
          <w:rFonts w:hint="eastAsia" w:asciiTheme="majorEastAsia" w:hAnsiTheme="majorEastAsia" w:eastAsiaTheme="majorEastAsia"/>
          <w:bCs/>
          <w:color w:val="000000" w:themeColor="text1"/>
          <w:sz w:val="24"/>
          <w:szCs w:val="24"/>
        </w:rPr>
        <w:t>绩效指标</w:t>
      </w:r>
      <w:r>
        <w:rPr>
          <w:rFonts w:hint="eastAsia" w:asciiTheme="majorEastAsia" w:hAnsiTheme="majorEastAsia" w:eastAsiaTheme="majorEastAsia"/>
          <w:color w:val="000000" w:themeColor="text1"/>
          <w:sz w:val="24"/>
          <w:szCs w:val="24"/>
        </w:rPr>
        <w:t>：</w:t>
      </w:r>
      <w:r>
        <w:rPr>
          <w:rFonts w:hint="eastAsia" w:asciiTheme="majorEastAsia" w:hAnsiTheme="majorEastAsia" w:eastAsiaTheme="majorEastAsia"/>
          <w:bCs/>
          <w:color w:val="000000" w:themeColor="text1"/>
          <w:sz w:val="24"/>
          <w:szCs w:val="24"/>
        </w:rPr>
        <w:t>可衡量</w:t>
      </w:r>
      <w:r>
        <w:rPr>
          <w:rFonts w:asciiTheme="majorEastAsia" w:hAnsiTheme="majorEastAsia" w:eastAsiaTheme="majorEastAsia"/>
          <w:bCs/>
          <w:color w:val="000000" w:themeColor="text1"/>
          <w:sz w:val="24"/>
          <w:szCs w:val="24"/>
        </w:rPr>
        <w:t>/</w:t>
      </w:r>
      <w:r>
        <w:rPr>
          <w:rFonts w:hint="eastAsia" w:asciiTheme="majorEastAsia" w:hAnsiTheme="majorEastAsia" w:eastAsiaTheme="majorEastAsia"/>
          <w:bCs/>
          <w:color w:val="000000" w:themeColor="text1"/>
          <w:sz w:val="24"/>
          <w:szCs w:val="24"/>
        </w:rPr>
        <w:t>可控制</w:t>
      </w:r>
      <w:r>
        <w:rPr>
          <w:rFonts w:asciiTheme="majorEastAsia" w:hAnsiTheme="majorEastAsia" w:eastAsiaTheme="majorEastAsia"/>
          <w:bCs/>
          <w:color w:val="000000" w:themeColor="text1"/>
          <w:sz w:val="24"/>
          <w:szCs w:val="24"/>
        </w:rPr>
        <w:t>/</w:t>
      </w:r>
      <w:r>
        <w:rPr>
          <w:rFonts w:hint="eastAsia" w:asciiTheme="majorEastAsia" w:hAnsiTheme="majorEastAsia" w:eastAsiaTheme="majorEastAsia"/>
          <w:bCs/>
          <w:color w:val="000000" w:themeColor="text1"/>
          <w:sz w:val="24"/>
          <w:szCs w:val="24"/>
        </w:rPr>
        <w:t>可比较</w:t>
      </w:r>
      <w:r>
        <w:rPr>
          <w:rFonts w:asciiTheme="majorEastAsia" w:hAnsiTheme="majorEastAsia" w:eastAsiaTheme="majorEastAsia"/>
          <w:color w:val="000000" w:themeColor="text1"/>
          <w:sz w:val="24"/>
          <w:szCs w:val="24"/>
        </w:rPr>
        <w:t>/</w:t>
      </w:r>
      <w:r>
        <w:rPr>
          <w:rFonts w:hint="eastAsia" w:asciiTheme="majorEastAsia" w:hAnsiTheme="majorEastAsia" w:eastAsiaTheme="majorEastAsia"/>
          <w:bCs/>
          <w:color w:val="000000" w:themeColor="text1"/>
          <w:sz w:val="24"/>
          <w:szCs w:val="24"/>
        </w:rPr>
        <w:t>数据收集</w:t>
      </w:r>
    </w:p>
    <w:p>
      <w:pPr>
        <w:spacing w:line="400" w:lineRule="exact"/>
        <w:ind w:firstLine="422" w:firstLineChars="176"/>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3、</w:t>
      </w:r>
      <w:r>
        <w:rPr>
          <w:rFonts w:hint="eastAsia" w:asciiTheme="majorEastAsia" w:hAnsiTheme="majorEastAsia" w:eastAsiaTheme="majorEastAsia"/>
          <w:bCs/>
          <w:color w:val="000000" w:themeColor="text1"/>
          <w:sz w:val="24"/>
          <w:szCs w:val="24"/>
        </w:rPr>
        <w:t>考核项目/目標值/衡量頻率</w:t>
      </w:r>
    </w:p>
    <w:p>
      <w:pPr>
        <w:spacing w:line="400" w:lineRule="exact"/>
        <w:ind w:firstLine="422" w:firstLineChars="176"/>
        <w:rPr>
          <w:rFonts w:asciiTheme="majorEastAsia" w:hAnsiTheme="majorEastAsia" w:eastAsiaTheme="majorEastAsia"/>
          <w:bCs/>
          <w:color w:val="000000" w:themeColor="text1"/>
          <w:sz w:val="24"/>
          <w:szCs w:val="24"/>
        </w:rPr>
      </w:pPr>
      <w:r>
        <w:rPr>
          <w:rFonts w:asciiTheme="majorEastAsia" w:hAnsiTheme="majorEastAsia" w:eastAsiaTheme="majorEastAsia"/>
          <w:bCs/>
          <w:color w:val="000000" w:themeColor="text1"/>
          <w:sz w:val="24"/>
          <w:szCs w:val="24"/>
        </w:rPr>
        <w:t>4</w:t>
      </w:r>
      <w:r>
        <w:rPr>
          <w:rFonts w:hint="eastAsia" w:asciiTheme="majorEastAsia" w:hAnsiTheme="majorEastAsia" w:eastAsiaTheme="majorEastAsia"/>
          <w:bCs/>
          <w:color w:val="000000" w:themeColor="text1"/>
          <w:sz w:val="24"/>
          <w:szCs w:val="24"/>
        </w:rPr>
        <w:t>、目标达成状况</w:t>
      </w:r>
      <w:r>
        <w:rPr>
          <w:rFonts w:asciiTheme="majorEastAsia" w:hAnsiTheme="majorEastAsia" w:eastAsiaTheme="majorEastAsia"/>
          <w:bCs/>
          <w:color w:val="000000" w:themeColor="text1"/>
          <w:sz w:val="24"/>
          <w:szCs w:val="24"/>
        </w:rPr>
        <w:t>/</w:t>
      </w:r>
      <w:r>
        <w:rPr>
          <w:rFonts w:hint="eastAsia" w:asciiTheme="majorEastAsia" w:hAnsiTheme="majorEastAsia" w:eastAsiaTheme="majorEastAsia"/>
          <w:bCs/>
          <w:color w:val="000000" w:themeColor="text1"/>
          <w:sz w:val="24"/>
          <w:szCs w:val="24"/>
        </w:rPr>
        <w:t>趋势</w:t>
      </w:r>
      <w:r>
        <w:rPr>
          <w:rFonts w:asciiTheme="majorEastAsia" w:hAnsiTheme="majorEastAsia" w:eastAsiaTheme="majorEastAsia"/>
          <w:bCs/>
          <w:color w:val="000000" w:themeColor="text1"/>
          <w:sz w:val="24"/>
          <w:szCs w:val="24"/>
        </w:rPr>
        <w:t>/</w:t>
      </w:r>
      <w:r>
        <w:rPr>
          <w:rFonts w:hint="eastAsia" w:asciiTheme="majorEastAsia" w:hAnsiTheme="majorEastAsia" w:eastAsiaTheme="majorEastAsia"/>
          <w:bCs/>
          <w:color w:val="000000" w:themeColor="text1"/>
          <w:sz w:val="24"/>
          <w:szCs w:val="24"/>
        </w:rPr>
        <w:t>变异程度</w:t>
      </w:r>
      <w:r>
        <w:rPr>
          <w:rFonts w:asciiTheme="majorEastAsia" w:hAnsiTheme="majorEastAsia" w:eastAsiaTheme="majorEastAsia"/>
          <w:bCs/>
          <w:color w:val="000000" w:themeColor="text1"/>
          <w:sz w:val="24"/>
          <w:szCs w:val="24"/>
        </w:rPr>
        <w:t>/</w:t>
      </w:r>
      <w:r>
        <w:rPr>
          <w:rFonts w:hint="eastAsia" w:asciiTheme="majorEastAsia" w:hAnsiTheme="majorEastAsia" w:eastAsiaTheme="majorEastAsia"/>
          <w:bCs/>
          <w:color w:val="000000" w:themeColor="text1"/>
          <w:sz w:val="24"/>
          <w:szCs w:val="24"/>
        </w:rPr>
        <w:t>改善</w:t>
      </w:r>
      <w:r>
        <w:rPr>
          <w:rFonts w:asciiTheme="majorEastAsia" w:hAnsiTheme="majorEastAsia" w:eastAsiaTheme="majorEastAsia"/>
          <w:bCs/>
          <w:color w:val="000000" w:themeColor="text1"/>
          <w:sz w:val="24"/>
          <w:szCs w:val="24"/>
        </w:rPr>
        <w:t>/</w:t>
      </w:r>
      <w:r>
        <w:rPr>
          <w:rFonts w:hint="eastAsia" w:asciiTheme="majorEastAsia" w:hAnsiTheme="majorEastAsia" w:eastAsiaTheme="majorEastAsia"/>
          <w:bCs/>
          <w:color w:val="000000" w:themeColor="text1"/>
          <w:sz w:val="24"/>
          <w:szCs w:val="24"/>
        </w:rPr>
        <w:t>突破</w:t>
      </w:r>
    </w:p>
    <w:p>
      <w:pPr>
        <w:spacing w:line="400" w:lineRule="exact"/>
        <w:ind w:firstLine="422" w:firstLineChars="176"/>
        <w:rPr>
          <w:rFonts w:asciiTheme="majorEastAsia" w:hAnsiTheme="majorEastAsia" w:eastAsiaTheme="majorEastAsia"/>
          <w:color w:val="000000" w:themeColor="text1"/>
          <w:sz w:val="24"/>
          <w:szCs w:val="24"/>
        </w:rPr>
      </w:pPr>
      <w:r>
        <w:rPr>
          <w:rFonts w:hint="eastAsia" w:asciiTheme="majorEastAsia" w:hAnsiTheme="majorEastAsia" w:eastAsiaTheme="majorEastAsia"/>
          <w:bCs/>
          <w:color w:val="000000" w:themeColor="text1"/>
          <w:sz w:val="24"/>
          <w:szCs w:val="24"/>
        </w:rPr>
        <w:t>5、奖惩机制的落实与执行到位</w:t>
      </w:r>
    </w:p>
    <w:p>
      <w:pPr>
        <w:spacing w:line="400" w:lineRule="exact"/>
        <w:ind w:firstLine="424" w:firstLineChars="176"/>
        <w:rPr>
          <w:rFonts w:cs="宋体" w:asciiTheme="majorEastAsia" w:hAnsiTheme="majorEastAsia" w:eastAsiaTheme="majorEastAsia"/>
          <w:b/>
          <w:bCs/>
          <w:color w:val="000000" w:themeColor="text1"/>
          <w:kern w:val="0"/>
          <w:sz w:val="24"/>
          <w:szCs w:val="24"/>
        </w:rPr>
      </w:pPr>
      <w:r>
        <w:rPr>
          <w:rFonts w:hint="eastAsia" w:asciiTheme="majorEastAsia" w:hAnsiTheme="majorEastAsia" w:eastAsiaTheme="majorEastAsia"/>
          <w:b/>
          <w:color w:val="000000" w:themeColor="text1"/>
          <w:sz w:val="24"/>
          <w:szCs w:val="24"/>
        </w:rPr>
        <w:t>■ 优秀企业成功案例</w:t>
      </w:r>
      <w:r>
        <w:rPr>
          <w:rFonts w:hint="eastAsia" w:cs="宋体" w:asciiTheme="majorEastAsia" w:hAnsiTheme="majorEastAsia" w:eastAsiaTheme="majorEastAsia"/>
          <w:b/>
          <w:bCs/>
          <w:color w:val="000000" w:themeColor="text1"/>
          <w:kern w:val="0"/>
          <w:sz w:val="24"/>
          <w:szCs w:val="24"/>
        </w:rPr>
        <w:t>研讨交流</w:t>
      </w:r>
    </w:p>
    <w:p>
      <w:pPr>
        <w:spacing w:line="340" w:lineRule="exact"/>
        <w:rPr>
          <w:rFonts w:asciiTheme="minorEastAsia" w:hAnsiTheme="minorEastAsia"/>
          <w:b/>
          <w:color w:val="FF0000"/>
          <w:sz w:val="24"/>
        </w:rPr>
      </w:pP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第十章、精益运营管理人才激励机制</w:t>
      </w:r>
    </w:p>
    <w:p>
      <w:pPr>
        <w:spacing w:line="400" w:lineRule="exact"/>
        <w:ind w:firstLine="424" w:firstLineChars="177"/>
        <w:rPr>
          <w:rFonts w:cs="宋体" w:asciiTheme="majorEastAsia" w:hAnsiTheme="majorEastAsia" w:eastAsiaTheme="majorEastAsia"/>
          <w:kern w:val="0"/>
          <w:sz w:val="24"/>
          <w:szCs w:val="24"/>
        </w:rPr>
      </w:pPr>
      <w:r>
        <w:rPr>
          <w:rFonts w:hint="eastAsia" w:cs="宋体" w:asciiTheme="majorEastAsia" w:hAnsiTheme="majorEastAsia" w:eastAsiaTheme="majorEastAsia"/>
          <w:kern w:val="0"/>
          <w:sz w:val="24"/>
          <w:szCs w:val="24"/>
        </w:rPr>
        <w:t>1、</w:t>
      </w:r>
      <w:r>
        <w:rPr>
          <w:rFonts w:cs="宋体" w:asciiTheme="majorEastAsia" w:hAnsiTheme="majorEastAsia" w:eastAsiaTheme="majorEastAsia"/>
          <w:kern w:val="0"/>
          <w:sz w:val="24"/>
          <w:szCs w:val="24"/>
        </w:rPr>
        <w:t>以未来的薪酬激励今天的员工</w:t>
      </w:r>
    </w:p>
    <w:p>
      <w:pPr>
        <w:spacing w:line="400" w:lineRule="exact"/>
        <w:ind w:firstLine="424" w:firstLineChars="177"/>
        <w:rPr>
          <w:rFonts w:cs="宋体" w:asciiTheme="majorEastAsia" w:hAnsiTheme="majorEastAsia" w:eastAsiaTheme="majorEastAsia"/>
          <w:kern w:val="0"/>
          <w:sz w:val="24"/>
          <w:szCs w:val="24"/>
        </w:rPr>
      </w:pPr>
      <w:r>
        <w:rPr>
          <w:rFonts w:hint="eastAsia" w:cs="宋体" w:asciiTheme="majorEastAsia" w:hAnsiTheme="majorEastAsia" w:eastAsiaTheme="majorEastAsia"/>
          <w:kern w:val="0"/>
          <w:sz w:val="24"/>
          <w:szCs w:val="24"/>
        </w:rPr>
        <w:t>2、精益运营管理模式下薪酬与绩效如何有机给合</w:t>
      </w:r>
    </w:p>
    <w:p>
      <w:pPr>
        <w:spacing w:line="400" w:lineRule="exact"/>
        <w:ind w:firstLine="424" w:firstLineChars="177"/>
        <w:rPr>
          <w:rFonts w:cs="宋体" w:asciiTheme="majorEastAsia" w:hAnsiTheme="majorEastAsia" w:eastAsiaTheme="majorEastAsia"/>
          <w:kern w:val="0"/>
          <w:sz w:val="24"/>
          <w:szCs w:val="24"/>
        </w:rPr>
      </w:pPr>
      <w:r>
        <w:rPr>
          <w:rFonts w:hint="eastAsia" w:cs="宋体" w:asciiTheme="majorEastAsia" w:hAnsiTheme="majorEastAsia" w:eastAsiaTheme="majorEastAsia"/>
          <w:kern w:val="0"/>
          <w:sz w:val="24"/>
          <w:szCs w:val="24"/>
        </w:rPr>
        <w:t>3、项目改善成果如何激励与惠及员工</w:t>
      </w:r>
    </w:p>
    <w:p>
      <w:pPr>
        <w:spacing w:line="400" w:lineRule="exact"/>
        <w:ind w:firstLine="424" w:firstLineChars="177"/>
        <w:rPr>
          <w:rFonts w:cs="宋体" w:asciiTheme="majorEastAsia" w:hAnsiTheme="majorEastAsia" w:eastAsiaTheme="majorEastAsia"/>
          <w:kern w:val="0"/>
          <w:sz w:val="24"/>
          <w:szCs w:val="24"/>
        </w:rPr>
      </w:pPr>
      <w:r>
        <w:rPr>
          <w:rFonts w:hint="eastAsia" w:cs="宋体" w:asciiTheme="majorEastAsia" w:hAnsiTheme="majorEastAsia" w:eastAsiaTheme="majorEastAsia"/>
          <w:kern w:val="0"/>
          <w:sz w:val="24"/>
          <w:szCs w:val="24"/>
        </w:rPr>
        <w:t>4、如何尊重人性，调动人的积极性</w:t>
      </w:r>
    </w:p>
    <w:p>
      <w:pPr>
        <w:spacing w:line="400" w:lineRule="exact"/>
        <w:ind w:firstLine="424" w:firstLineChars="177"/>
        <w:rPr>
          <w:rFonts w:asciiTheme="majorEastAsia" w:hAnsiTheme="majorEastAsia" w:eastAsiaTheme="majorEastAsia"/>
          <w:b/>
          <w:color w:val="FF0000"/>
          <w:sz w:val="24"/>
          <w:szCs w:val="24"/>
        </w:rPr>
      </w:pPr>
      <w:r>
        <w:rPr>
          <w:rFonts w:hint="eastAsia" w:cs="宋体" w:asciiTheme="majorEastAsia" w:hAnsiTheme="majorEastAsia" w:eastAsiaTheme="majorEastAsia"/>
          <w:kern w:val="0"/>
          <w:sz w:val="24"/>
          <w:szCs w:val="24"/>
        </w:rPr>
        <w:t>5、构建精益运营模式下人才成长与晋升机制</w:t>
      </w:r>
    </w:p>
    <w:p>
      <w:pPr>
        <w:spacing w:line="400" w:lineRule="exact"/>
        <w:ind w:firstLine="424" w:firstLineChars="176"/>
        <w:rPr>
          <w:rFonts w:cs="宋体" w:asciiTheme="majorEastAsia" w:hAnsiTheme="majorEastAsia" w:eastAsiaTheme="majorEastAsia"/>
          <w:b/>
          <w:bCs/>
          <w:color w:val="000000" w:themeColor="text1"/>
          <w:kern w:val="0"/>
          <w:sz w:val="24"/>
          <w:szCs w:val="24"/>
        </w:rPr>
      </w:pPr>
      <w:r>
        <w:rPr>
          <w:rFonts w:hint="eastAsia" w:asciiTheme="majorEastAsia" w:hAnsiTheme="majorEastAsia" w:eastAsiaTheme="majorEastAsia"/>
          <w:b/>
          <w:color w:val="000000" w:themeColor="text1"/>
          <w:sz w:val="24"/>
          <w:szCs w:val="24"/>
        </w:rPr>
        <w:t>■ 案例分享与</w:t>
      </w:r>
      <w:r>
        <w:rPr>
          <w:rFonts w:hint="eastAsia" w:cs="宋体" w:asciiTheme="majorEastAsia" w:hAnsiTheme="majorEastAsia" w:eastAsiaTheme="majorEastAsia"/>
          <w:b/>
          <w:bCs/>
          <w:color w:val="000000" w:themeColor="text1"/>
          <w:kern w:val="0"/>
          <w:sz w:val="24"/>
          <w:szCs w:val="24"/>
        </w:rPr>
        <w:t>研讨交流</w:t>
      </w:r>
    </w:p>
    <w:p>
      <w:pPr>
        <w:spacing w:line="340" w:lineRule="exact"/>
        <w:ind w:firstLine="140" w:firstLineChars="58"/>
        <w:rPr>
          <w:rFonts w:asciiTheme="minorEastAsia" w:hAnsiTheme="minorEastAsia"/>
          <w:b/>
          <w:color w:val="FF0000"/>
          <w:sz w:val="24"/>
        </w:rPr>
      </w:pP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第十一章、推行与实施精益运营管理面临的障碍与破解方法</w:t>
      </w:r>
    </w:p>
    <w:p>
      <w:pPr>
        <w:spacing w:line="400" w:lineRule="exact"/>
        <w:ind w:firstLine="424" w:firstLineChars="177"/>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 xml:space="preserve">1、思想观念、意识有待改变与提升 </w:t>
      </w:r>
    </w:p>
    <w:p>
      <w:pPr>
        <w:spacing w:line="400" w:lineRule="exact"/>
        <w:ind w:firstLine="424" w:firstLineChars="177"/>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2、高层管理人员重视程度不够</w:t>
      </w:r>
    </w:p>
    <w:p>
      <w:pPr>
        <w:spacing w:line="400" w:lineRule="exact"/>
        <w:ind w:firstLine="424" w:firstLineChars="177"/>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3、制度和流程未能建立、完善与优化</w:t>
      </w:r>
    </w:p>
    <w:p>
      <w:pPr>
        <w:spacing w:line="400" w:lineRule="exact"/>
        <w:ind w:firstLine="424" w:firstLineChars="177"/>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4、欠缺有效的推行方法与手段</w:t>
      </w:r>
    </w:p>
    <w:p>
      <w:pPr>
        <w:spacing w:line="400" w:lineRule="exact"/>
        <w:ind w:firstLine="424" w:firstLineChars="177"/>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5、未能建立项目绩效考核机制</w:t>
      </w:r>
    </w:p>
    <w:p>
      <w:pPr>
        <w:spacing w:line="400" w:lineRule="exact"/>
        <w:ind w:firstLine="424" w:firstLineChars="177"/>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6、执行不力，贯彻不到位</w:t>
      </w:r>
    </w:p>
    <w:p>
      <w:pPr>
        <w:spacing w:line="400" w:lineRule="exact"/>
        <w:ind w:firstLine="424" w:firstLineChars="177"/>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7、欠缺良好的团队与配合协作</w:t>
      </w:r>
    </w:p>
    <w:p>
      <w:pPr>
        <w:spacing w:line="400" w:lineRule="exact"/>
        <w:ind w:firstLine="424" w:firstLineChars="177"/>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8、欠缺有效的激励机制</w:t>
      </w:r>
    </w:p>
    <w:p>
      <w:pPr>
        <w:spacing w:line="400" w:lineRule="exact"/>
        <w:ind w:firstLine="424" w:firstLineChars="177"/>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9、客观问题未能得到有效突破与解决  。。。。。。</w:t>
      </w:r>
    </w:p>
    <w:p>
      <w:pPr>
        <w:spacing w:line="400" w:lineRule="exact"/>
        <w:ind w:firstLine="361" w:firstLineChars="150"/>
        <w:rPr>
          <w:rFonts w:asciiTheme="majorEastAsia" w:hAnsiTheme="majorEastAsia" w:eastAsiaTheme="majorEastAsia"/>
          <w:color w:val="000000" w:themeColor="text1"/>
          <w:sz w:val="24"/>
        </w:rPr>
      </w:pPr>
      <w:r>
        <w:rPr>
          <w:rFonts w:hint="eastAsia" w:asciiTheme="majorEastAsia" w:hAnsiTheme="majorEastAsia" w:eastAsiaTheme="majorEastAsia"/>
          <w:b/>
          <w:color w:val="000000" w:themeColor="text1"/>
          <w:sz w:val="24"/>
          <w:szCs w:val="24"/>
        </w:rPr>
        <w:t xml:space="preserve">■ 问题逐一破解与明睿咨询经验 </w:t>
      </w:r>
      <w:r>
        <w:rPr>
          <w:rFonts w:hint="eastAsia" w:cs="宋体" w:asciiTheme="majorEastAsia" w:hAnsiTheme="majorEastAsia" w:eastAsiaTheme="majorEastAsia"/>
          <w:b/>
          <w:bCs/>
          <w:color w:val="000000" w:themeColor="text1"/>
          <w:kern w:val="0"/>
          <w:sz w:val="24"/>
          <w:szCs w:val="24"/>
        </w:rPr>
        <w:t>分享交流</w:t>
      </w:r>
    </w:p>
    <w:p>
      <w:pPr>
        <w:spacing w:line="340" w:lineRule="exact"/>
        <w:rPr>
          <w:rFonts w:asciiTheme="minorEastAsia" w:hAnsiTheme="minorEastAsia"/>
          <w:b/>
          <w:color w:val="FF0000"/>
          <w:sz w:val="24"/>
        </w:rPr>
      </w:pP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第十二章、明睿企管精益运营管理 案例分享与答疑</w:t>
      </w: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w:t>
      </w:r>
    </w:p>
    <w:p>
      <w:pPr>
        <w:spacing w:line="340" w:lineRule="exact"/>
        <w:ind w:firstLine="140" w:firstLineChars="58"/>
        <w:rPr>
          <w:rFonts w:asciiTheme="minorEastAsia" w:hAnsiTheme="minorEastAsia"/>
          <w:b/>
          <w:color w:val="FF0000"/>
          <w:sz w:val="24"/>
        </w:rPr>
      </w:pPr>
    </w:p>
    <w:p>
      <w:pPr>
        <w:widowControl/>
        <w:numPr>
          <w:ilvl w:val="0"/>
          <w:numId w:val="5"/>
        </w:numPr>
        <w:spacing w:line="320" w:lineRule="exact"/>
        <w:rPr>
          <w:rFonts w:ascii="华文新魏" w:hAnsi="宋体" w:eastAsia="华文新魏"/>
          <w:b/>
          <w:sz w:val="30"/>
          <w:szCs w:val="30"/>
        </w:rPr>
      </w:pPr>
      <w:r>
        <w:rPr>
          <w:rFonts w:hint="eastAsia" w:ascii="华文新魏" w:hAnsi="楷体" w:eastAsia="华文新魏"/>
          <w:b/>
          <w:sz w:val="30"/>
          <w:szCs w:val="30"/>
        </w:rPr>
        <w:t>授课</w:t>
      </w:r>
      <w:r>
        <w:rPr>
          <w:rFonts w:hint="eastAsia" w:ascii="华文新魏" w:hAnsi="宋体" w:eastAsia="华文新魏"/>
          <w:b/>
          <w:sz w:val="30"/>
          <w:szCs w:val="30"/>
        </w:rPr>
        <w:t>专家介绍：</w:t>
      </w:r>
    </w:p>
    <w:p>
      <w:pPr>
        <w:widowControl/>
        <w:shd w:val="clear" w:color="auto" w:fill="FFFFFF"/>
        <w:ind w:right="480"/>
        <w:jc w:val="center"/>
        <w:rPr>
          <w:rFonts w:ascii="楷体" w:hAnsi="楷体" w:eastAsia="楷体" w:cs="宋体"/>
          <w:b/>
          <w:kern w:val="0"/>
          <w:sz w:val="36"/>
          <w:szCs w:val="36"/>
        </w:rPr>
      </w:pPr>
      <w:r>
        <w:rPr>
          <w:rFonts w:hint="eastAsia" w:ascii="楷体" w:hAnsi="楷体" w:eastAsia="楷体"/>
          <w:b/>
          <w:sz w:val="36"/>
          <w:szCs w:val="36"/>
        </w:rPr>
        <w:t xml:space="preserve">陈景华老师                                                    </w:t>
      </w:r>
    </w:p>
    <w:p>
      <w:pPr>
        <w:widowControl/>
        <w:shd w:val="clear" w:color="auto" w:fill="FFFFFF"/>
        <w:jc w:val="left"/>
        <w:rPr>
          <w:rFonts w:ascii="黑体" w:hAnsi="黑体" w:eastAsia="黑体" w:cs="宋体"/>
          <w:color w:val="000000"/>
          <w:kern w:val="0"/>
          <w:sz w:val="24"/>
        </w:rPr>
      </w:pPr>
      <w:r>
        <w:rPr>
          <w:rFonts w:ascii="黑体" w:hAnsi="黑体" w:eastAsia="黑体" w:cs="宋体"/>
          <w:b/>
          <w:color w:val="000000"/>
          <w:kern w:val="0"/>
          <w:sz w:val="24"/>
        </w:rPr>
        <w:t xml:space="preserve">   </w:t>
      </w:r>
      <w:r>
        <w:drawing>
          <wp:inline distT="0" distB="0" distL="0" distR="0">
            <wp:extent cx="1501140" cy="1668780"/>
            <wp:effectExtent l="1905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srcRect/>
                    <a:stretch>
                      <a:fillRect/>
                    </a:stretch>
                  </pic:blipFill>
                  <pic:spPr>
                    <a:xfrm>
                      <a:off x="0" y="0"/>
                      <a:ext cx="1501140" cy="1668780"/>
                    </a:xfrm>
                    <a:prstGeom prst="rect">
                      <a:avLst/>
                    </a:prstGeom>
                    <a:noFill/>
                    <a:ln w="9525">
                      <a:noFill/>
                      <a:miter lim="800000"/>
                      <a:headEnd/>
                      <a:tailEnd/>
                    </a:ln>
                  </pic:spPr>
                </pic:pic>
              </a:graphicData>
            </a:graphic>
          </wp:inline>
        </w:drawing>
      </w:r>
      <w:r>
        <w:rPr>
          <w:rFonts w:ascii="黑体" w:hAnsi="黑体" w:eastAsia="黑体" w:cs="宋体"/>
          <w:b/>
          <w:color w:val="000000"/>
          <w:kern w:val="0"/>
          <w:sz w:val="24"/>
        </w:rPr>
        <w:t xml:space="preserve"> </w:t>
      </w:r>
      <w:r>
        <w:rPr>
          <w:rFonts w:hint="eastAsia" w:ascii="黑体" w:hAnsi="黑体" w:eastAsia="黑体" w:cs="宋体"/>
          <w:b/>
          <w:color w:val="000000"/>
          <w:kern w:val="0"/>
          <w:sz w:val="24"/>
        </w:rPr>
        <w:t xml:space="preserve"> </w:t>
      </w:r>
      <w:r>
        <w:rPr>
          <w:rFonts w:hint="eastAsia" w:ascii="黑体" w:hAnsi="黑体" w:eastAsia="黑体" w:cs="宋体"/>
          <w:color w:val="000000"/>
          <w:kern w:val="0"/>
          <w:sz w:val="24"/>
        </w:rPr>
        <w:t>生产管理与企业管理资深实务专家，拥有二十多年在世界</w:t>
      </w:r>
      <w:r>
        <w:rPr>
          <w:rFonts w:ascii="黑体" w:hAnsi="黑体" w:eastAsia="黑体" w:cs="宋体"/>
          <w:color w:val="000000"/>
          <w:kern w:val="0"/>
          <w:sz w:val="24"/>
        </w:rPr>
        <w:t>500</w:t>
      </w:r>
      <w:r>
        <w:rPr>
          <w:rFonts w:hint="eastAsia" w:ascii="黑体" w:hAnsi="黑体" w:eastAsia="黑体" w:cs="宋体"/>
          <w:color w:val="000000"/>
          <w:kern w:val="0"/>
          <w:sz w:val="24"/>
        </w:rPr>
        <w:t>强企业和管理咨询行业高层管理经验。</w:t>
      </w:r>
    </w:p>
    <w:p>
      <w:pPr>
        <w:widowControl/>
        <w:shd w:val="clear" w:color="auto" w:fill="FFFFFF"/>
        <w:spacing w:line="400" w:lineRule="exact"/>
        <w:ind w:firstLine="566" w:firstLineChars="236"/>
        <w:jc w:val="left"/>
        <w:rPr>
          <w:rFonts w:ascii="宋体" w:hAnsi="宋体" w:cs="宋体"/>
          <w:color w:val="000000"/>
          <w:kern w:val="0"/>
          <w:sz w:val="24"/>
        </w:rPr>
      </w:pPr>
      <w:r>
        <w:rPr>
          <w:rFonts w:hint="eastAsia" w:ascii="宋体" w:hAnsi="宋体" w:cs="宋体"/>
          <w:color w:val="000000"/>
          <w:kern w:val="0"/>
          <w:sz w:val="24"/>
        </w:rPr>
        <w:t>陈老师曾在大型港资上市公司蚬华电器集团、世界</w:t>
      </w:r>
      <w:r>
        <w:rPr>
          <w:rFonts w:ascii="宋体" w:hAnsi="宋体" w:cs="宋体"/>
          <w:color w:val="000000"/>
          <w:kern w:val="0"/>
          <w:sz w:val="24"/>
        </w:rPr>
        <w:t>500</w:t>
      </w:r>
      <w:r>
        <w:rPr>
          <w:rFonts w:hint="eastAsia" w:ascii="宋体" w:hAnsi="宋体" w:cs="宋体"/>
          <w:color w:val="000000"/>
          <w:kern w:val="0"/>
          <w:sz w:val="24"/>
        </w:rPr>
        <w:t>强美资家电企业惠而浦（</w:t>
      </w:r>
      <w:r>
        <w:rPr>
          <w:rFonts w:ascii="宋体" w:hAnsi="宋体" w:cs="宋体"/>
          <w:color w:val="000000"/>
          <w:kern w:val="0"/>
          <w:sz w:val="24"/>
        </w:rPr>
        <w:t>Whirlpool</w:t>
      </w:r>
      <w:r>
        <w:rPr>
          <w:rFonts w:hint="eastAsia" w:ascii="宋体" w:hAnsi="宋体" w:cs="宋体"/>
          <w:color w:val="000000"/>
          <w:kern w:val="0"/>
          <w:sz w:val="24"/>
        </w:rPr>
        <w:t>），著名跨国通讯公司诺基亚等公司任职，曾担任生产经理、品质经理、</w:t>
      </w:r>
      <w:r>
        <w:rPr>
          <w:rFonts w:ascii="宋体" w:hAnsi="宋体" w:cs="宋体"/>
          <w:color w:val="000000"/>
          <w:kern w:val="0"/>
          <w:sz w:val="24"/>
        </w:rPr>
        <w:t>PMC</w:t>
      </w:r>
      <w:r>
        <w:rPr>
          <w:rFonts w:hint="eastAsia" w:ascii="宋体" w:hAnsi="宋体" w:cs="宋体"/>
          <w:color w:val="000000"/>
          <w:kern w:val="0"/>
          <w:sz w:val="24"/>
        </w:rPr>
        <w:t>经理、</w:t>
      </w:r>
      <w:r>
        <w:rPr>
          <w:rFonts w:ascii="宋体" w:hAnsi="宋体" w:cs="宋体"/>
          <w:color w:val="000000"/>
          <w:kern w:val="0"/>
          <w:sz w:val="24"/>
        </w:rPr>
        <w:t>PE/IE</w:t>
      </w:r>
      <w:r>
        <w:rPr>
          <w:rFonts w:hint="eastAsia" w:ascii="宋体" w:hAnsi="宋体" w:cs="宋体"/>
          <w:color w:val="000000"/>
          <w:kern w:val="0"/>
          <w:sz w:val="24"/>
        </w:rPr>
        <w:t>经理、制造总监、公司厂长、副总、总经理等职务。</w:t>
      </w:r>
    </w:p>
    <w:p>
      <w:pPr>
        <w:widowControl/>
        <w:shd w:val="clear" w:color="auto" w:fill="FFFFFF"/>
        <w:spacing w:line="400" w:lineRule="exact"/>
        <w:ind w:firstLine="566" w:firstLineChars="236"/>
        <w:jc w:val="left"/>
        <w:rPr>
          <w:rFonts w:ascii="宋体" w:hAnsi="宋体" w:cs="宋体"/>
          <w:color w:val="000000"/>
          <w:kern w:val="0"/>
          <w:sz w:val="24"/>
        </w:rPr>
      </w:pPr>
      <w:r>
        <w:rPr>
          <w:rFonts w:hint="eastAsia" w:ascii="宋体" w:hAnsi="宋体" w:cs="宋体"/>
          <w:color w:val="000000"/>
          <w:kern w:val="0"/>
          <w:sz w:val="24"/>
        </w:rPr>
        <w:t>陈老师早在</w:t>
      </w:r>
      <w:r>
        <w:rPr>
          <w:rFonts w:ascii="宋体" w:hAnsi="宋体" w:cs="宋体"/>
          <w:color w:val="000000"/>
          <w:kern w:val="0"/>
          <w:sz w:val="24"/>
        </w:rPr>
        <w:t>92-2002</w:t>
      </w:r>
      <w:r>
        <w:rPr>
          <w:rFonts w:hint="eastAsia" w:ascii="宋体" w:hAnsi="宋体" w:cs="宋体"/>
          <w:color w:val="000000"/>
          <w:kern w:val="0"/>
          <w:sz w:val="24"/>
        </w:rPr>
        <w:t>年期间，曾多次委派到日本丰田、本田、松下、三菱、韩国三星、美国惠而浦、欧洲奔驰/宝马等企业考察学习和深造，回国后就在企业内部大力推行精益生产和</w:t>
      </w:r>
      <w:r>
        <w:rPr>
          <w:rFonts w:ascii="宋体" w:hAnsi="宋体" w:cs="宋体"/>
          <w:color w:val="000000"/>
          <w:kern w:val="0"/>
          <w:sz w:val="24"/>
        </w:rPr>
        <w:t>IE</w:t>
      </w:r>
      <w:r>
        <w:rPr>
          <w:rFonts w:hint="eastAsia" w:ascii="宋体" w:hAnsi="宋体" w:cs="宋体"/>
          <w:color w:val="000000"/>
          <w:kern w:val="0"/>
          <w:sz w:val="24"/>
        </w:rPr>
        <w:t>工程的运用，公司并由此获得巨大的成功。经过二十多年的实践、探索与研究，在精益生产、现场管理和企业精益运营方面，积累了丰富的经验和具有独到的见解。</w:t>
      </w:r>
      <w:r>
        <w:rPr>
          <w:rFonts w:ascii="宋体" w:hAnsi="宋体" w:cs="宋体"/>
          <w:color w:val="000000"/>
          <w:kern w:val="0"/>
          <w:sz w:val="24"/>
        </w:rPr>
        <w:t xml:space="preserve">    </w:t>
      </w:r>
    </w:p>
    <w:p>
      <w:pPr>
        <w:widowControl/>
        <w:shd w:val="clear" w:color="auto" w:fill="FFFFFF"/>
        <w:spacing w:line="400" w:lineRule="exact"/>
        <w:ind w:firstLine="690"/>
        <w:jc w:val="left"/>
        <w:rPr>
          <w:rFonts w:ascii="宋体" w:hAnsi="宋体" w:cs="宋体"/>
          <w:color w:val="000000"/>
          <w:kern w:val="0"/>
          <w:sz w:val="24"/>
        </w:rPr>
      </w:pPr>
    </w:p>
    <w:p>
      <w:pPr>
        <w:widowControl/>
        <w:shd w:val="clear" w:color="auto" w:fill="FFFFFF"/>
        <w:ind w:firstLine="567"/>
        <w:jc w:val="left"/>
        <w:rPr>
          <w:rFonts w:ascii="宋体" w:hAnsi="宋体" w:cs="宋体"/>
          <w:color w:val="000000"/>
          <w:kern w:val="0"/>
          <w:sz w:val="24"/>
          <w:szCs w:val="21"/>
          <w:lang w:eastAsia="ar-SA"/>
        </w:rPr>
      </w:pPr>
      <w:r>
        <w:rPr>
          <w:rFonts w:hint="eastAsia" w:ascii="宋体" w:hAnsi="宋体" w:cs="宋体"/>
          <w:color w:val="000000"/>
          <w:kern w:val="0"/>
          <w:sz w:val="24"/>
        </w:rPr>
        <w:t>陈老师现担任清华大学、北京大学、上海交大、厦门大学、中山大学、华南理工大学</w:t>
      </w:r>
      <w:r>
        <w:rPr>
          <w:rFonts w:ascii="宋体" w:hAnsi="宋体" w:cs="宋体"/>
          <w:color w:val="000000"/>
          <w:kern w:val="0"/>
          <w:sz w:val="24"/>
        </w:rPr>
        <w:t>MBA</w:t>
      </w:r>
      <w:r>
        <w:rPr>
          <w:rFonts w:hint="eastAsia" w:ascii="宋体" w:hAnsi="宋体" w:cs="宋体"/>
          <w:color w:val="000000"/>
          <w:kern w:val="0"/>
          <w:sz w:val="24"/>
        </w:rPr>
        <w:t>、</w:t>
      </w:r>
      <w:r>
        <w:rPr>
          <w:rFonts w:ascii="宋体" w:hAnsi="宋体" w:cs="宋体"/>
          <w:color w:val="000000"/>
          <w:kern w:val="0"/>
          <w:sz w:val="24"/>
        </w:rPr>
        <w:t>EMBA</w:t>
      </w:r>
      <w:r>
        <w:rPr>
          <w:rFonts w:hint="eastAsia" w:ascii="宋体" w:hAnsi="宋体" w:cs="宋体"/>
          <w:color w:val="000000"/>
          <w:kern w:val="0"/>
          <w:sz w:val="24"/>
        </w:rPr>
        <w:t>班特邀讲师</w:t>
      </w:r>
      <w:r>
        <w:rPr>
          <w:rFonts w:ascii="宋体" w:hAnsi="宋体" w:cs="宋体"/>
          <w:color w:val="000000"/>
          <w:kern w:val="0"/>
          <w:sz w:val="24"/>
        </w:rPr>
        <w:t>(</w:t>
      </w:r>
      <w:r>
        <w:rPr>
          <w:rFonts w:hint="eastAsia" w:ascii="宋体" w:hAnsi="宋体" w:cs="宋体"/>
          <w:color w:val="000000"/>
          <w:kern w:val="0"/>
          <w:sz w:val="24"/>
        </w:rPr>
        <w:t>主讲生产与企业精益运营管理</w:t>
      </w:r>
      <w:r>
        <w:rPr>
          <w:rFonts w:ascii="宋体" w:hAnsi="宋体" w:cs="宋体"/>
          <w:color w:val="000000"/>
          <w:kern w:val="0"/>
          <w:sz w:val="24"/>
        </w:rPr>
        <w:t>),</w:t>
      </w:r>
      <w:r>
        <w:rPr>
          <w:rFonts w:hint="eastAsia" w:ascii="宋体" w:hAnsi="宋体" w:cs="宋体"/>
          <w:color w:val="000000"/>
          <w:kern w:val="0"/>
          <w:sz w:val="24"/>
        </w:rPr>
        <w:t>广东省企业发展研究协会资深专家</w:t>
      </w:r>
      <w:r>
        <w:rPr>
          <w:rFonts w:ascii="宋体" w:cs="宋体"/>
          <w:color w:val="000000"/>
          <w:kern w:val="0"/>
          <w:sz w:val="24"/>
        </w:rPr>
        <w:t>,</w:t>
      </w:r>
      <w:r>
        <w:rPr>
          <w:rFonts w:hint="eastAsia" w:ascii="宋体" w:cs="宋体"/>
          <w:color w:val="000000"/>
          <w:kern w:val="0"/>
          <w:sz w:val="24"/>
          <w:szCs w:val="21"/>
        </w:rPr>
        <w:t xml:space="preserve"> 国内三十多家</w:t>
      </w:r>
      <w:r>
        <w:rPr>
          <w:rFonts w:ascii="宋体" w:cs="宋体"/>
          <w:color w:val="000000"/>
          <w:kern w:val="0"/>
          <w:sz w:val="24"/>
          <w:szCs w:val="21"/>
          <w:lang w:eastAsia="ar-SA"/>
        </w:rPr>
        <w:t>知名管理咨询</w:t>
      </w:r>
      <w:r>
        <w:rPr>
          <w:rFonts w:hint="eastAsia" w:ascii="宋体" w:cs="宋体"/>
          <w:color w:val="000000"/>
          <w:kern w:val="0"/>
          <w:sz w:val="24"/>
          <w:szCs w:val="21"/>
        </w:rPr>
        <w:t>公司</w:t>
      </w:r>
      <w:r>
        <w:rPr>
          <w:rFonts w:ascii="宋体" w:cs="宋体"/>
          <w:color w:val="000000"/>
          <w:kern w:val="0"/>
          <w:sz w:val="24"/>
          <w:szCs w:val="21"/>
          <w:lang w:eastAsia="ar-SA"/>
        </w:rPr>
        <w:t>特</w:t>
      </w:r>
      <w:r>
        <w:rPr>
          <w:rFonts w:hint="eastAsia" w:ascii="宋体" w:cs="宋体"/>
          <w:color w:val="000000"/>
          <w:kern w:val="0"/>
          <w:sz w:val="24"/>
          <w:szCs w:val="21"/>
        </w:rPr>
        <w:t>聘高级讲师与项目</w:t>
      </w:r>
      <w:r>
        <w:rPr>
          <w:rFonts w:ascii="宋体" w:cs="宋体"/>
          <w:color w:val="000000"/>
          <w:kern w:val="0"/>
          <w:sz w:val="24"/>
          <w:szCs w:val="21"/>
        </w:rPr>
        <w:t>咨询专家</w:t>
      </w:r>
      <w:r>
        <w:rPr>
          <w:rFonts w:hint="eastAsia" w:ascii="宋体" w:hAnsi="宋体" w:cs="宋体"/>
          <w:color w:val="000000"/>
          <w:kern w:val="0"/>
          <w:sz w:val="24"/>
          <w:szCs w:val="21"/>
          <w:lang w:eastAsia="ar-SA"/>
        </w:rPr>
        <w:t>、生产</w:t>
      </w:r>
      <w:r>
        <w:rPr>
          <w:rFonts w:hint="eastAsia" w:ascii="宋体" w:hAnsi="宋体" w:cs="宋体"/>
          <w:color w:val="000000"/>
          <w:kern w:val="0"/>
          <w:sz w:val="24"/>
          <w:szCs w:val="21"/>
        </w:rPr>
        <w:t>与品质</w:t>
      </w:r>
      <w:r>
        <w:rPr>
          <w:rFonts w:hint="eastAsia" w:ascii="宋体" w:hAnsi="宋体" w:cs="宋体"/>
          <w:color w:val="000000"/>
          <w:kern w:val="0"/>
          <w:sz w:val="24"/>
          <w:szCs w:val="21"/>
          <w:lang w:eastAsia="ar-SA"/>
        </w:rPr>
        <w:t>管理</w:t>
      </w:r>
      <w:r>
        <w:rPr>
          <w:rFonts w:hint="eastAsia" w:ascii="宋体" w:hAnsi="宋体" w:cs="宋体"/>
          <w:color w:val="000000"/>
          <w:kern w:val="0"/>
          <w:sz w:val="24"/>
          <w:szCs w:val="21"/>
        </w:rPr>
        <w:t>资深</w:t>
      </w:r>
      <w:r>
        <w:rPr>
          <w:rFonts w:hint="eastAsia" w:ascii="宋体" w:hAnsi="宋体" w:cs="宋体"/>
          <w:color w:val="000000"/>
          <w:kern w:val="0"/>
          <w:sz w:val="24"/>
          <w:szCs w:val="21"/>
          <w:lang w:eastAsia="ar-SA"/>
        </w:rPr>
        <w:t>顾问。</w:t>
      </w:r>
    </w:p>
    <w:p>
      <w:pPr>
        <w:widowControl/>
        <w:shd w:val="clear" w:color="auto" w:fill="FFFFFF"/>
        <w:spacing w:line="400" w:lineRule="exact"/>
        <w:ind w:firstLine="567"/>
        <w:jc w:val="left"/>
        <w:rPr>
          <w:rFonts w:ascii="宋体" w:hAnsi="宋体" w:cs="宋体"/>
          <w:color w:val="000000"/>
          <w:kern w:val="0"/>
          <w:sz w:val="24"/>
        </w:rPr>
      </w:pPr>
      <w:r>
        <w:rPr>
          <w:rFonts w:ascii="宋体" w:hAnsi="宋体" w:cs="宋体"/>
          <w:color w:val="000000"/>
          <w:kern w:val="0"/>
          <w:sz w:val="24"/>
        </w:rPr>
        <w:t xml:space="preserve">    </w:t>
      </w:r>
    </w:p>
    <w:p>
      <w:pPr>
        <w:widowControl/>
        <w:shd w:val="clear" w:color="auto" w:fill="FFFFFF"/>
        <w:suppressAutoHyphens/>
        <w:ind w:firstLine="567"/>
        <w:jc w:val="left"/>
        <w:rPr>
          <w:rFonts w:ascii="宋体" w:hAnsi="宋体" w:cs="宋体"/>
          <w:color w:val="000000"/>
          <w:kern w:val="0"/>
          <w:sz w:val="24"/>
          <w:szCs w:val="21"/>
          <w:lang w:eastAsia="ar-SA"/>
        </w:rPr>
      </w:pPr>
      <w:r>
        <w:rPr>
          <w:rFonts w:ascii="宋体" w:hAnsi="宋体" w:cs="宋体"/>
          <w:color w:val="000000"/>
          <w:kern w:val="0"/>
          <w:sz w:val="24"/>
          <w:szCs w:val="21"/>
          <w:lang w:eastAsia="ar-SA"/>
        </w:rPr>
        <w:t>200</w:t>
      </w:r>
      <w:r>
        <w:rPr>
          <w:rFonts w:hint="eastAsia" w:ascii="宋体" w:hAnsi="宋体" w:cs="宋体"/>
          <w:color w:val="000000"/>
          <w:kern w:val="0"/>
          <w:sz w:val="24"/>
          <w:szCs w:val="21"/>
        </w:rPr>
        <w:t>2</w:t>
      </w:r>
      <w:r>
        <w:rPr>
          <w:rFonts w:hint="eastAsia" w:ascii="宋体" w:hAnsi="宋体" w:cs="宋体"/>
          <w:color w:val="000000"/>
          <w:kern w:val="0"/>
          <w:sz w:val="24"/>
          <w:szCs w:val="21"/>
          <w:lang w:eastAsia="ar-SA"/>
        </w:rPr>
        <w:t>年至今陈老师为满足企业的实际需要，在全国各地成功举办了</w:t>
      </w:r>
      <w:r>
        <w:rPr>
          <w:rFonts w:ascii="宋体" w:hAnsi="宋体" w:cs="宋体"/>
          <w:color w:val="000000"/>
          <w:kern w:val="0"/>
          <w:sz w:val="24"/>
          <w:szCs w:val="21"/>
          <w:lang w:eastAsia="ar-SA"/>
        </w:rPr>
        <w:t>1000</w:t>
      </w:r>
      <w:r>
        <w:rPr>
          <w:rFonts w:hint="eastAsia" w:ascii="宋体" w:hAnsi="宋体" w:cs="宋体"/>
          <w:color w:val="000000"/>
          <w:kern w:val="0"/>
          <w:sz w:val="24"/>
          <w:szCs w:val="21"/>
          <w:lang w:eastAsia="ar-SA"/>
        </w:rPr>
        <w:t>多场讲座，授课人数达到十几万多人次，曾接受过培训的企业一万多家，并为近</w:t>
      </w:r>
      <w:r>
        <w:rPr>
          <w:rFonts w:ascii="宋体" w:hAnsi="宋体" w:cs="宋体"/>
          <w:color w:val="000000"/>
          <w:kern w:val="0"/>
          <w:sz w:val="24"/>
          <w:szCs w:val="21"/>
          <w:lang w:eastAsia="ar-SA"/>
        </w:rPr>
        <w:t>1000</w:t>
      </w:r>
      <w:r>
        <w:rPr>
          <w:rFonts w:hint="eastAsia" w:ascii="宋体" w:hAnsi="宋体" w:cs="宋体"/>
          <w:color w:val="000000"/>
          <w:kern w:val="0"/>
          <w:sz w:val="24"/>
          <w:szCs w:val="21"/>
          <w:lang w:eastAsia="ar-SA"/>
        </w:rPr>
        <w:t>家企业提供过企业内训和咨询</w:t>
      </w:r>
      <w:r>
        <w:rPr>
          <w:rFonts w:hint="eastAsia" w:ascii="宋体" w:hAnsi="宋体" w:cs="宋体"/>
          <w:color w:val="000000"/>
          <w:kern w:val="0"/>
          <w:sz w:val="24"/>
          <w:szCs w:val="21"/>
        </w:rPr>
        <w:t>项目</w:t>
      </w:r>
      <w:r>
        <w:rPr>
          <w:rFonts w:hint="eastAsia" w:ascii="宋体" w:hAnsi="宋体" w:cs="宋体"/>
          <w:color w:val="000000"/>
          <w:kern w:val="0"/>
          <w:sz w:val="24"/>
          <w:szCs w:val="21"/>
          <w:lang w:eastAsia="ar-SA"/>
        </w:rPr>
        <w:t>服务</w:t>
      </w:r>
      <w:r>
        <w:rPr>
          <w:rFonts w:ascii="宋体" w:hAnsi="宋体" w:cs="宋体"/>
          <w:color w:val="000000"/>
          <w:kern w:val="0"/>
          <w:sz w:val="24"/>
          <w:szCs w:val="21"/>
          <w:lang w:eastAsia="ar-SA"/>
        </w:rPr>
        <w:t xml:space="preserve">. </w:t>
      </w:r>
      <w:r>
        <w:rPr>
          <w:rFonts w:hint="eastAsia" w:ascii="宋体" w:hAnsi="宋体" w:cs="宋体"/>
          <w:color w:val="000000"/>
          <w:kern w:val="0"/>
          <w:sz w:val="24"/>
          <w:szCs w:val="21"/>
          <w:lang w:eastAsia="ar-SA"/>
        </w:rPr>
        <w:t>陈</w:t>
      </w:r>
      <w:r>
        <w:rPr>
          <w:rFonts w:hint="eastAsia" w:ascii="宋体" w:hAnsi="宋体" w:cs="宋体"/>
          <w:color w:val="000000"/>
          <w:kern w:val="0"/>
          <w:sz w:val="24"/>
          <w:szCs w:val="21"/>
        </w:rPr>
        <w:t>老师</w:t>
      </w:r>
      <w:r>
        <w:rPr>
          <w:rFonts w:hint="eastAsia" w:ascii="宋体" w:hAnsi="宋体" w:cs="宋体"/>
          <w:color w:val="000000"/>
          <w:kern w:val="0"/>
          <w:sz w:val="24"/>
          <w:szCs w:val="21"/>
          <w:lang w:eastAsia="ar-SA"/>
        </w:rPr>
        <w:t>实践经验丰富，讲授过程列举大量案例，特别强调实用性和可操作性，深受</w:t>
      </w:r>
      <w:r>
        <w:rPr>
          <w:rFonts w:hint="eastAsia" w:ascii="宋体" w:hAnsi="宋体" w:cs="宋体"/>
          <w:color w:val="000000"/>
          <w:kern w:val="0"/>
          <w:sz w:val="24"/>
          <w:szCs w:val="21"/>
        </w:rPr>
        <w:t>学</w:t>
      </w:r>
      <w:r>
        <w:rPr>
          <w:rFonts w:hint="eastAsia" w:ascii="宋体" w:hAnsi="宋体" w:cs="宋体"/>
          <w:color w:val="000000"/>
          <w:kern w:val="0"/>
          <w:sz w:val="24"/>
          <w:szCs w:val="21"/>
          <w:lang w:eastAsia="ar-SA"/>
        </w:rPr>
        <w:t>员的好评和尊敬。</w:t>
      </w:r>
    </w:p>
    <w:p>
      <w:pPr>
        <w:widowControl/>
        <w:suppressAutoHyphens/>
        <w:spacing w:line="360" w:lineRule="exact"/>
        <w:ind w:firstLine="480"/>
        <w:jc w:val="left"/>
        <w:textAlignment w:val="baseline"/>
        <w:rPr>
          <w:rFonts w:ascii="宋体" w:hAnsi="宋体"/>
          <w:color w:val="000000"/>
          <w:kern w:val="24"/>
          <w:sz w:val="24"/>
          <w:szCs w:val="24"/>
        </w:rPr>
      </w:pPr>
      <w:r>
        <w:rPr>
          <w:rFonts w:hint="eastAsia" w:ascii="黑体" w:hAnsi="黑体" w:eastAsia="黑体" w:cs="宋体"/>
          <w:color w:val="000000"/>
          <w:kern w:val="0"/>
          <w:sz w:val="24"/>
          <w:szCs w:val="21"/>
          <w:lang w:eastAsia="ar-SA"/>
        </w:rPr>
        <w:t>其中知名企业有：</w:t>
      </w:r>
      <w:r>
        <w:rPr>
          <w:rFonts w:hint="eastAsia" w:ascii="宋体" w:hAnsi="宋体"/>
          <w:color w:val="000000"/>
          <w:kern w:val="24"/>
          <w:sz w:val="24"/>
          <w:szCs w:val="24"/>
          <w:lang w:eastAsia="ar-SA"/>
        </w:rPr>
        <w:t>美的家电集团、深圳南太电子、汕头超声电子、东莞飞利浦、步步高视听电子、富士</w:t>
      </w:r>
      <w:r>
        <w:rPr>
          <w:rFonts w:hint="eastAsia" w:ascii="宋体" w:hAnsi="宋体"/>
          <w:color w:val="000000"/>
          <w:kern w:val="24"/>
          <w:sz w:val="24"/>
          <w:szCs w:val="24"/>
        </w:rPr>
        <w:t>康</w:t>
      </w:r>
      <w:r>
        <w:rPr>
          <w:rFonts w:hint="eastAsia" w:ascii="宋体" w:hAnsi="宋体"/>
          <w:color w:val="000000"/>
          <w:kern w:val="24"/>
          <w:sz w:val="24"/>
          <w:szCs w:val="24"/>
          <w:lang w:eastAsia="ar-SA"/>
        </w:rPr>
        <w:t>集团、</w:t>
      </w:r>
      <w:r>
        <w:rPr>
          <w:rFonts w:hint="eastAsia" w:ascii="宋体" w:hAnsi="宋体"/>
          <w:color w:val="000000"/>
          <w:kern w:val="24"/>
          <w:sz w:val="24"/>
          <w:szCs w:val="24"/>
        </w:rPr>
        <w:t>富</w:t>
      </w:r>
      <w:r>
        <w:rPr>
          <w:rFonts w:hint="eastAsia" w:ascii="宋体" w:hAnsi="宋体"/>
          <w:color w:val="000000"/>
          <w:kern w:val="24"/>
          <w:sz w:val="24"/>
          <w:szCs w:val="24"/>
          <w:lang w:eastAsia="ar-SA"/>
        </w:rPr>
        <w:t>港电子、深圳中兴康讯电子、 TCL集团、华阳多媒体、晶源电子、名幸电子、东海橡塑、礼兴塑胶、欧普照明、华裕灯饰、</w:t>
      </w:r>
      <w:r>
        <w:rPr>
          <w:rFonts w:hint="eastAsia" w:ascii="宋体" w:hAnsi="宋体"/>
          <w:color w:val="000000"/>
          <w:kern w:val="24"/>
          <w:sz w:val="24"/>
          <w:szCs w:val="24"/>
        </w:rPr>
        <w:t>雷</w:t>
      </w:r>
      <w:r>
        <w:rPr>
          <w:rFonts w:hint="eastAsia" w:ascii="宋体" w:hAnsi="宋体"/>
          <w:color w:val="000000"/>
          <w:kern w:val="24"/>
          <w:sz w:val="24"/>
          <w:szCs w:val="24"/>
          <w:lang w:eastAsia="ar-SA"/>
        </w:rPr>
        <w:t>士照明、</w:t>
      </w:r>
      <w:r>
        <w:rPr>
          <w:rFonts w:hint="eastAsia" w:ascii="宋体" w:hAnsi="宋体"/>
          <w:color w:val="000000"/>
          <w:kern w:val="24"/>
          <w:sz w:val="24"/>
          <w:szCs w:val="24"/>
        </w:rPr>
        <w:t>佛山照明、</w:t>
      </w:r>
      <w:r>
        <w:rPr>
          <w:rFonts w:hint="eastAsia" w:ascii="宋体" w:hAnsi="宋体"/>
          <w:color w:val="000000"/>
          <w:kern w:val="24"/>
          <w:sz w:val="24"/>
          <w:szCs w:val="24"/>
          <w:lang w:eastAsia="ar-SA"/>
        </w:rPr>
        <w:t>中山国际玩具、震德机械、世邦机械、</w:t>
      </w:r>
      <w:r>
        <w:rPr>
          <w:rFonts w:hint="eastAsia" w:ascii="宋体" w:hAnsi="宋体"/>
          <w:color w:val="000000"/>
          <w:kern w:val="24"/>
          <w:sz w:val="24"/>
          <w:szCs w:val="24"/>
        </w:rPr>
        <w:t>明毅电子机械、一汽锡柴发动机、</w:t>
      </w:r>
      <w:r>
        <w:rPr>
          <w:rFonts w:hint="eastAsia" w:ascii="宋体" w:hAnsi="宋体"/>
          <w:color w:val="000000"/>
          <w:kern w:val="24"/>
          <w:sz w:val="24"/>
          <w:szCs w:val="24"/>
          <w:lang w:eastAsia="ar-SA"/>
        </w:rPr>
        <w:t>坚士制锁、金达五金、台湾联众不锈钢、百斯盾服饰、</w:t>
      </w:r>
      <w:r>
        <w:rPr>
          <w:rFonts w:hint="eastAsia" w:ascii="宋体" w:hAnsi="宋体"/>
          <w:color w:val="000000"/>
          <w:kern w:val="24"/>
          <w:sz w:val="24"/>
          <w:szCs w:val="24"/>
        </w:rPr>
        <w:t>361服饰、报喜鸟服装、</w:t>
      </w:r>
      <w:r>
        <w:rPr>
          <w:rFonts w:hint="eastAsia" w:ascii="宋体" w:hAnsi="宋体"/>
          <w:color w:val="000000"/>
          <w:kern w:val="24"/>
          <w:sz w:val="24"/>
          <w:szCs w:val="24"/>
          <w:lang w:eastAsia="ar-SA"/>
        </w:rPr>
        <w:t>江苏红豆集团、红蜻蜓皮鞋、意尔康皮鞋、时代</w:t>
      </w:r>
      <w:r>
        <w:rPr>
          <w:rFonts w:hint="eastAsia" w:ascii="宋体" w:hAnsi="宋体"/>
          <w:color w:val="000000"/>
          <w:kern w:val="24"/>
          <w:sz w:val="24"/>
          <w:szCs w:val="24"/>
        </w:rPr>
        <w:t>皮具、</w:t>
      </w:r>
      <w:r>
        <w:rPr>
          <w:rFonts w:hint="eastAsia" w:ascii="宋体" w:hAnsi="宋体"/>
          <w:color w:val="000000"/>
          <w:kern w:val="24"/>
          <w:sz w:val="24"/>
          <w:szCs w:val="24"/>
          <w:lang w:eastAsia="ar-SA"/>
        </w:rPr>
        <w:t>姿彩手袋、励泰皮具、互太纺织、</w:t>
      </w:r>
      <w:r>
        <w:rPr>
          <w:rFonts w:hint="eastAsia" w:ascii="宋体" w:hAnsi="宋体"/>
          <w:color w:val="000000"/>
          <w:kern w:val="24"/>
          <w:sz w:val="24"/>
          <w:szCs w:val="24"/>
        </w:rPr>
        <w:t>敏兴毛织、</w:t>
      </w:r>
      <w:r>
        <w:rPr>
          <w:rFonts w:hint="eastAsia" w:ascii="宋体" w:hAnsi="宋体"/>
          <w:color w:val="000000"/>
          <w:kern w:val="24"/>
          <w:sz w:val="24"/>
          <w:szCs w:val="24"/>
          <w:lang w:eastAsia="ar-SA"/>
        </w:rPr>
        <w:t>陶氏化学、立白集团、曼秀雷敦、湖北丝宝集团、金海马家俱、吉盛韦邦、</w:t>
      </w:r>
      <w:r>
        <w:rPr>
          <w:rFonts w:hint="eastAsia" w:ascii="宋体" w:hAnsi="宋体"/>
          <w:color w:val="000000"/>
          <w:kern w:val="24"/>
          <w:sz w:val="24"/>
          <w:szCs w:val="24"/>
        </w:rPr>
        <w:t>联邦家具、迪沠家具、</w:t>
      </w:r>
      <w:r>
        <w:rPr>
          <w:rFonts w:hint="eastAsia" w:ascii="宋体" w:hAnsi="宋体"/>
          <w:color w:val="000000"/>
          <w:kern w:val="24"/>
          <w:sz w:val="24"/>
          <w:szCs w:val="24"/>
          <w:lang w:eastAsia="ar-SA"/>
        </w:rPr>
        <w:t>天王表业、格罗西表业、</w:t>
      </w:r>
      <w:r>
        <w:rPr>
          <w:rFonts w:hint="eastAsia" w:ascii="宋体" w:hAnsi="宋体"/>
          <w:color w:val="000000"/>
          <w:kern w:val="24"/>
          <w:sz w:val="24"/>
          <w:szCs w:val="24"/>
        </w:rPr>
        <w:t>周大福</w:t>
      </w:r>
      <w:r>
        <w:rPr>
          <w:rFonts w:hint="eastAsia" w:ascii="宋体" w:hAnsi="宋体"/>
          <w:color w:val="000000"/>
          <w:kern w:val="24"/>
          <w:sz w:val="24"/>
          <w:szCs w:val="24"/>
          <w:lang w:eastAsia="ar-SA"/>
        </w:rPr>
        <w:t>、蒂森电梯、奥迪斯电梯、</w:t>
      </w:r>
      <w:r>
        <w:rPr>
          <w:rFonts w:hint="eastAsia" w:ascii="宋体" w:hAnsi="宋体"/>
          <w:color w:val="000000"/>
          <w:kern w:val="24"/>
          <w:sz w:val="24"/>
          <w:szCs w:val="24"/>
        </w:rPr>
        <w:t>永洪印刷、虎彩印刷、新天伦印刷、</w:t>
      </w:r>
      <w:r>
        <w:rPr>
          <w:rFonts w:hint="eastAsia" w:ascii="宋体" w:hAnsi="宋体"/>
          <w:color w:val="000000"/>
          <w:kern w:val="24"/>
          <w:sz w:val="24"/>
          <w:szCs w:val="24"/>
          <w:lang w:eastAsia="ar-SA"/>
        </w:rPr>
        <w:t>华国光学、美</w:t>
      </w:r>
      <w:r>
        <w:rPr>
          <w:rFonts w:hint="eastAsia" w:ascii="宋体" w:hAnsi="宋体"/>
          <w:color w:val="000000"/>
          <w:kern w:val="24"/>
          <w:sz w:val="24"/>
          <w:szCs w:val="24"/>
        </w:rPr>
        <w:t>能达柯尼卡、</w:t>
      </w:r>
      <w:r>
        <w:rPr>
          <w:rFonts w:hint="eastAsia" w:ascii="宋体" w:hAnsi="宋体"/>
          <w:color w:val="000000"/>
          <w:kern w:val="24"/>
          <w:sz w:val="24"/>
          <w:szCs w:val="24"/>
          <w:lang w:eastAsia="ar-SA"/>
        </w:rPr>
        <w:t>大洋电机、万信集团、万宝井汽车零部件、德赛集团、珠海光联、厦华集团、西仪股份、中海油、西部矿业、统一企业、百事可乐、广西东亚糠业、台湾忆霖食品、广西柳工、云天化、瑞星化工、鲁西</w:t>
      </w:r>
      <w:r>
        <w:rPr>
          <w:rFonts w:hint="eastAsia" w:ascii="宋体" w:hAnsi="宋体"/>
          <w:color w:val="000000"/>
          <w:kern w:val="24"/>
          <w:sz w:val="24"/>
          <w:szCs w:val="24"/>
        </w:rPr>
        <w:t>化</w:t>
      </w:r>
      <w:r>
        <w:rPr>
          <w:rFonts w:hint="eastAsia" w:ascii="宋体" w:hAnsi="宋体"/>
          <w:color w:val="000000"/>
          <w:kern w:val="24"/>
          <w:sz w:val="24"/>
          <w:szCs w:val="24"/>
          <w:lang w:eastAsia="ar-SA"/>
        </w:rPr>
        <w:t>工、</w:t>
      </w:r>
      <w:r>
        <w:rPr>
          <w:rFonts w:hint="eastAsia" w:ascii="宋体" w:hAnsi="宋体"/>
          <w:color w:val="000000"/>
          <w:kern w:val="24"/>
          <w:sz w:val="24"/>
          <w:szCs w:val="24"/>
        </w:rPr>
        <w:t>深圳传媒集团、</w:t>
      </w:r>
      <w:r>
        <w:rPr>
          <w:rFonts w:hint="eastAsia" w:ascii="宋体" w:hAnsi="宋体"/>
          <w:color w:val="000000"/>
          <w:kern w:val="24"/>
          <w:sz w:val="24"/>
          <w:szCs w:val="24"/>
          <w:lang w:eastAsia="ar-SA"/>
        </w:rPr>
        <w:t>中电电力、北电通讯、</w:t>
      </w:r>
      <w:r>
        <w:rPr>
          <w:rFonts w:hint="eastAsia" w:ascii="宋体" w:hAnsi="宋体"/>
          <w:color w:val="000000"/>
          <w:kern w:val="24"/>
          <w:sz w:val="24"/>
          <w:szCs w:val="24"/>
        </w:rPr>
        <w:t>重庆电力、艾博电力设计院、</w:t>
      </w:r>
      <w:r>
        <w:rPr>
          <w:rFonts w:hint="eastAsia" w:ascii="宋体" w:hAnsi="宋体"/>
          <w:color w:val="000000"/>
          <w:kern w:val="24"/>
          <w:sz w:val="24"/>
          <w:szCs w:val="24"/>
          <w:lang w:eastAsia="ar-SA"/>
        </w:rPr>
        <w:t>中科院物理研究院等企业。</w:t>
      </w:r>
    </w:p>
    <w:p>
      <w:pPr>
        <w:widowControl/>
        <w:suppressAutoHyphens/>
        <w:spacing w:line="360" w:lineRule="exact"/>
        <w:ind w:firstLine="480"/>
        <w:jc w:val="left"/>
        <w:textAlignment w:val="baseline"/>
        <w:rPr>
          <w:rFonts w:ascii="黑体" w:hAnsi="黑体" w:eastAsia="黑体" w:cs="宋体"/>
          <w:color w:val="000000"/>
          <w:kern w:val="24"/>
          <w:sz w:val="24"/>
          <w:szCs w:val="24"/>
          <w:lang w:eastAsia="ar-SA"/>
        </w:rPr>
      </w:pPr>
      <w:r>
        <w:rPr>
          <w:rFonts w:hint="eastAsia" w:ascii="宋体" w:hAnsi="宋体" w:cs="宋体"/>
          <w:color w:val="000000"/>
          <w:kern w:val="24"/>
          <w:sz w:val="24"/>
          <w:szCs w:val="24"/>
          <w:lang w:eastAsia="ar-SA"/>
        </w:rPr>
        <w:t>陈老师是近年来在生产管理和企业管理方面极有影响力的实战派专家,陈老师将历时二十</w:t>
      </w:r>
      <w:r>
        <w:rPr>
          <w:rFonts w:hint="eastAsia" w:ascii="宋体" w:hAnsi="宋体" w:cs="宋体"/>
          <w:color w:val="000000"/>
          <w:kern w:val="24"/>
          <w:sz w:val="24"/>
          <w:szCs w:val="24"/>
        </w:rPr>
        <w:t>多</w:t>
      </w:r>
      <w:r>
        <w:rPr>
          <w:rFonts w:hint="eastAsia" w:ascii="宋体" w:hAnsi="宋体" w:cs="宋体"/>
          <w:color w:val="000000"/>
          <w:kern w:val="24"/>
          <w:sz w:val="24"/>
          <w:szCs w:val="24"/>
          <w:lang w:eastAsia="ar-SA"/>
        </w:rPr>
        <w:t>年积累起来丰富的生产制造与管理经验，进行浓缩升华,</w:t>
      </w:r>
      <w:r>
        <w:rPr>
          <w:rFonts w:hint="eastAsia" w:ascii="黑体" w:hAnsi="黑体" w:eastAsia="黑体" w:cs="宋体"/>
          <w:color w:val="000000"/>
          <w:kern w:val="24"/>
          <w:sz w:val="24"/>
          <w:szCs w:val="24"/>
          <w:lang w:eastAsia="ar-SA"/>
        </w:rPr>
        <w:t>先后出版</w:t>
      </w:r>
      <w:r>
        <w:rPr>
          <w:rFonts w:hint="eastAsia" w:ascii="黑体" w:hAnsi="黑体" w:eastAsia="黑体" w:cs="宋体"/>
          <w:b/>
          <w:bCs/>
          <w:color w:val="000000"/>
          <w:kern w:val="24"/>
          <w:sz w:val="24"/>
          <w:szCs w:val="24"/>
          <w:lang w:eastAsia="ar-SA"/>
        </w:rPr>
        <w:t>了：</w:t>
      </w:r>
      <w:r>
        <w:rPr>
          <w:rFonts w:hint="eastAsia" w:ascii="黑体" w:hAnsi="黑体" w:eastAsia="黑体" w:cs="宋体"/>
          <w:color w:val="000000"/>
          <w:kern w:val="24"/>
          <w:sz w:val="24"/>
          <w:szCs w:val="24"/>
          <w:lang w:eastAsia="ar-SA"/>
        </w:rPr>
        <w:t xml:space="preserve"> </w:t>
      </w:r>
    </w:p>
    <w:p>
      <w:pPr>
        <w:widowControl/>
        <w:shd w:val="clear" w:color="auto" w:fill="FFFFFF"/>
        <w:suppressAutoHyphens/>
        <w:ind w:left="563" w:leftChars="99" w:hanging="355" w:hangingChars="148"/>
        <w:jc w:val="left"/>
        <w:rPr>
          <w:rFonts w:ascii="宋体" w:hAnsi="宋体" w:cs="宋体"/>
          <w:color w:val="000000"/>
          <w:kern w:val="0"/>
          <w:sz w:val="24"/>
          <w:szCs w:val="21"/>
          <w:lang w:eastAsia="ar-SA"/>
        </w:rPr>
      </w:pPr>
      <w:r>
        <w:rPr>
          <w:rFonts w:ascii="宋体" w:hAnsi="宋体" w:cs="宋体"/>
          <w:color w:val="000000"/>
          <w:kern w:val="0"/>
          <w:sz w:val="24"/>
          <w:szCs w:val="21"/>
          <w:lang w:eastAsia="ar-SA"/>
        </w:rPr>
        <w:t>1</w:t>
      </w:r>
      <w:r>
        <w:rPr>
          <w:rFonts w:hint="eastAsia" w:ascii="宋体" w:hAnsi="宋体" w:cs="宋体"/>
          <w:color w:val="000000"/>
          <w:kern w:val="0"/>
          <w:sz w:val="24"/>
          <w:szCs w:val="21"/>
          <w:lang w:eastAsia="ar-SA"/>
        </w:rPr>
        <w:t>、《精益生产实战案例》、《</w:t>
      </w:r>
      <w:r>
        <w:rPr>
          <w:rFonts w:ascii="宋体" w:hAnsi="宋体" w:cs="宋体"/>
          <w:color w:val="000000"/>
          <w:kern w:val="0"/>
          <w:sz w:val="24"/>
          <w:szCs w:val="21"/>
          <w:lang w:eastAsia="ar-SA"/>
        </w:rPr>
        <w:t>IE</w:t>
      </w:r>
      <w:r>
        <w:rPr>
          <w:rFonts w:hint="eastAsia" w:ascii="宋体" w:hAnsi="宋体" w:cs="宋体"/>
          <w:color w:val="000000"/>
          <w:kern w:val="0"/>
          <w:sz w:val="24"/>
          <w:szCs w:val="21"/>
          <w:lang w:eastAsia="ar-SA"/>
        </w:rPr>
        <w:t>七种工具全面运用》、《卓越现场改善与成本控制》、《生产计划与物料控制》《</w:t>
      </w:r>
      <w:r>
        <w:rPr>
          <w:rFonts w:hint="eastAsia" w:ascii="宋体" w:hAnsi="宋体" w:cs="宋体"/>
          <w:color w:val="000000"/>
          <w:kern w:val="0"/>
          <w:sz w:val="24"/>
          <w:szCs w:val="21"/>
        </w:rPr>
        <w:t>全面质量</w:t>
      </w:r>
      <w:r>
        <w:rPr>
          <w:rFonts w:hint="eastAsia" w:ascii="宋体" w:hAnsi="宋体" w:cs="宋体"/>
          <w:color w:val="000000"/>
          <w:kern w:val="0"/>
          <w:sz w:val="24"/>
          <w:szCs w:val="21"/>
          <w:lang w:eastAsia="ar-SA"/>
        </w:rPr>
        <w:t>管理</w:t>
      </w:r>
      <w:r>
        <w:rPr>
          <w:rFonts w:hint="eastAsia" w:ascii="宋体" w:hAnsi="宋体" w:cs="宋体"/>
          <w:color w:val="000000"/>
          <w:kern w:val="0"/>
          <w:sz w:val="24"/>
          <w:szCs w:val="21"/>
        </w:rPr>
        <w:t>推行案例》</w:t>
      </w:r>
    </w:p>
    <w:p>
      <w:pPr>
        <w:widowControl/>
        <w:shd w:val="clear" w:color="auto" w:fill="FFFFFF"/>
        <w:suppressAutoHyphens/>
        <w:ind w:left="210" w:leftChars="100"/>
        <w:jc w:val="left"/>
        <w:rPr>
          <w:rFonts w:ascii="宋体" w:cs="宋体"/>
          <w:color w:val="000000"/>
          <w:kern w:val="0"/>
          <w:sz w:val="24"/>
          <w:szCs w:val="21"/>
          <w:lang w:eastAsia="ar-SA"/>
        </w:rPr>
      </w:pPr>
      <w:r>
        <w:rPr>
          <w:rFonts w:ascii="宋体" w:hAnsi="宋体" w:cs="宋体"/>
          <w:color w:val="000000"/>
          <w:kern w:val="0"/>
          <w:sz w:val="24"/>
          <w:szCs w:val="21"/>
          <w:lang w:eastAsia="ar-SA"/>
        </w:rPr>
        <w:t>2</w:t>
      </w:r>
      <w:r>
        <w:rPr>
          <w:rFonts w:hint="eastAsia" w:ascii="宋体" w:hAnsi="宋体" w:cs="宋体"/>
          <w:color w:val="000000"/>
          <w:kern w:val="0"/>
          <w:sz w:val="24"/>
          <w:szCs w:val="21"/>
          <w:lang w:eastAsia="ar-SA"/>
        </w:rPr>
        <w:t>、《中高层干部核心能力提升训练》、《打造优秀的一线主管》、《如何管理和引领新</w:t>
      </w:r>
    </w:p>
    <w:p>
      <w:pPr>
        <w:widowControl/>
        <w:shd w:val="clear" w:color="auto" w:fill="FFFFFF"/>
        <w:suppressAutoHyphens/>
        <w:ind w:left="210" w:leftChars="100"/>
        <w:jc w:val="left"/>
        <w:rPr>
          <w:rFonts w:ascii="宋体" w:cs="宋体"/>
          <w:color w:val="000000"/>
          <w:kern w:val="0"/>
          <w:sz w:val="24"/>
          <w:szCs w:val="21"/>
          <w:lang w:eastAsia="ar-SA"/>
        </w:rPr>
      </w:pPr>
      <w:r>
        <w:rPr>
          <w:rFonts w:ascii="宋体" w:hAnsi="宋体" w:cs="宋体"/>
          <w:color w:val="000000"/>
          <w:kern w:val="0"/>
          <w:sz w:val="24"/>
          <w:szCs w:val="21"/>
          <w:lang w:eastAsia="ar-SA"/>
        </w:rPr>
        <w:t xml:space="preserve">    </w:t>
      </w:r>
      <w:r>
        <w:rPr>
          <w:rFonts w:hint="eastAsia" w:ascii="宋体" w:hAnsi="宋体" w:cs="宋体"/>
          <w:color w:val="000000"/>
          <w:kern w:val="0"/>
          <w:sz w:val="24"/>
          <w:szCs w:val="21"/>
          <w:lang w:eastAsia="ar-SA"/>
        </w:rPr>
        <w:t>一代员工》《从技术走向管理的跨越》、</w:t>
      </w:r>
    </w:p>
    <w:p>
      <w:pPr>
        <w:widowControl/>
        <w:shd w:val="clear" w:color="auto" w:fill="FFFFFF"/>
        <w:suppressAutoHyphens/>
        <w:ind w:left="690" w:leftChars="100" w:hanging="480" w:hangingChars="200"/>
        <w:jc w:val="left"/>
        <w:rPr>
          <w:rFonts w:ascii="宋体" w:cs="宋体"/>
          <w:color w:val="000000"/>
          <w:kern w:val="0"/>
          <w:sz w:val="24"/>
          <w:szCs w:val="21"/>
          <w:lang w:eastAsia="ar-SA"/>
        </w:rPr>
      </w:pPr>
      <w:r>
        <w:rPr>
          <w:rFonts w:ascii="宋体" w:hAnsi="宋体" w:cs="宋体"/>
          <w:color w:val="000000"/>
          <w:kern w:val="0"/>
          <w:sz w:val="24"/>
          <w:szCs w:val="21"/>
          <w:lang w:eastAsia="ar-SA"/>
        </w:rPr>
        <w:t>3</w:t>
      </w:r>
      <w:r>
        <w:rPr>
          <w:rFonts w:hint="eastAsia" w:ascii="宋体" w:hAnsi="宋体" w:cs="宋体"/>
          <w:color w:val="000000"/>
          <w:kern w:val="0"/>
          <w:sz w:val="24"/>
          <w:szCs w:val="21"/>
          <w:lang w:eastAsia="ar-SA"/>
        </w:rPr>
        <w:t>、《成功管理与情境领导》、《企业运营的八大症结》、《策划、沟通与执行》等专著</w:t>
      </w:r>
      <w:r>
        <w:rPr>
          <w:rFonts w:hint="eastAsia" w:ascii="宋体" w:hAnsi="宋体" w:cs="宋体"/>
          <w:color w:val="000000"/>
          <w:kern w:val="0"/>
          <w:sz w:val="24"/>
          <w:szCs w:val="21"/>
        </w:rPr>
        <w:t>和光碟</w:t>
      </w:r>
      <w:r>
        <w:rPr>
          <w:rFonts w:ascii="宋体" w:cs="宋体"/>
          <w:color w:val="000000"/>
          <w:kern w:val="0"/>
          <w:sz w:val="24"/>
          <w:szCs w:val="21"/>
          <w:lang w:eastAsia="ar-SA"/>
        </w:rPr>
        <w:t>,</w:t>
      </w:r>
      <w:r>
        <w:rPr>
          <w:rFonts w:hint="eastAsia" w:ascii="宋体" w:hAnsi="宋体" w:cs="宋体"/>
          <w:color w:val="000000"/>
          <w:kern w:val="0"/>
          <w:sz w:val="24"/>
          <w:szCs w:val="21"/>
          <w:lang w:eastAsia="ar-SA"/>
        </w:rPr>
        <w:t>受到企业界的高度重视并给予了极高的评价。</w:t>
      </w:r>
    </w:p>
    <w:p>
      <w:pPr>
        <w:widowControl/>
        <w:shd w:val="clear" w:color="auto" w:fill="FFFFFF"/>
        <w:suppressAutoHyphens/>
        <w:ind w:left="1"/>
        <w:jc w:val="left"/>
        <w:rPr>
          <w:rFonts w:ascii="宋体" w:hAnsi="宋体" w:cs="宋体"/>
          <w:color w:val="000000"/>
          <w:kern w:val="0"/>
          <w:sz w:val="24"/>
          <w:szCs w:val="21"/>
          <w:lang w:eastAsia="ar-SA"/>
        </w:rPr>
      </w:pPr>
      <w:r>
        <w:rPr>
          <w:rFonts w:hint="eastAsia" w:ascii="华文琥珀" w:hAnsi="黑体" w:eastAsia="华文琥珀" w:cs="宋体"/>
          <w:color w:val="000000"/>
          <w:kern w:val="0"/>
          <w:sz w:val="24"/>
          <w:szCs w:val="21"/>
          <w:lang w:eastAsia="ar-SA"/>
        </w:rPr>
        <w:t>咨询项目经验</w:t>
      </w:r>
      <w:r>
        <w:rPr>
          <w:rFonts w:ascii="华文琥珀" w:hAnsi="黑体" w:eastAsia="华文琥珀" w:cs="宋体"/>
          <w:color w:val="000000"/>
          <w:kern w:val="0"/>
          <w:sz w:val="24"/>
          <w:szCs w:val="21"/>
          <w:lang w:eastAsia="ar-SA"/>
        </w:rPr>
        <w:t xml:space="preserve">: </w:t>
      </w:r>
    </w:p>
    <w:p>
      <w:pPr>
        <w:widowControl/>
        <w:shd w:val="clear" w:color="auto" w:fill="FFFFFF"/>
        <w:ind w:left="210" w:leftChars="100"/>
        <w:jc w:val="left"/>
        <w:rPr>
          <w:rFonts w:ascii="宋体" w:hAnsi="宋体" w:cs="宋体"/>
          <w:color w:val="FF0000"/>
          <w:kern w:val="0"/>
          <w:sz w:val="24"/>
        </w:rPr>
      </w:pPr>
      <w:r>
        <w:rPr>
          <w:rFonts w:hint="eastAsia" w:ascii="宋体" w:hAnsi="宋体" w:cs="宋体"/>
          <w:color w:val="000000"/>
          <w:kern w:val="0"/>
          <w:sz w:val="24"/>
          <w:szCs w:val="21"/>
          <w:lang w:eastAsia="ar-SA"/>
        </w:rPr>
        <w:t xml:space="preserve">      陈老师在从事企业管理咨询行业的</w:t>
      </w:r>
      <w:r>
        <w:rPr>
          <w:rFonts w:hint="eastAsia" w:ascii="宋体" w:hAnsi="宋体" w:cs="宋体"/>
          <w:color w:val="000000"/>
          <w:kern w:val="0"/>
          <w:sz w:val="24"/>
          <w:szCs w:val="21"/>
        </w:rPr>
        <w:t>十五</w:t>
      </w:r>
      <w:r>
        <w:rPr>
          <w:rFonts w:hint="eastAsia" w:ascii="宋体" w:hAnsi="宋体" w:cs="宋体"/>
          <w:color w:val="000000"/>
          <w:kern w:val="0"/>
          <w:sz w:val="24"/>
          <w:szCs w:val="21"/>
          <w:lang w:eastAsia="ar-SA"/>
        </w:rPr>
        <w:t>年中,曾为家电和电子企业、汽车</w:t>
      </w:r>
      <w:r>
        <w:rPr>
          <w:rFonts w:hint="eastAsia" w:ascii="宋体" w:hAnsi="宋体" w:cs="宋体"/>
          <w:color w:val="000000"/>
          <w:kern w:val="0"/>
          <w:sz w:val="24"/>
          <w:szCs w:val="21"/>
        </w:rPr>
        <w:t>和</w:t>
      </w:r>
      <w:r>
        <w:rPr>
          <w:rFonts w:hint="eastAsia" w:ascii="宋体" w:hAnsi="宋体" w:cs="宋体"/>
          <w:color w:val="000000"/>
          <w:kern w:val="0"/>
          <w:sz w:val="24"/>
          <w:szCs w:val="21"/>
          <w:lang w:eastAsia="ar-SA"/>
        </w:rPr>
        <w:t>零配件企业、五金制品企业、服装与鞋帽企业、玩具与塑胶企业、食品企业、化工企业、</w:t>
      </w:r>
      <w:r>
        <w:rPr>
          <w:rFonts w:hint="eastAsia" w:ascii="宋体" w:hAnsi="宋体" w:cs="宋体"/>
          <w:color w:val="000000"/>
          <w:kern w:val="0"/>
          <w:sz w:val="24"/>
          <w:szCs w:val="21"/>
        </w:rPr>
        <w:t>家具行业、</w:t>
      </w:r>
      <w:r>
        <w:rPr>
          <w:rFonts w:hint="eastAsia" w:ascii="宋体" w:hAnsi="宋体" w:cs="宋体"/>
          <w:color w:val="000000"/>
          <w:kern w:val="0"/>
          <w:sz w:val="24"/>
          <w:szCs w:val="21"/>
          <w:lang w:eastAsia="ar-SA"/>
        </w:rPr>
        <w:t>印刷企业、钢铁企业、IT企业等</w:t>
      </w:r>
      <w:r>
        <w:rPr>
          <w:rFonts w:hint="eastAsia" w:ascii="宋体" w:hAnsi="宋体" w:cs="宋体"/>
          <w:color w:val="000000"/>
          <w:kern w:val="0"/>
          <w:sz w:val="24"/>
          <w:szCs w:val="21"/>
        </w:rPr>
        <w:t>2</w:t>
      </w:r>
      <w:r>
        <w:rPr>
          <w:rFonts w:hint="eastAsia" w:ascii="宋体" w:hAnsi="宋体" w:cs="宋体"/>
          <w:color w:val="000000"/>
          <w:kern w:val="0"/>
          <w:sz w:val="24"/>
          <w:szCs w:val="21"/>
          <w:lang w:eastAsia="ar-SA"/>
        </w:rPr>
        <w:t>00多家企业提供过全程的咨询项目服务，均获得了良好的效果和得到企业的</w:t>
      </w:r>
      <w:r>
        <w:rPr>
          <w:rFonts w:hint="eastAsia" w:ascii="宋体" w:hAnsi="宋体" w:cs="宋体"/>
          <w:color w:val="000000"/>
          <w:kern w:val="0"/>
          <w:sz w:val="24"/>
          <w:szCs w:val="21"/>
        </w:rPr>
        <w:t>高度</w:t>
      </w:r>
      <w:r>
        <w:rPr>
          <w:rFonts w:hint="eastAsia" w:ascii="宋体" w:hAnsi="宋体" w:cs="宋体"/>
          <w:color w:val="000000"/>
          <w:kern w:val="0"/>
          <w:sz w:val="24"/>
          <w:szCs w:val="21"/>
          <w:lang w:eastAsia="ar-SA"/>
        </w:rPr>
        <w:t>认同</w:t>
      </w:r>
      <w:r>
        <w:rPr>
          <w:rFonts w:hint="eastAsia" w:ascii="宋体" w:hAnsi="宋体" w:cs="宋体"/>
          <w:color w:val="000000"/>
          <w:kern w:val="0"/>
          <w:sz w:val="24"/>
          <w:szCs w:val="21"/>
        </w:rPr>
        <w:t>。</w:t>
      </w:r>
      <w:r>
        <w:rPr>
          <w:rFonts w:hint="eastAsia" w:ascii="宋体" w:hAnsi="宋体" w:cs="宋体"/>
          <w:color w:val="FF0000"/>
          <w:kern w:val="0"/>
          <w:sz w:val="24"/>
        </w:rPr>
        <w:t>--------------------------------------------------------------------------------</w:t>
      </w:r>
    </w:p>
    <w:p>
      <w:pPr>
        <w:widowControl/>
        <w:shd w:val="clear" w:color="auto" w:fill="FFFFFF"/>
        <w:jc w:val="left"/>
        <w:rPr>
          <w:rFonts w:ascii="黑体" w:hAnsi="黑体" w:eastAsia="黑体" w:cs="宋体"/>
          <w:b/>
          <w:kern w:val="0"/>
          <w:sz w:val="30"/>
          <w:szCs w:val="30"/>
        </w:rPr>
      </w:pPr>
      <w:r>
        <w:rPr>
          <w:rFonts w:hint="eastAsia" w:ascii="黑体" w:hAnsi="黑体" w:eastAsia="黑体" w:cs="宋体"/>
          <w:b/>
          <w:kern w:val="0"/>
          <w:sz w:val="30"/>
          <w:szCs w:val="30"/>
        </w:rPr>
        <w:t>部分近期培训学习与参观图片</w:t>
      </w:r>
    </w:p>
    <w:tbl>
      <w:tblPr>
        <w:tblStyle w:val="9"/>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8"/>
        <w:gridCol w:w="4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7" w:hRule="atLeast"/>
        </w:trPr>
        <w:tc>
          <w:tcPr>
            <w:tcW w:w="5148" w:type="dxa"/>
          </w:tcPr>
          <w:p>
            <w:pPr>
              <w:rPr>
                <w:rFonts w:ascii="宋体" w:hAnsi="宋体"/>
                <w:b/>
                <w:sz w:val="24"/>
              </w:rPr>
            </w:pPr>
            <w:r>
              <w:rPr>
                <w:rFonts w:ascii="宋体" w:hAnsi="宋体"/>
                <w:b/>
                <w:sz w:val="24"/>
              </w:rPr>
              <w:drawing>
                <wp:inline distT="0" distB="0" distL="0" distR="0">
                  <wp:extent cx="3078480" cy="2598420"/>
                  <wp:effectExtent l="19050" t="0" r="7620" b="0"/>
                  <wp:docPr id="3" name="Picture 8" descr="C:\Users\TOSHIBA\Desktop\广本学习合影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C:\Users\TOSHIBA\Desktop\广本学习合影_副本.jpg"/>
                          <pic:cNvPicPr>
                            <a:picLocks noChangeAspect="1" noChangeArrowheads="1"/>
                          </pic:cNvPicPr>
                        </pic:nvPicPr>
                        <pic:blipFill>
                          <a:blip r:embed="rId6" cstate="print"/>
                          <a:srcRect/>
                          <a:stretch>
                            <a:fillRect/>
                          </a:stretch>
                        </pic:blipFill>
                        <pic:spPr>
                          <a:xfrm>
                            <a:off x="0" y="0"/>
                            <a:ext cx="3078480" cy="2598420"/>
                          </a:xfrm>
                          <a:prstGeom prst="rect">
                            <a:avLst/>
                          </a:prstGeom>
                          <a:noFill/>
                          <a:ln w="9525">
                            <a:noFill/>
                            <a:miter lim="800000"/>
                            <a:headEnd/>
                            <a:tailEnd/>
                          </a:ln>
                        </pic:spPr>
                      </pic:pic>
                    </a:graphicData>
                  </a:graphic>
                </wp:inline>
              </w:drawing>
            </w:r>
          </w:p>
        </w:tc>
        <w:tc>
          <w:tcPr>
            <w:tcW w:w="4932" w:type="dxa"/>
          </w:tcPr>
          <w:p>
            <w:pPr>
              <w:rPr>
                <w:rFonts w:ascii="宋体" w:hAnsi="宋体"/>
                <w:b/>
                <w:sz w:val="24"/>
              </w:rPr>
            </w:pPr>
            <w:r>
              <w:rPr>
                <w:rFonts w:ascii="宋体" w:hAnsi="宋体"/>
                <w:b/>
                <w:sz w:val="24"/>
              </w:rPr>
              <w:drawing>
                <wp:inline distT="0" distB="0" distL="0" distR="0">
                  <wp:extent cx="3070860" cy="2552700"/>
                  <wp:effectExtent l="19050" t="0" r="0"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noChangeArrowheads="1"/>
                          </pic:cNvPicPr>
                        </pic:nvPicPr>
                        <pic:blipFill>
                          <a:blip r:embed="rId7" cstate="print"/>
                          <a:srcRect r="9843"/>
                          <a:stretch>
                            <a:fillRect/>
                          </a:stretch>
                        </pic:blipFill>
                        <pic:spPr>
                          <a:xfrm>
                            <a:off x="0" y="0"/>
                            <a:ext cx="3070860" cy="25527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7" w:hRule="atLeast"/>
        </w:trPr>
        <w:tc>
          <w:tcPr>
            <w:tcW w:w="5148" w:type="dxa"/>
          </w:tcPr>
          <w:p>
            <w:pPr>
              <w:rPr>
                <w:rFonts w:ascii="宋体" w:hAnsi="宋体"/>
                <w:b/>
                <w:sz w:val="24"/>
              </w:rPr>
            </w:pPr>
            <w:r>
              <w:rPr>
                <w:rFonts w:ascii="宋体" w:hAnsi="宋体"/>
                <w:b/>
                <w:sz w:val="24"/>
              </w:rPr>
              <w:drawing>
                <wp:inline distT="0" distB="0" distL="0" distR="0">
                  <wp:extent cx="3063240" cy="2308860"/>
                  <wp:effectExtent l="19050" t="0" r="3810" b="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noChangeArrowheads="1"/>
                          </pic:cNvPicPr>
                        </pic:nvPicPr>
                        <pic:blipFill>
                          <a:blip r:embed="rId8" cstate="print"/>
                          <a:srcRect/>
                          <a:stretch>
                            <a:fillRect/>
                          </a:stretch>
                        </pic:blipFill>
                        <pic:spPr>
                          <a:xfrm>
                            <a:off x="0" y="0"/>
                            <a:ext cx="3063240" cy="2308860"/>
                          </a:xfrm>
                          <a:prstGeom prst="rect">
                            <a:avLst/>
                          </a:prstGeom>
                          <a:noFill/>
                          <a:ln w="9525">
                            <a:noFill/>
                            <a:miter lim="800000"/>
                            <a:headEnd/>
                            <a:tailEnd/>
                          </a:ln>
                        </pic:spPr>
                      </pic:pic>
                    </a:graphicData>
                  </a:graphic>
                </wp:inline>
              </w:drawing>
            </w:r>
          </w:p>
        </w:tc>
        <w:tc>
          <w:tcPr>
            <w:tcW w:w="4932" w:type="dxa"/>
          </w:tcPr>
          <w:p>
            <w:pPr>
              <w:rPr>
                <w:rFonts w:ascii="宋体" w:hAnsi="宋体"/>
                <w:b/>
                <w:sz w:val="24"/>
              </w:rPr>
            </w:pPr>
            <w:r>
              <w:rPr>
                <w:rFonts w:ascii="宋体" w:hAnsi="宋体"/>
                <w:b/>
                <w:sz w:val="24"/>
              </w:rPr>
              <w:drawing>
                <wp:inline distT="0" distB="0" distL="0" distR="0">
                  <wp:extent cx="3025140" cy="2263140"/>
                  <wp:effectExtent l="19050" t="0" r="3810" b="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noChangeArrowheads="1"/>
                          </pic:cNvPicPr>
                        </pic:nvPicPr>
                        <pic:blipFill>
                          <a:blip r:embed="rId9" cstate="print"/>
                          <a:srcRect/>
                          <a:stretch>
                            <a:fillRect/>
                          </a:stretch>
                        </pic:blipFill>
                        <pic:spPr>
                          <a:xfrm>
                            <a:off x="0" y="0"/>
                            <a:ext cx="3025140" cy="22631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7" w:hRule="atLeast"/>
        </w:trPr>
        <w:tc>
          <w:tcPr>
            <w:tcW w:w="5148" w:type="dxa"/>
          </w:tcPr>
          <w:p>
            <w:pPr>
              <w:rPr>
                <w:rFonts w:ascii="宋体" w:hAnsi="宋体"/>
                <w:b/>
                <w:sz w:val="24"/>
              </w:rPr>
            </w:pPr>
            <w:r>
              <w:rPr>
                <w:rFonts w:ascii="宋体" w:hAnsi="宋体"/>
                <w:b/>
                <w:sz w:val="24"/>
              </w:rPr>
              <w:drawing>
                <wp:inline distT="0" distB="0" distL="0" distR="0">
                  <wp:extent cx="3192780" cy="1935480"/>
                  <wp:effectExtent l="19050" t="0" r="7620" b="0"/>
                  <wp:docPr id="9" name="图片 9" descr="201305081635098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3050816350981941"/>
                          <pic:cNvPicPr>
                            <a:picLocks noChangeAspect="1" noChangeArrowheads="1"/>
                          </pic:cNvPicPr>
                        </pic:nvPicPr>
                        <pic:blipFill>
                          <a:blip r:embed="rId10" cstate="print"/>
                          <a:srcRect/>
                          <a:stretch>
                            <a:fillRect/>
                          </a:stretch>
                        </pic:blipFill>
                        <pic:spPr>
                          <a:xfrm>
                            <a:off x="0" y="0"/>
                            <a:ext cx="3192780" cy="1935480"/>
                          </a:xfrm>
                          <a:prstGeom prst="rect">
                            <a:avLst/>
                          </a:prstGeom>
                          <a:noFill/>
                          <a:ln w="9525">
                            <a:noFill/>
                            <a:miter lim="800000"/>
                            <a:headEnd/>
                            <a:tailEnd/>
                          </a:ln>
                        </pic:spPr>
                      </pic:pic>
                    </a:graphicData>
                  </a:graphic>
                </wp:inline>
              </w:drawing>
            </w:r>
          </w:p>
        </w:tc>
        <w:tc>
          <w:tcPr>
            <w:tcW w:w="4932" w:type="dxa"/>
          </w:tcPr>
          <w:p>
            <w:pPr>
              <w:rPr>
                <w:rFonts w:ascii="宋体" w:hAnsi="宋体"/>
                <w:b/>
                <w:sz w:val="24"/>
              </w:rPr>
            </w:pPr>
            <w:r>
              <w:rPr>
                <w:rFonts w:ascii="宋体" w:hAnsi="宋体"/>
                <w:b/>
                <w:sz w:val="24"/>
              </w:rPr>
              <w:drawing>
                <wp:inline distT="0" distB="0" distL="0" distR="0">
                  <wp:extent cx="3063240" cy="1965960"/>
                  <wp:effectExtent l="19050" t="0" r="3810" b="0"/>
                  <wp:docPr id="10" name="图片 10" descr="201305061340158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3050613401586685"/>
                          <pic:cNvPicPr>
                            <a:picLocks noChangeAspect="1" noChangeArrowheads="1"/>
                          </pic:cNvPicPr>
                        </pic:nvPicPr>
                        <pic:blipFill>
                          <a:blip r:embed="rId11" cstate="print"/>
                          <a:srcRect/>
                          <a:stretch>
                            <a:fillRect/>
                          </a:stretch>
                        </pic:blipFill>
                        <pic:spPr>
                          <a:xfrm>
                            <a:off x="0" y="0"/>
                            <a:ext cx="3063240" cy="19659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6" w:hRule="atLeast"/>
        </w:trPr>
        <w:tc>
          <w:tcPr>
            <w:tcW w:w="5148" w:type="dxa"/>
          </w:tcPr>
          <w:p>
            <w:pPr>
              <w:rPr>
                <w:rFonts w:ascii="宋体" w:hAnsi="宋体"/>
                <w:b/>
                <w:sz w:val="24"/>
              </w:rPr>
            </w:pPr>
            <w:r>
              <w:rPr>
                <w:rFonts w:hint="eastAsia" w:ascii="宋体" w:hAnsi="宋体"/>
                <w:b/>
                <w:sz w:val="24"/>
              </w:rPr>
              <w:drawing>
                <wp:inline distT="0" distB="0" distL="0" distR="0">
                  <wp:extent cx="3048000" cy="2286000"/>
                  <wp:effectExtent l="19050" t="0" r="0" b="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noChangeArrowheads="1"/>
                          </pic:cNvPicPr>
                        </pic:nvPicPr>
                        <pic:blipFill>
                          <a:blip r:embed="rId12" cstate="print"/>
                          <a:srcRect/>
                          <a:stretch>
                            <a:fillRect/>
                          </a:stretch>
                        </pic:blipFill>
                        <pic:spPr>
                          <a:xfrm>
                            <a:off x="0" y="0"/>
                            <a:ext cx="3048000" cy="2286000"/>
                          </a:xfrm>
                          <a:prstGeom prst="rect">
                            <a:avLst/>
                          </a:prstGeom>
                          <a:noFill/>
                          <a:ln w="9525">
                            <a:noFill/>
                            <a:miter lim="800000"/>
                            <a:headEnd/>
                            <a:tailEnd/>
                          </a:ln>
                        </pic:spPr>
                      </pic:pic>
                    </a:graphicData>
                  </a:graphic>
                </wp:inline>
              </w:drawing>
            </w:r>
          </w:p>
        </w:tc>
        <w:tc>
          <w:tcPr>
            <w:tcW w:w="4932" w:type="dxa"/>
          </w:tcPr>
          <w:p>
            <w:pPr>
              <w:rPr>
                <w:rFonts w:ascii="宋体" w:hAnsi="宋体"/>
                <w:b/>
                <w:sz w:val="24"/>
              </w:rPr>
            </w:pPr>
            <w:r>
              <w:rPr>
                <w:rFonts w:hint="eastAsia" w:ascii="宋体" w:hAnsi="宋体"/>
                <w:b/>
                <w:sz w:val="24"/>
              </w:rPr>
              <w:drawing>
                <wp:inline distT="0" distB="0" distL="0" distR="0">
                  <wp:extent cx="2994660" cy="2247900"/>
                  <wp:effectExtent l="19050" t="0" r="0" b="0"/>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noChangeArrowheads="1"/>
                          </pic:cNvPicPr>
                        </pic:nvPicPr>
                        <pic:blipFill>
                          <a:blip r:embed="rId13" cstate="print"/>
                          <a:srcRect/>
                          <a:stretch>
                            <a:fillRect/>
                          </a:stretch>
                        </pic:blipFill>
                        <pic:spPr>
                          <a:xfrm>
                            <a:off x="0" y="0"/>
                            <a:ext cx="2994660" cy="22479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4" w:hRule="atLeast"/>
        </w:trPr>
        <w:tc>
          <w:tcPr>
            <w:tcW w:w="5148" w:type="dxa"/>
          </w:tcPr>
          <w:p>
            <w:pPr>
              <w:rPr>
                <w:rFonts w:ascii="宋体" w:hAnsi="宋体"/>
                <w:b/>
                <w:sz w:val="24"/>
              </w:rPr>
            </w:pPr>
            <w:r>
              <w:rPr>
                <w:rFonts w:ascii="宋体" w:hAnsi="宋体"/>
                <w:b/>
                <w:sz w:val="24"/>
              </w:rPr>
              <w:drawing>
                <wp:inline distT="0" distB="0" distL="0" distR="0">
                  <wp:extent cx="3162935" cy="2095500"/>
                  <wp:effectExtent l="19050" t="0" r="0" b="0"/>
                  <wp:docPr id="303" name="图片 303" descr="F:\PHOTO TOTLE\开课图片\上传近期开课图片  2016 10 26\2\DSC_184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F:\PHOTO TOTLE\开课图片\上传近期开课图片  2016 10 26\2\DSC_1841_副本.jpg"/>
                          <pic:cNvPicPr>
                            <a:picLocks noChangeAspect="1" noChangeArrowheads="1"/>
                          </pic:cNvPicPr>
                        </pic:nvPicPr>
                        <pic:blipFill>
                          <a:blip r:embed="rId14" cstate="print"/>
                          <a:srcRect/>
                          <a:stretch>
                            <a:fillRect/>
                          </a:stretch>
                        </pic:blipFill>
                        <pic:spPr>
                          <a:xfrm>
                            <a:off x="0" y="0"/>
                            <a:ext cx="3163019" cy="2095500"/>
                          </a:xfrm>
                          <a:prstGeom prst="rect">
                            <a:avLst/>
                          </a:prstGeom>
                          <a:noFill/>
                          <a:ln w="9525">
                            <a:noFill/>
                            <a:miter lim="800000"/>
                            <a:headEnd/>
                            <a:tailEnd/>
                          </a:ln>
                        </pic:spPr>
                      </pic:pic>
                    </a:graphicData>
                  </a:graphic>
                </wp:inline>
              </w:drawing>
            </w:r>
          </w:p>
        </w:tc>
        <w:tc>
          <w:tcPr>
            <w:tcW w:w="4932" w:type="dxa"/>
          </w:tcPr>
          <w:p>
            <w:pPr>
              <w:rPr>
                <w:rFonts w:ascii="宋体" w:hAnsi="宋体"/>
                <w:b/>
                <w:sz w:val="24"/>
              </w:rPr>
            </w:pPr>
            <w:r>
              <w:rPr>
                <w:rFonts w:ascii="宋体" w:hAnsi="宋体"/>
                <w:b/>
                <w:sz w:val="24"/>
              </w:rPr>
              <w:drawing>
                <wp:inline distT="0" distB="0" distL="0" distR="0">
                  <wp:extent cx="3168650" cy="2034540"/>
                  <wp:effectExtent l="19050" t="0" r="0" b="0"/>
                  <wp:docPr id="304" name="图片 304" descr="F:\PHOTO TOTLE\开课图片\上传近期开课图片  2016 10 26\2\20160701_15172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F:\PHOTO TOTLE\开课图片\上传近期开课图片  2016 10 26\2\20160701_151726_副本.jpg"/>
                          <pic:cNvPicPr>
                            <a:picLocks noChangeAspect="1" noChangeArrowheads="1"/>
                          </pic:cNvPicPr>
                        </pic:nvPicPr>
                        <pic:blipFill>
                          <a:blip r:embed="rId15" cstate="print"/>
                          <a:srcRect/>
                          <a:stretch>
                            <a:fillRect/>
                          </a:stretch>
                        </pic:blipFill>
                        <pic:spPr>
                          <a:xfrm>
                            <a:off x="0" y="0"/>
                            <a:ext cx="3175652" cy="2038729"/>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6" w:hRule="atLeast"/>
        </w:trPr>
        <w:tc>
          <w:tcPr>
            <w:tcW w:w="5148" w:type="dxa"/>
          </w:tcPr>
          <w:p>
            <w:pPr>
              <w:rPr>
                <w:rFonts w:ascii="宋体" w:hAnsi="宋体"/>
                <w:b/>
                <w:sz w:val="24"/>
              </w:rPr>
            </w:pPr>
            <w:r>
              <w:rPr>
                <w:rFonts w:ascii="宋体" w:hAnsi="宋体"/>
                <w:b/>
                <w:sz w:val="24"/>
              </w:rPr>
              <w:drawing>
                <wp:inline distT="0" distB="0" distL="0" distR="0">
                  <wp:extent cx="3002280" cy="2247900"/>
                  <wp:effectExtent l="19050" t="0" r="7620" b="0"/>
                  <wp:docPr id="27" name="Picture 14" descr="C:\Users\TOSHIBA\Desktop\照片22 00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descr="C:\Users\TOSHIBA\Desktop\照片22 009_副本.jpg"/>
                          <pic:cNvPicPr>
                            <a:picLocks noChangeAspect="1" noChangeArrowheads="1"/>
                          </pic:cNvPicPr>
                        </pic:nvPicPr>
                        <pic:blipFill>
                          <a:blip r:embed="rId16" cstate="print"/>
                          <a:srcRect/>
                          <a:stretch>
                            <a:fillRect/>
                          </a:stretch>
                        </pic:blipFill>
                        <pic:spPr>
                          <a:xfrm>
                            <a:off x="0" y="0"/>
                            <a:ext cx="3002280" cy="2247900"/>
                          </a:xfrm>
                          <a:prstGeom prst="rect">
                            <a:avLst/>
                          </a:prstGeom>
                          <a:noFill/>
                          <a:ln w="9525">
                            <a:noFill/>
                            <a:miter lim="800000"/>
                            <a:headEnd/>
                            <a:tailEnd/>
                          </a:ln>
                        </pic:spPr>
                      </pic:pic>
                    </a:graphicData>
                  </a:graphic>
                </wp:inline>
              </w:drawing>
            </w:r>
          </w:p>
        </w:tc>
        <w:tc>
          <w:tcPr>
            <w:tcW w:w="4932" w:type="dxa"/>
          </w:tcPr>
          <w:p>
            <w:pPr>
              <w:rPr>
                <w:rFonts w:ascii="宋体" w:hAnsi="宋体"/>
                <w:b/>
                <w:sz w:val="24"/>
              </w:rPr>
            </w:pPr>
            <w:r>
              <w:rPr>
                <w:rFonts w:ascii="宋体" w:hAnsi="宋体"/>
                <w:b/>
                <w:sz w:val="24"/>
              </w:rPr>
              <w:drawing>
                <wp:inline distT="0" distB="0" distL="0" distR="0">
                  <wp:extent cx="3108960" cy="2331720"/>
                  <wp:effectExtent l="19050" t="0" r="0" b="0"/>
                  <wp:docPr id="28" name="Picture 11" descr="C:\Users\TOSHIBA\Desktop\照片22 02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descr="C:\Users\TOSHIBA\Desktop\照片22 020_副本.jpg"/>
                          <pic:cNvPicPr>
                            <a:picLocks noChangeAspect="1" noChangeArrowheads="1"/>
                          </pic:cNvPicPr>
                        </pic:nvPicPr>
                        <pic:blipFill>
                          <a:blip r:embed="rId17" cstate="print"/>
                          <a:srcRect/>
                          <a:stretch>
                            <a:fillRect/>
                          </a:stretch>
                        </pic:blipFill>
                        <pic:spPr>
                          <a:xfrm>
                            <a:off x="0" y="0"/>
                            <a:ext cx="3108960" cy="233172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6" w:hRule="atLeast"/>
        </w:trPr>
        <w:tc>
          <w:tcPr>
            <w:tcW w:w="5148" w:type="dxa"/>
          </w:tcPr>
          <w:p>
            <w:pPr>
              <w:rPr>
                <w:rFonts w:ascii="宋体" w:hAnsi="宋体"/>
                <w:b/>
                <w:sz w:val="24"/>
              </w:rPr>
            </w:pPr>
            <w:r>
              <w:rPr>
                <w:rFonts w:hint="eastAsia" w:ascii="宋体" w:hAnsi="宋体"/>
                <w:b/>
                <w:sz w:val="24"/>
              </w:rPr>
              <w:drawing>
                <wp:inline distT="0" distB="0" distL="0" distR="0">
                  <wp:extent cx="3086100" cy="2316480"/>
                  <wp:effectExtent l="19050" t="0" r="0" b="0"/>
                  <wp:docPr id="13" name="图片 13" descr="20120618_11223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20618_112239_副本"/>
                          <pic:cNvPicPr>
                            <a:picLocks noChangeAspect="1" noChangeArrowheads="1"/>
                          </pic:cNvPicPr>
                        </pic:nvPicPr>
                        <pic:blipFill>
                          <a:blip r:embed="rId18" cstate="print"/>
                          <a:srcRect/>
                          <a:stretch>
                            <a:fillRect/>
                          </a:stretch>
                        </pic:blipFill>
                        <pic:spPr>
                          <a:xfrm>
                            <a:off x="0" y="0"/>
                            <a:ext cx="3086100" cy="2316480"/>
                          </a:xfrm>
                          <a:prstGeom prst="rect">
                            <a:avLst/>
                          </a:prstGeom>
                          <a:noFill/>
                          <a:ln w="9525">
                            <a:noFill/>
                            <a:miter lim="800000"/>
                            <a:headEnd/>
                            <a:tailEnd/>
                          </a:ln>
                        </pic:spPr>
                      </pic:pic>
                    </a:graphicData>
                  </a:graphic>
                </wp:inline>
              </w:drawing>
            </w:r>
          </w:p>
        </w:tc>
        <w:tc>
          <w:tcPr>
            <w:tcW w:w="4932" w:type="dxa"/>
          </w:tcPr>
          <w:p>
            <w:pPr>
              <w:rPr>
                <w:rFonts w:ascii="宋体" w:hAnsi="宋体"/>
                <w:b/>
                <w:sz w:val="24"/>
              </w:rPr>
            </w:pPr>
            <w:r>
              <w:rPr>
                <w:rFonts w:hint="eastAsia" w:ascii="宋体" w:hAnsi="宋体"/>
                <w:b/>
                <w:sz w:val="24"/>
              </w:rPr>
              <w:drawing>
                <wp:inline distT="0" distB="0" distL="0" distR="0">
                  <wp:extent cx="2987040" cy="2240280"/>
                  <wp:effectExtent l="19050" t="0" r="3810" b="0"/>
                  <wp:docPr id="14" name="图片 14" descr="合影（时代皮具）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合影（时代皮具）_副本"/>
                          <pic:cNvPicPr>
                            <a:picLocks noChangeAspect="1" noChangeArrowheads="1"/>
                          </pic:cNvPicPr>
                        </pic:nvPicPr>
                        <pic:blipFill>
                          <a:blip r:embed="rId19" cstate="print"/>
                          <a:srcRect/>
                          <a:stretch>
                            <a:fillRect/>
                          </a:stretch>
                        </pic:blipFill>
                        <pic:spPr>
                          <a:xfrm>
                            <a:off x="0" y="0"/>
                            <a:ext cx="2987040" cy="2240280"/>
                          </a:xfrm>
                          <a:prstGeom prst="rect">
                            <a:avLst/>
                          </a:prstGeom>
                          <a:noFill/>
                          <a:ln w="9525">
                            <a:noFill/>
                            <a:miter lim="800000"/>
                            <a:headEnd/>
                            <a:tailEnd/>
                          </a:ln>
                        </pic:spPr>
                      </pic:pic>
                    </a:graphicData>
                  </a:graphic>
                </wp:inline>
              </w:drawing>
            </w:r>
          </w:p>
        </w:tc>
      </w:tr>
    </w:tbl>
    <w:p>
      <w:pPr>
        <w:widowControl/>
        <w:shd w:val="clear" w:color="auto" w:fill="FFFFFF"/>
        <w:ind w:left="210" w:leftChars="100"/>
        <w:jc w:val="left"/>
        <w:rPr>
          <w:rFonts w:ascii="华文新魏" w:hAnsi="宋体" w:eastAsia="华文新魏"/>
          <w:b/>
          <w:color w:val="FF0000"/>
          <w:sz w:val="28"/>
          <w:szCs w:val="28"/>
        </w:rPr>
      </w:pPr>
      <w:r>
        <w:rPr>
          <w:rFonts w:hint="eastAsia" w:ascii="华文新魏" w:hAnsi="宋体" w:eastAsia="华文新魏"/>
          <w:b/>
          <w:color w:val="FF0000"/>
          <w:sz w:val="28"/>
          <w:szCs w:val="28"/>
        </w:rPr>
        <w:t>＝＝＝＝＝＝＝＝＝＝＝＝＝＝＝＝＝＝＝＝＝＝＝＝＝＝＝＝＝＝</w:t>
      </w:r>
    </w:p>
    <w:p>
      <w:pPr>
        <w:spacing w:line="340" w:lineRule="exact"/>
        <w:ind w:firstLine="140" w:firstLineChars="58"/>
        <w:rPr>
          <w:rFonts w:asciiTheme="minorEastAsia" w:hAnsiTheme="minorEastAsia"/>
          <w:b/>
          <w:color w:val="FF0000"/>
          <w:sz w:val="24"/>
        </w:rPr>
      </w:pPr>
      <w:r>
        <w:rPr>
          <w:rFonts w:hint="eastAsia" w:asciiTheme="minorEastAsia" w:hAnsiTheme="minorEastAsia"/>
          <w:b/>
          <w:color w:val="FF0000"/>
          <w:sz w:val="24"/>
        </w:rPr>
        <w:t>报名咨询：</w:t>
      </w:r>
    </w:p>
    <w:p>
      <w:pPr>
        <w:pStyle w:val="13"/>
        <w:shd w:val="clear" w:color="auto" w:fill="FFFFFF"/>
        <w:spacing w:line="400" w:lineRule="exact"/>
        <w:ind w:left="-183" w:leftChars="-87" w:firstLine="241" w:firstLineChars="100"/>
        <w:rPr>
          <w:rFonts w:cs="宋体" w:asciiTheme="majorEastAsia" w:hAnsiTheme="majorEastAsia" w:eastAsiaTheme="majorEastAsia"/>
          <w:b/>
          <w:color w:val="333333"/>
          <w:kern w:val="0"/>
          <w:sz w:val="24"/>
          <w:szCs w:val="24"/>
        </w:rPr>
      </w:pPr>
      <w:r>
        <w:rPr>
          <w:rFonts w:hint="eastAsia" w:cs="宋体" w:asciiTheme="majorEastAsia" w:hAnsiTheme="majorEastAsia" w:eastAsiaTheme="majorEastAsia"/>
          <w:b/>
          <w:color w:val="333333"/>
          <w:kern w:val="0"/>
          <w:sz w:val="24"/>
          <w:szCs w:val="24"/>
        </w:rPr>
        <w:t xml:space="preserve">【主办单位】广州明睿企业管理咨询有限公司   </w:t>
      </w:r>
    </w:p>
    <w:p>
      <w:pPr>
        <w:pStyle w:val="13"/>
        <w:shd w:val="clear" w:color="auto" w:fill="FFFFFF"/>
        <w:spacing w:line="400" w:lineRule="exact"/>
        <w:ind w:left="-183" w:leftChars="-87" w:firstLine="241" w:firstLineChars="100"/>
        <w:rPr>
          <w:rFonts w:cs="宋体" w:asciiTheme="majorEastAsia" w:hAnsiTheme="majorEastAsia" w:eastAsiaTheme="majorEastAsia"/>
          <w:b/>
          <w:color w:val="333333"/>
          <w:kern w:val="0"/>
          <w:sz w:val="24"/>
          <w:szCs w:val="24"/>
        </w:rPr>
      </w:pPr>
      <w:r>
        <w:rPr>
          <w:rFonts w:hint="eastAsia" w:cs="宋体" w:asciiTheme="majorEastAsia" w:hAnsiTheme="majorEastAsia" w:eastAsiaTheme="majorEastAsia"/>
          <w:b/>
          <w:color w:val="333333"/>
          <w:kern w:val="0"/>
          <w:sz w:val="24"/>
          <w:szCs w:val="24"/>
        </w:rPr>
        <w:t>【培训报名中心】</w:t>
      </w:r>
    </w:p>
    <w:p>
      <w:pPr>
        <w:pStyle w:val="13"/>
        <w:shd w:val="clear" w:color="auto" w:fill="FFFFFF"/>
        <w:spacing w:line="400" w:lineRule="exact"/>
        <w:ind w:left="0" w:leftChars="0" w:firstLine="0" w:firstLineChars="0"/>
        <w:rPr>
          <w:rFonts w:hint="eastAsia" w:cs="宋体" w:asciiTheme="majorEastAsia" w:hAnsiTheme="majorEastAsia" w:eastAsiaTheme="majorEastAsia"/>
          <w:color w:val="333333"/>
          <w:kern w:val="0"/>
          <w:sz w:val="24"/>
          <w:szCs w:val="24"/>
          <w:lang w:val="en-US" w:eastAsia="zh-CN"/>
        </w:rPr>
      </w:pPr>
      <w:r>
        <w:rPr>
          <w:rFonts w:hint="eastAsia" w:cs="宋体" w:asciiTheme="majorEastAsia" w:hAnsiTheme="majorEastAsia" w:eastAsiaTheme="majorEastAsia"/>
          <w:color w:val="333333"/>
          <w:kern w:val="0"/>
          <w:sz w:val="24"/>
          <w:szCs w:val="24"/>
        </w:rPr>
        <w:t xml:space="preserve">【报名热线】 </w:t>
      </w:r>
      <w:r>
        <w:rPr>
          <w:rFonts w:hint="eastAsia" w:cs="宋体" w:asciiTheme="majorEastAsia" w:hAnsiTheme="majorEastAsia" w:eastAsiaTheme="majorEastAsia"/>
          <w:color w:val="333333"/>
          <w:kern w:val="0"/>
          <w:sz w:val="24"/>
          <w:szCs w:val="24"/>
          <w:lang w:val="en-US" w:eastAsia="zh-CN"/>
        </w:rPr>
        <w:t>400-086-8596</w:t>
      </w:r>
    </w:p>
    <w:p>
      <w:pPr>
        <w:pStyle w:val="13"/>
        <w:shd w:val="clear" w:color="auto" w:fill="FFFFFF"/>
        <w:spacing w:line="400" w:lineRule="exact"/>
        <w:ind w:left="-183" w:leftChars="-87" w:firstLine="240" w:firstLineChars="100"/>
        <w:rPr>
          <w:rFonts w:cs="宋体" w:asciiTheme="majorEastAsia" w:hAnsiTheme="majorEastAsia" w:eastAsiaTheme="majorEastAsia"/>
          <w:color w:val="333333"/>
          <w:kern w:val="0"/>
          <w:sz w:val="24"/>
          <w:szCs w:val="24"/>
        </w:rPr>
      </w:pPr>
      <w:r>
        <w:rPr>
          <w:rFonts w:hint="eastAsia" w:cs="宋体" w:asciiTheme="majorEastAsia" w:hAnsiTheme="majorEastAsia" w:eastAsiaTheme="majorEastAsia"/>
          <w:color w:val="333333"/>
          <w:kern w:val="0"/>
          <w:sz w:val="24"/>
          <w:szCs w:val="24"/>
        </w:rPr>
        <w:t>【标准费用】公开课程 5600元/二天/人（含学费、讲义、午餐、税费、茶点等）</w:t>
      </w:r>
    </w:p>
    <w:p>
      <w:pPr>
        <w:pStyle w:val="13"/>
        <w:shd w:val="clear" w:color="auto" w:fill="FFFFFF"/>
        <w:spacing w:line="400" w:lineRule="exact"/>
        <w:ind w:left="-183" w:leftChars="-87" w:firstLine="360" w:firstLineChars="150"/>
        <w:rPr>
          <w:rFonts w:cs="宋体" w:asciiTheme="majorEastAsia" w:hAnsiTheme="majorEastAsia" w:eastAsiaTheme="majorEastAsia"/>
          <w:color w:val="333333"/>
          <w:kern w:val="0"/>
          <w:sz w:val="24"/>
          <w:szCs w:val="24"/>
        </w:rPr>
      </w:pPr>
      <w:r>
        <w:rPr>
          <w:rFonts w:hint="eastAsia" w:cs="宋体" w:asciiTheme="majorEastAsia" w:hAnsiTheme="majorEastAsia" w:eastAsiaTheme="majorEastAsia"/>
          <w:color w:val="333333"/>
          <w:kern w:val="0"/>
          <w:sz w:val="24"/>
          <w:szCs w:val="24"/>
        </w:rPr>
        <w:t>备注：有需求的企业请来电咨询</w:t>
      </w:r>
      <w:bookmarkStart w:id="0" w:name="_GoBack"/>
      <w:bookmarkEnd w:id="0"/>
    </w:p>
    <w:p>
      <w:pPr>
        <w:pStyle w:val="13"/>
        <w:shd w:val="clear" w:color="auto" w:fill="FFFFFF"/>
        <w:spacing w:line="400" w:lineRule="exact"/>
        <w:ind w:left="-183" w:leftChars="-87" w:firstLine="360" w:firstLineChars="150"/>
        <w:rPr>
          <w:rFonts w:cs="宋体" w:asciiTheme="majorEastAsia" w:hAnsiTheme="majorEastAsia" w:eastAsiaTheme="majorEastAsia"/>
          <w:color w:val="333333"/>
          <w:kern w:val="0"/>
          <w:sz w:val="24"/>
          <w:szCs w:val="24"/>
        </w:rPr>
      </w:pPr>
      <w:r>
        <w:rPr>
          <w:rFonts w:hint="eastAsia" w:cs="宋体" w:asciiTheme="majorEastAsia" w:hAnsiTheme="majorEastAsia" w:eastAsiaTheme="majorEastAsia"/>
          <w:color w:val="333333"/>
          <w:kern w:val="0"/>
          <w:sz w:val="24"/>
          <w:szCs w:val="24"/>
        </w:rPr>
        <w:t>-----------------------------------------------------------------------------</w:t>
      </w:r>
    </w:p>
    <w:p>
      <w:pPr>
        <w:widowControl/>
        <w:shd w:val="clear" w:color="auto" w:fill="FFFFFF"/>
        <w:spacing w:line="400" w:lineRule="exact"/>
        <w:ind w:firstLine="723" w:firstLineChars="300"/>
        <w:jc w:val="left"/>
        <w:rPr>
          <w:rFonts w:cs="宋体" w:asciiTheme="majorEastAsia" w:hAnsiTheme="majorEastAsia" w:eastAsiaTheme="majorEastAsia"/>
          <w:b/>
          <w:color w:val="333333"/>
          <w:kern w:val="0"/>
          <w:sz w:val="24"/>
          <w:szCs w:val="24"/>
        </w:rPr>
      </w:pPr>
    </w:p>
    <w:tbl>
      <w:tblPr>
        <w:tblStyle w:val="9"/>
        <w:tblW w:w="10728" w:type="dxa"/>
        <w:jc w:val="center"/>
        <w:tblInd w:w="237"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8"/>
        <w:gridCol w:w="1610"/>
        <w:gridCol w:w="10"/>
        <w:gridCol w:w="180"/>
        <w:gridCol w:w="900"/>
        <w:gridCol w:w="580"/>
        <w:gridCol w:w="1930"/>
        <w:gridCol w:w="10"/>
        <w:gridCol w:w="720"/>
        <w:gridCol w:w="350"/>
        <w:gridCol w:w="3240"/>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89" w:hRule="exact"/>
          <w:jc w:val="center"/>
        </w:trPr>
        <w:tc>
          <w:tcPr>
            <w:tcW w:w="1198" w:type="dxa"/>
            <w:tcBorders>
              <w:top w:val="thinThickSmallGap" w:color="auto" w:sz="12" w:space="0"/>
            </w:tcBorders>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r>
              <w:rPr>
                <w:rFonts w:hint="eastAsia" w:ascii="微软雅黑" w:hAnsi="微软雅黑" w:eastAsia="微软雅黑"/>
                <w:szCs w:val="21"/>
              </w:rPr>
              <w:t>单位名称</w:t>
            </w:r>
          </w:p>
        </w:tc>
        <w:tc>
          <w:tcPr>
            <w:tcW w:w="9530" w:type="dxa"/>
            <w:gridSpan w:val="10"/>
            <w:tcBorders>
              <w:top w:val="thinThickSmallGap" w:color="auto" w:sz="12" w:space="0"/>
            </w:tcBorders>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80" w:hRule="exact"/>
          <w:jc w:val="center"/>
        </w:trPr>
        <w:tc>
          <w:tcPr>
            <w:tcW w:w="1198" w:type="dxa"/>
            <w:vAlign w:val="center"/>
          </w:tcPr>
          <w:p>
            <w:pPr>
              <w:spacing w:before="100" w:beforeAutospacing="1" w:after="100" w:afterAutospacing="1" w:line="280" w:lineRule="exact"/>
              <w:jc w:val="center"/>
              <w:rPr>
                <w:rFonts w:ascii="微软雅黑" w:hAnsi="微软雅黑" w:eastAsia="微软雅黑"/>
                <w:szCs w:val="21"/>
              </w:rPr>
            </w:pPr>
            <w:r>
              <w:rPr>
                <w:rStyle w:val="7"/>
                <w:rFonts w:hint="eastAsia" w:ascii="微软雅黑" w:hAnsi="微软雅黑" w:eastAsia="微软雅黑" w:cs="Arial"/>
                <w:b w:val="0"/>
                <w:bCs w:val="0"/>
                <w:szCs w:val="21"/>
              </w:rPr>
              <w:t>发票抬头</w:t>
            </w:r>
          </w:p>
        </w:tc>
        <w:tc>
          <w:tcPr>
            <w:tcW w:w="5940" w:type="dxa"/>
            <w:gridSpan w:val="8"/>
            <w:vAlign w:val="center"/>
          </w:tcPr>
          <w:p>
            <w:pPr>
              <w:spacing w:before="100" w:beforeAutospacing="1" w:after="100" w:afterAutospacing="1" w:line="280" w:lineRule="exact"/>
              <w:jc w:val="center"/>
              <w:rPr>
                <w:rFonts w:ascii="微软雅黑" w:hAnsi="微软雅黑" w:eastAsia="微软雅黑"/>
                <w:szCs w:val="21"/>
              </w:rPr>
            </w:pPr>
          </w:p>
        </w:tc>
        <w:tc>
          <w:tcPr>
            <w:tcW w:w="3590" w:type="dxa"/>
            <w:gridSpan w:val="2"/>
            <w:vAlign w:val="center"/>
          </w:tcPr>
          <w:p>
            <w:pPr>
              <w:spacing w:before="100" w:beforeAutospacing="1" w:after="100" w:afterAutospacing="1" w:line="280" w:lineRule="exact"/>
              <w:jc w:val="center"/>
              <w:rPr>
                <w:rFonts w:ascii="微软雅黑" w:hAnsi="微软雅黑" w:eastAsia="微软雅黑"/>
                <w:szCs w:val="21"/>
              </w:rPr>
            </w:pPr>
            <w:r>
              <w:rPr>
                <w:rStyle w:val="7"/>
                <w:rFonts w:hint="eastAsia" w:ascii="微软雅黑" w:hAnsi="微软雅黑" w:eastAsia="微软雅黑" w:cs="Arial"/>
                <w:b w:val="0"/>
                <w:bCs w:val="0"/>
                <w:szCs w:val="21"/>
              </w:rPr>
              <w:t>发票内容：</w:t>
            </w:r>
            <w:r>
              <w:rPr>
                <w:rFonts w:hint="eastAsia" w:ascii="微软雅黑" w:hAnsi="微软雅黑" w:eastAsia="微软雅黑"/>
                <w:bCs/>
                <w:szCs w:val="21"/>
              </w:rPr>
              <w:t>□</w:t>
            </w:r>
            <w:r>
              <w:rPr>
                <w:rFonts w:ascii="微软雅黑" w:hAnsi="微软雅黑" w:eastAsia="微软雅黑"/>
                <w:bCs/>
                <w:szCs w:val="21"/>
              </w:rPr>
              <w:t>1</w:t>
            </w:r>
            <w:r>
              <w:rPr>
                <w:rFonts w:hint="eastAsia" w:ascii="微软雅黑" w:hAnsi="微软雅黑" w:eastAsia="微软雅黑"/>
                <w:bCs/>
                <w:szCs w:val="21"/>
              </w:rPr>
              <w:t>、咨询费</w:t>
            </w:r>
            <w:r>
              <w:rPr>
                <w:rFonts w:ascii="微软雅黑" w:hAnsi="微软雅黑" w:eastAsia="微软雅黑"/>
                <w:bCs/>
                <w:szCs w:val="21"/>
              </w:rPr>
              <w:t xml:space="preserve"> </w:t>
            </w:r>
            <w:r>
              <w:rPr>
                <w:rFonts w:hint="eastAsia" w:ascii="微软雅黑" w:hAnsi="微软雅黑" w:eastAsia="微软雅黑"/>
                <w:bCs/>
                <w:szCs w:val="21"/>
              </w:rPr>
              <w:t>□</w:t>
            </w:r>
            <w:r>
              <w:rPr>
                <w:rFonts w:ascii="微软雅黑" w:hAnsi="微软雅黑" w:eastAsia="微软雅黑"/>
                <w:bCs/>
                <w:szCs w:val="21"/>
              </w:rPr>
              <w:t>2</w:t>
            </w:r>
            <w:r>
              <w:rPr>
                <w:rFonts w:hint="eastAsia" w:ascii="微软雅黑" w:hAnsi="微软雅黑" w:eastAsia="微软雅黑"/>
                <w:bCs/>
                <w:szCs w:val="21"/>
              </w:rPr>
              <w:t>、会务费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0" w:hRule="exact"/>
          <w:jc w:val="center"/>
        </w:trPr>
        <w:tc>
          <w:tcPr>
            <w:tcW w:w="1198" w:type="dxa"/>
            <w:vAlign w:val="center"/>
          </w:tcPr>
          <w:p>
            <w:pPr>
              <w:spacing w:before="100" w:beforeAutospacing="1" w:after="100" w:afterAutospacing="1" w:line="280" w:lineRule="exact"/>
              <w:jc w:val="center"/>
              <w:rPr>
                <w:rFonts w:ascii="微软雅黑" w:hAnsi="微软雅黑" w:eastAsia="微软雅黑"/>
                <w:bCs/>
                <w:szCs w:val="21"/>
              </w:rPr>
            </w:pPr>
            <w:r>
              <w:rPr>
                <w:rFonts w:hint="eastAsia" w:ascii="微软雅黑" w:hAnsi="微软雅黑" w:eastAsia="微软雅黑"/>
                <w:bCs/>
                <w:szCs w:val="21"/>
              </w:rPr>
              <w:t>公司地址</w:t>
            </w:r>
          </w:p>
        </w:tc>
        <w:tc>
          <w:tcPr>
            <w:tcW w:w="9530" w:type="dxa"/>
            <w:gridSpan w:val="10"/>
            <w:vAlign w:val="center"/>
          </w:tcPr>
          <w:p>
            <w:pPr>
              <w:spacing w:before="100" w:beforeAutospacing="1" w:after="100" w:afterAutospacing="1" w:line="280" w:lineRule="exact"/>
              <w:jc w:val="center"/>
              <w:rPr>
                <w:rFonts w:ascii="微软雅黑" w:hAnsi="微软雅黑" w:eastAsia="微软雅黑"/>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exact"/>
          <w:jc w:val="center"/>
        </w:trPr>
        <w:tc>
          <w:tcPr>
            <w:tcW w:w="1198" w:type="dxa"/>
            <w:vAlign w:val="center"/>
          </w:tcPr>
          <w:p>
            <w:pPr>
              <w:spacing w:before="100" w:beforeAutospacing="1" w:after="100" w:afterAutospacing="1" w:line="280" w:lineRule="exact"/>
              <w:jc w:val="center"/>
              <w:rPr>
                <w:rFonts w:ascii="微软雅黑" w:hAnsi="微软雅黑" w:eastAsia="微软雅黑"/>
                <w:szCs w:val="21"/>
              </w:rPr>
            </w:pPr>
            <w:r>
              <w:rPr>
                <w:rFonts w:hint="eastAsia" w:ascii="微软雅黑" w:hAnsi="微软雅黑" w:eastAsia="微软雅黑"/>
                <w:szCs w:val="21"/>
              </w:rPr>
              <w:t>联系人</w:t>
            </w:r>
          </w:p>
        </w:tc>
        <w:tc>
          <w:tcPr>
            <w:tcW w:w="1800" w:type="dxa"/>
            <w:gridSpan w:val="3"/>
            <w:vAlign w:val="center"/>
          </w:tcPr>
          <w:p>
            <w:pPr>
              <w:spacing w:before="100" w:beforeAutospacing="1" w:after="100" w:afterAutospacing="1" w:line="280" w:lineRule="exact"/>
              <w:jc w:val="center"/>
              <w:rPr>
                <w:rFonts w:ascii="微软雅黑" w:hAnsi="微软雅黑" w:eastAsia="微软雅黑"/>
                <w:szCs w:val="21"/>
              </w:rPr>
            </w:pPr>
          </w:p>
        </w:tc>
        <w:tc>
          <w:tcPr>
            <w:tcW w:w="900" w:type="dxa"/>
            <w:vAlign w:val="center"/>
          </w:tcPr>
          <w:p>
            <w:pPr>
              <w:spacing w:before="100" w:beforeAutospacing="1" w:after="100" w:afterAutospacing="1" w:line="280" w:lineRule="exact"/>
              <w:jc w:val="center"/>
              <w:rPr>
                <w:rFonts w:ascii="微软雅黑" w:hAnsi="微软雅黑" w:eastAsia="微软雅黑"/>
                <w:szCs w:val="21"/>
              </w:rPr>
            </w:pPr>
            <w:r>
              <w:rPr>
                <w:rFonts w:hint="eastAsia" w:ascii="微软雅黑" w:hAnsi="微软雅黑" w:eastAsia="微软雅黑"/>
                <w:szCs w:val="21"/>
              </w:rPr>
              <w:t>电话</w:t>
            </w:r>
          </w:p>
        </w:tc>
        <w:tc>
          <w:tcPr>
            <w:tcW w:w="2510" w:type="dxa"/>
            <w:gridSpan w:val="2"/>
            <w:vAlign w:val="center"/>
          </w:tcPr>
          <w:p>
            <w:pPr>
              <w:spacing w:before="100" w:beforeAutospacing="1" w:after="100" w:afterAutospacing="1" w:line="280" w:lineRule="exact"/>
              <w:jc w:val="center"/>
              <w:rPr>
                <w:rFonts w:ascii="微软雅黑" w:hAnsi="微软雅黑" w:eastAsia="微软雅黑"/>
                <w:bCs/>
                <w:szCs w:val="21"/>
              </w:rPr>
            </w:pPr>
          </w:p>
        </w:tc>
        <w:tc>
          <w:tcPr>
            <w:tcW w:w="1080" w:type="dxa"/>
            <w:gridSpan w:val="3"/>
            <w:vAlign w:val="center"/>
          </w:tcPr>
          <w:p>
            <w:pPr>
              <w:spacing w:before="100" w:beforeAutospacing="1" w:after="100" w:afterAutospacing="1" w:line="280" w:lineRule="exact"/>
              <w:jc w:val="center"/>
              <w:rPr>
                <w:rFonts w:ascii="微软雅黑" w:hAnsi="微软雅黑" w:eastAsia="微软雅黑"/>
                <w:szCs w:val="21"/>
              </w:rPr>
            </w:pPr>
            <w:r>
              <w:rPr>
                <w:rFonts w:hint="eastAsia" w:ascii="微软雅黑" w:hAnsi="微软雅黑" w:eastAsia="微软雅黑"/>
                <w:szCs w:val="21"/>
              </w:rPr>
              <w:t>手机</w:t>
            </w:r>
          </w:p>
        </w:tc>
        <w:tc>
          <w:tcPr>
            <w:tcW w:w="3240" w:type="dxa"/>
            <w:vAlign w:val="center"/>
          </w:tcPr>
          <w:p>
            <w:pPr>
              <w:spacing w:before="100" w:beforeAutospacing="1" w:after="100" w:afterAutospacing="1" w:line="280" w:lineRule="exact"/>
              <w:jc w:val="center"/>
              <w:rPr>
                <w:rFonts w:ascii="微软雅黑" w:hAnsi="微软雅黑" w:eastAsia="微软雅黑"/>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71" w:hRule="exact"/>
          <w:jc w:val="center"/>
        </w:trPr>
        <w:tc>
          <w:tcPr>
            <w:tcW w:w="1198" w:type="dxa"/>
            <w:vAlign w:val="center"/>
          </w:tcPr>
          <w:p>
            <w:pPr>
              <w:spacing w:before="100" w:beforeAutospacing="1" w:after="100" w:afterAutospacing="1" w:line="280" w:lineRule="exact"/>
              <w:jc w:val="center"/>
              <w:rPr>
                <w:rFonts w:ascii="微软雅黑" w:hAnsi="微软雅黑" w:eastAsia="微软雅黑"/>
                <w:szCs w:val="21"/>
              </w:rPr>
            </w:pPr>
            <w:r>
              <w:rPr>
                <w:rFonts w:hint="eastAsia" w:ascii="微软雅黑" w:hAnsi="微软雅黑" w:eastAsia="微软雅黑"/>
                <w:szCs w:val="21"/>
              </w:rPr>
              <w:t>职务</w:t>
            </w:r>
          </w:p>
        </w:tc>
        <w:tc>
          <w:tcPr>
            <w:tcW w:w="1800" w:type="dxa"/>
            <w:gridSpan w:val="3"/>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p>
        </w:tc>
        <w:tc>
          <w:tcPr>
            <w:tcW w:w="900" w:type="dxa"/>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r>
              <w:rPr>
                <w:rStyle w:val="7"/>
                <w:rFonts w:hint="eastAsia" w:ascii="微软雅黑" w:hAnsi="微软雅黑" w:eastAsia="微软雅黑" w:cs="Arial"/>
                <w:b w:val="0"/>
                <w:bCs w:val="0"/>
                <w:szCs w:val="21"/>
              </w:rPr>
              <w:t>传真</w:t>
            </w:r>
          </w:p>
        </w:tc>
        <w:tc>
          <w:tcPr>
            <w:tcW w:w="2510" w:type="dxa"/>
            <w:gridSpan w:val="2"/>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p>
        </w:tc>
        <w:tc>
          <w:tcPr>
            <w:tcW w:w="1080" w:type="dxa"/>
            <w:gridSpan w:val="3"/>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r>
              <w:rPr>
                <w:rStyle w:val="7"/>
                <w:rFonts w:ascii="微软雅黑" w:hAnsi="微软雅黑" w:eastAsia="微软雅黑" w:cs="Arial"/>
                <w:b w:val="0"/>
                <w:bCs w:val="0"/>
                <w:szCs w:val="21"/>
              </w:rPr>
              <w:t>E-mail</w:t>
            </w:r>
          </w:p>
        </w:tc>
        <w:tc>
          <w:tcPr>
            <w:tcW w:w="3240" w:type="dxa"/>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jc w:val="center"/>
        </w:trPr>
        <w:tc>
          <w:tcPr>
            <w:tcW w:w="2818" w:type="dxa"/>
            <w:gridSpan w:val="3"/>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r>
              <w:rPr>
                <w:rFonts w:hint="eastAsia" w:ascii="微软雅黑" w:hAnsi="微软雅黑" w:eastAsia="微软雅黑"/>
                <w:szCs w:val="21"/>
              </w:rPr>
              <w:t>参会人数：</w:t>
            </w:r>
            <w:r>
              <w:rPr>
                <w:rFonts w:ascii="微软雅黑" w:hAnsi="微软雅黑" w:eastAsia="微软雅黑"/>
                <w:szCs w:val="21"/>
                <w:u w:val="single"/>
              </w:rPr>
              <w:t>_    ___</w:t>
            </w:r>
            <w:r>
              <w:rPr>
                <w:rFonts w:ascii="微软雅黑" w:hAnsi="微软雅黑" w:eastAsia="微软雅黑"/>
                <w:szCs w:val="21"/>
              </w:rPr>
              <w:t>_</w:t>
            </w:r>
            <w:r>
              <w:rPr>
                <w:rFonts w:hint="eastAsia" w:ascii="微软雅黑" w:hAnsi="微软雅黑" w:eastAsia="微软雅黑"/>
                <w:szCs w:val="21"/>
              </w:rPr>
              <w:t>人</w:t>
            </w:r>
          </w:p>
        </w:tc>
        <w:tc>
          <w:tcPr>
            <w:tcW w:w="3600" w:type="dxa"/>
            <w:gridSpan w:val="5"/>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r>
              <w:rPr>
                <w:rFonts w:hint="eastAsia" w:ascii="微软雅黑" w:hAnsi="微软雅黑" w:eastAsia="微软雅黑"/>
                <w:szCs w:val="21"/>
              </w:rPr>
              <w:t>参会费用：</w:t>
            </w:r>
            <w:r>
              <w:rPr>
                <w:rFonts w:ascii="微软雅黑" w:hAnsi="微软雅黑" w:eastAsia="微软雅黑"/>
                <w:szCs w:val="21"/>
              </w:rPr>
              <w:t xml:space="preserve"> </w:t>
            </w:r>
            <w:r>
              <w:rPr>
                <w:rFonts w:ascii="微软雅黑" w:hAnsi="微软雅黑" w:eastAsia="微软雅黑"/>
                <w:szCs w:val="21"/>
                <w:u w:val="single"/>
              </w:rPr>
              <w:t>_      ___</w:t>
            </w:r>
            <w:r>
              <w:rPr>
                <w:rFonts w:ascii="微软雅黑" w:hAnsi="微软雅黑" w:eastAsia="微软雅黑"/>
                <w:szCs w:val="21"/>
              </w:rPr>
              <w:t>_</w:t>
            </w:r>
            <w:r>
              <w:rPr>
                <w:rFonts w:hint="eastAsia" w:ascii="微软雅黑" w:hAnsi="微软雅黑" w:eastAsia="微软雅黑"/>
                <w:szCs w:val="21"/>
              </w:rPr>
              <w:t>元</w:t>
            </w:r>
          </w:p>
        </w:tc>
        <w:tc>
          <w:tcPr>
            <w:tcW w:w="4310" w:type="dxa"/>
            <w:gridSpan w:val="3"/>
            <w:vAlign w:val="center"/>
          </w:tcPr>
          <w:p>
            <w:pPr>
              <w:spacing w:before="100" w:beforeAutospacing="1" w:after="100" w:afterAutospacing="1" w:line="280" w:lineRule="exact"/>
              <w:jc w:val="center"/>
              <w:rPr>
                <w:rStyle w:val="7"/>
                <w:rFonts w:ascii="微软雅黑" w:hAnsi="微软雅黑" w:eastAsia="微软雅黑" w:cs="Arial"/>
                <w:bCs w:val="0"/>
                <w:szCs w:val="21"/>
              </w:rPr>
            </w:pPr>
            <w:r>
              <w:rPr>
                <w:rFonts w:hint="eastAsia" w:ascii="微软雅黑" w:hAnsi="微软雅黑" w:eastAsia="微软雅黑"/>
                <w:bCs/>
                <w:szCs w:val="21"/>
              </w:rPr>
              <w:t>付款方式：□</w:t>
            </w:r>
            <w:r>
              <w:rPr>
                <w:rFonts w:ascii="微软雅黑" w:hAnsi="微软雅黑" w:eastAsia="微软雅黑"/>
                <w:bCs/>
                <w:szCs w:val="21"/>
              </w:rPr>
              <w:t>1</w:t>
            </w:r>
            <w:r>
              <w:rPr>
                <w:rFonts w:hint="eastAsia" w:ascii="微软雅黑" w:hAnsi="微软雅黑" w:eastAsia="微软雅黑"/>
                <w:bCs/>
                <w:szCs w:val="21"/>
              </w:rPr>
              <w:t>、现金</w:t>
            </w:r>
            <w:r>
              <w:rPr>
                <w:rFonts w:ascii="微软雅黑" w:hAnsi="微软雅黑" w:eastAsia="微软雅黑"/>
                <w:bCs/>
                <w:szCs w:val="21"/>
              </w:rPr>
              <w:t xml:space="preserve"> </w:t>
            </w:r>
            <w:r>
              <w:rPr>
                <w:rFonts w:hint="eastAsia" w:ascii="微软雅黑" w:hAnsi="微软雅黑" w:eastAsia="微软雅黑"/>
                <w:bCs/>
                <w:szCs w:val="21"/>
              </w:rPr>
              <w:t>□</w:t>
            </w:r>
            <w:r>
              <w:rPr>
                <w:rFonts w:ascii="微软雅黑" w:hAnsi="微软雅黑" w:eastAsia="微软雅黑"/>
                <w:bCs/>
                <w:szCs w:val="21"/>
              </w:rPr>
              <w:t>2</w:t>
            </w:r>
            <w:r>
              <w:rPr>
                <w:rFonts w:hint="eastAsia" w:ascii="微软雅黑" w:hAnsi="微软雅黑" w:eastAsia="微软雅黑"/>
                <w:bCs/>
                <w:szCs w:val="21"/>
              </w:rPr>
              <w:t>、支票</w:t>
            </w:r>
            <w:r>
              <w:rPr>
                <w:rFonts w:ascii="微软雅黑" w:hAnsi="微软雅黑" w:eastAsia="微软雅黑"/>
                <w:bCs/>
                <w:szCs w:val="21"/>
              </w:rPr>
              <w:t xml:space="preserve"> </w:t>
            </w:r>
            <w:r>
              <w:rPr>
                <w:rFonts w:hint="eastAsia" w:ascii="微软雅黑" w:hAnsi="微软雅黑" w:eastAsia="微软雅黑"/>
                <w:bCs/>
                <w:szCs w:val="21"/>
              </w:rPr>
              <w:t>□</w:t>
            </w:r>
            <w:r>
              <w:rPr>
                <w:rFonts w:ascii="微软雅黑" w:hAnsi="微软雅黑" w:eastAsia="微软雅黑"/>
                <w:bCs/>
                <w:szCs w:val="21"/>
              </w:rPr>
              <w:t>3</w:t>
            </w:r>
            <w:r>
              <w:rPr>
                <w:rFonts w:hint="eastAsia" w:ascii="微软雅黑" w:hAnsi="微软雅黑" w:eastAsia="微软雅黑"/>
                <w:bCs/>
                <w:szCs w:val="21"/>
              </w:rPr>
              <w:t>、转帐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02" w:hRule="exact"/>
          <w:jc w:val="center"/>
        </w:trPr>
        <w:tc>
          <w:tcPr>
            <w:tcW w:w="1198" w:type="dxa"/>
            <w:vMerge w:val="restart"/>
            <w:vAlign w:val="center"/>
          </w:tcPr>
          <w:p>
            <w:pPr>
              <w:spacing w:line="240" w:lineRule="exact"/>
              <w:jc w:val="center"/>
              <w:rPr>
                <w:rFonts w:ascii="微软雅黑" w:hAnsi="微软雅黑" w:eastAsia="微软雅黑"/>
                <w:szCs w:val="21"/>
              </w:rPr>
            </w:pPr>
            <w:r>
              <w:rPr>
                <w:rFonts w:ascii="微软雅黑" w:hAnsi="微软雅黑" w:eastAsia="微软雅黑"/>
                <w:szCs w:val="21"/>
              </w:rPr>
              <w:t xml:space="preserve"> </w:t>
            </w:r>
          </w:p>
          <w:p>
            <w:pPr>
              <w:spacing w:before="100" w:beforeAutospacing="1" w:after="100" w:afterAutospacing="1" w:line="280" w:lineRule="exact"/>
              <w:jc w:val="center"/>
              <w:rPr>
                <w:rFonts w:ascii="微软雅黑" w:hAnsi="微软雅黑" w:eastAsia="微软雅黑"/>
                <w:szCs w:val="21"/>
              </w:rPr>
            </w:pPr>
            <w:r>
              <w:rPr>
                <w:rFonts w:hint="eastAsia" w:ascii="微软雅黑" w:hAnsi="微软雅黑" w:eastAsia="微软雅黑"/>
                <w:szCs w:val="21"/>
              </w:rPr>
              <w:t>参加</w:t>
            </w:r>
          </w:p>
          <w:p>
            <w:pPr>
              <w:spacing w:before="100" w:beforeAutospacing="1" w:after="100" w:afterAutospacing="1" w:line="280" w:lineRule="exact"/>
              <w:jc w:val="center"/>
              <w:rPr>
                <w:rFonts w:ascii="微软雅黑" w:hAnsi="微软雅黑" w:eastAsia="微软雅黑"/>
                <w:szCs w:val="21"/>
              </w:rPr>
            </w:pPr>
            <w:r>
              <w:rPr>
                <w:rFonts w:hint="eastAsia" w:ascii="微软雅黑" w:hAnsi="微软雅黑" w:eastAsia="微软雅黑"/>
                <w:szCs w:val="21"/>
              </w:rPr>
              <w:t>学员</w:t>
            </w:r>
          </w:p>
          <w:p>
            <w:pPr>
              <w:spacing w:before="100" w:beforeAutospacing="1" w:after="100" w:afterAutospacing="1" w:line="280" w:lineRule="exact"/>
              <w:jc w:val="center"/>
              <w:rPr>
                <w:rFonts w:ascii="微软雅黑" w:hAnsi="微软雅黑" w:eastAsia="微软雅黑"/>
                <w:szCs w:val="21"/>
              </w:rPr>
            </w:pPr>
            <w:r>
              <w:rPr>
                <w:rFonts w:hint="eastAsia" w:ascii="微软雅黑" w:hAnsi="微软雅黑" w:eastAsia="微软雅黑"/>
                <w:szCs w:val="21"/>
              </w:rPr>
              <w:t>名单</w:t>
            </w:r>
          </w:p>
          <w:p>
            <w:pPr>
              <w:spacing w:before="100" w:beforeAutospacing="1" w:after="100" w:afterAutospacing="1" w:line="280" w:lineRule="exact"/>
              <w:rPr>
                <w:rFonts w:ascii="微软雅黑" w:hAnsi="微软雅黑" w:eastAsia="微软雅黑"/>
                <w:szCs w:val="21"/>
              </w:rPr>
            </w:pPr>
          </w:p>
          <w:p>
            <w:pPr>
              <w:spacing w:before="100" w:beforeAutospacing="1" w:after="100" w:afterAutospacing="1" w:line="280" w:lineRule="exact"/>
              <w:rPr>
                <w:rFonts w:ascii="微软雅黑" w:hAnsi="微软雅黑" w:eastAsia="微软雅黑"/>
                <w:szCs w:val="21"/>
              </w:rPr>
            </w:pPr>
          </w:p>
          <w:p>
            <w:pPr>
              <w:spacing w:before="100" w:beforeAutospacing="1" w:after="100" w:afterAutospacing="1" w:line="280" w:lineRule="exact"/>
              <w:rPr>
                <w:rFonts w:ascii="微软雅黑" w:hAnsi="微软雅黑" w:eastAsia="微软雅黑"/>
                <w:szCs w:val="21"/>
              </w:rPr>
            </w:pPr>
          </w:p>
        </w:tc>
        <w:tc>
          <w:tcPr>
            <w:tcW w:w="1610" w:type="dxa"/>
            <w:shd w:val="clear" w:color="auto" w:fill="E6E6E6"/>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r>
              <w:rPr>
                <w:rStyle w:val="7"/>
                <w:rFonts w:hint="eastAsia" w:ascii="微软雅黑" w:hAnsi="微软雅黑" w:eastAsia="微软雅黑" w:cs="Arial"/>
                <w:b w:val="0"/>
                <w:bCs w:val="0"/>
                <w:szCs w:val="21"/>
              </w:rPr>
              <w:t>姓名</w:t>
            </w:r>
          </w:p>
        </w:tc>
        <w:tc>
          <w:tcPr>
            <w:tcW w:w="1670" w:type="dxa"/>
            <w:gridSpan w:val="4"/>
            <w:shd w:val="clear" w:color="auto" w:fill="E6E6E6"/>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r>
              <w:rPr>
                <w:rStyle w:val="7"/>
                <w:rFonts w:hint="eastAsia" w:ascii="微软雅黑" w:hAnsi="微软雅黑" w:eastAsia="微软雅黑" w:cs="Arial"/>
                <w:b w:val="0"/>
                <w:bCs w:val="0"/>
                <w:szCs w:val="21"/>
              </w:rPr>
              <w:t>职务</w:t>
            </w:r>
          </w:p>
        </w:tc>
        <w:tc>
          <w:tcPr>
            <w:tcW w:w="1930" w:type="dxa"/>
            <w:shd w:val="clear" w:color="auto" w:fill="E6E6E6"/>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r>
              <w:rPr>
                <w:rStyle w:val="7"/>
                <w:rFonts w:hint="eastAsia" w:ascii="微软雅黑" w:hAnsi="微软雅黑" w:eastAsia="微软雅黑" w:cs="Arial"/>
                <w:b w:val="0"/>
                <w:bCs w:val="0"/>
                <w:szCs w:val="21"/>
              </w:rPr>
              <w:t>手</w:t>
            </w:r>
            <w:r>
              <w:rPr>
                <w:rStyle w:val="7"/>
                <w:rFonts w:ascii="微软雅黑" w:hAnsi="微软雅黑" w:eastAsia="微软雅黑" w:cs="Arial"/>
                <w:b w:val="0"/>
                <w:bCs w:val="0"/>
                <w:szCs w:val="21"/>
              </w:rPr>
              <w:t xml:space="preserve"> </w:t>
            </w:r>
            <w:r>
              <w:rPr>
                <w:rStyle w:val="7"/>
                <w:rFonts w:hint="eastAsia" w:ascii="微软雅黑" w:hAnsi="微软雅黑" w:eastAsia="微软雅黑" w:cs="Arial"/>
                <w:b w:val="0"/>
                <w:bCs w:val="0"/>
                <w:szCs w:val="21"/>
              </w:rPr>
              <w:t>机</w:t>
            </w:r>
          </w:p>
        </w:tc>
        <w:tc>
          <w:tcPr>
            <w:tcW w:w="4320" w:type="dxa"/>
            <w:gridSpan w:val="4"/>
            <w:shd w:val="clear" w:color="auto" w:fill="E6E6E6"/>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r>
              <w:rPr>
                <w:rStyle w:val="7"/>
                <w:rFonts w:ascii="微软雅黑" w:hAnsi="微软雅黑" w:eastAsia="微软雅黑" w:cs="Arial"/>
                <w:b w:val="0"/>
                <w:bCs w:val="0"/>
                <w:szCs w:val="21"/>
              </w:rPr>
              <w:t>E-mail</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jc w:val="center"/>
        </w:trPr>
        <w:tc>
          <w:tcPr>
            <w:tcW w:w="1198" w:type="dxa"/>
            <w:vMerge w:val="continue"/>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p>
        </w:tc>
        <w:tc>
          <w:tcPr>
            <w:tcW w:w="1610" w:type="dxa"/>
            <w:vAlign w:val="center"/>
          </w:tcPr>
          <w:p>
            <w:pPr>
              <w:spacing w:before="100" w:beforeAutospacing="1" w:after="100" w:afterAutospacing="1" w:line="280" w:lineRule="exact"/>
              <w:rPr>
                <w:rStyle w:val="7"/>
                <w:rFonts w:ascii="微软雅黑" w:hAnsi="微软雅黑" w:eastAsia="微软雅黑" w:cs="Arial"/>
                <w:b w:val="0"/>
                <w:bCs w:val="0"/>
                <w:szCs w:val="21"/>
              </w:rPr>
            </w:pPr>
          </w:p>
        </w:tc>
        <w:tc>
          <w:tcPr>
            <w:tcW w:w="1670" w:type="dxa"/>
            <w:gridSpan w:val="4"/>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p>
        </w:tc>
        <w:tc>
          <w:tcPr>
            <w:tcW w:w="1930" w:type="dxa"/>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p>
        </w:tc>
        <w:tc>
          <w:tcPr>
            <w:tcW w:w="4320" w:type="dxa"/>
            <w:gridSpan w:val="4"/>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jc w:val="center"/>
        </w:trPr>
        <w:tc>
          <w:tcPr>
            <w:tcW w:w="1198" w:type="dxa"/>
            <w:vMerge w:val="continue"/>
            <w:vAlign w:val="center"/>
          </w:tcPr>
          <w:p>
            <w:pPr>
              <w:spacing w:before="100" w:beforeAutospacing="1" w:after="100" w:afterAutospacing="1" w:line="280" w:lineRule="exact"/>
              <w:rPr>
                <w:rFonts w:ascii="微软雅黑" w:hAnsi="微软雅黑" w:eastAsia="微软雅黑"/>
                <w:szCs w:val="21"/>
              </w:rPr>
            </w:pPr>
          </w:p>
        </w:tc>
        <w:tc>
          <w:tcPr>
            <w:tcW w:w="1610" w:type="dxa"/>
            <w:vAlign w:val="center"/>
          </w:tcPr>
          <w:p>
            <w:pPr>
              <w:pStyle w:val="14"/>
              <w:spacing w:before="100" w:beforeAutospacing="1" w:after="100" w:afterAutospacing="1" w:line="280" w:lineRule="exact"/>
              <w:rPr>
                <w:rStyle w:val="7"/>
                <w:rFonts w:ascii="微软雅黑" w:hAnsi="微软雅黑" w:eastAsia="微软雅黑"/>
                <w:b w:val="0"/>
                <w:bCs w:val="0"/>
                <w:szCs w:val="21"/>
              </w:rPr>
            </w:pPr>
          </w:p>
        </w:tc>
        <w:tc>
          <w:tcPr>
            <w:tcW w:w="1670" w:type="dxa"/>
            <w:gridSpan w:val="4"/>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p>
        </w:tc>
        <w:tc>
          <w:tcPr>
            <w:tcW w:w="1930" w:type="dxa"/>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p>
        </w:tc>
        <w:tc>
          <w:tcPr>
            <w:tcW w:w="4320" w:type="dxa"/>
            <w:gridSpan w:val="4"/>
            <w:vAlign w:val="center"/>
          </w:tcPr>
          <w:p>
            <w:pPr>
              <w:spacing w:before="100" w:beforeAutospacing="1" w:after="100" w:afterAutospacing="1" w:line="280" w:lineRule="exact"/>
              <w:rPr>
                <w:rStyle w:val="7"/>
                <w:rFonts w:ascii="微软雅黑" w:hAnsi="微软雅黑" w:eastAsia="微软雅黑" w:cs="Arial"/>
                <w:b w:val="0"/>
                <w:bCs w:val="0"/>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jc w:val="center"/>
        </w:trPr>
        <w:tc>
          <w:tcPr>
            <w:tcW w:w="1198" w:type="dxa"/>
            <w:vMerge w:val="continue"/>
            <w:tcBorders>
              <w:bottom w:val="thickThinSmallGap" w:color="auto" w:sz="12" w:space="0"/>
            </w:tcBorders>
            <w:vAlign w:val="center"/>
          </w:tcPr>
          <w:p>
            <w:pPr>
              <w:spacing w:before="100" w:beforeAutospacing="1" w:after="100" w:afterAutospacing="1" w:line="280" w:lineRule="exact"/>
              <w:rPr>
                <w:rFonts w:ascii="微软雅黑" w:hAnsi="微软雅黑" w:eastAsia="微软雅黑"/>
                <w:szCs w:val="21"/>
              </w:rPr>
            </w:pPr>
          </w:p>
        </w:tc>
        <w:tc>
          <w:tcPr>
            <w:tcW w:w="1610" w:type="dxa"/>
            <w:tcBorders>
              <w:bottom w:val="thickThinSmallGap" w:color="auto" w:sz="12" w:space="0"/>
            </w:tcBorders>
            <w:vAlign w:val="center"/>
          </w:tcPr>
          <w:p>
            <w:pPr>
              <w:spacing w:before="100" w:beforeAutospacing="1" w:after="100" w:afterAutospacing="1" w:line="280" w:lineRule="exact"/>
              <w:rPr>
                <w:rStyle w:val="7"/>
                <w:rFonts w:ascii="微软雅黑" w:hAnsi="微软雅黑" w:eastAsia="微软雅黑" w:cs="Arial"/>
                <w:b w:val="0"/>
                <w:bCs w:val="0"/>
                <w:szCs w:val="21"/>
              </w:rPr>
            </w:pPr>
          </w:p>
        </w:tc>
        <w:tc>
          <w:tcPr>
            <w:tcW w:w="1670" w:type="dxa"/>
            <w:gridSpan w:val="4"/>
            <w:tcBorders>
              <w:bottom w:val="thickThinSmallGap" w:color="auto" w:sz="12" w:space="0"/>
            </w:tcBorders>
            <w:vAlign w:val="center"/>
          </w:tcPr>
          <w:p>
            <w:pPr>
              <w:spacing w:before="100" w:beforeAutospacing="1" w:after="100" w:afterAutospacing="1" w:line="280" w:lineRule="exact"/>
              <w:rPr>
                <w:rStyle w:val="7"/>
                <w:rFonts w:ascii="微软雅黑" w:hAnsi="微软雅黑" w:eastAsia="微软雅黑" w:cs="Arial"/>
                <w:b w:val="0"/>
                <w:bCs w:val="0"/>
                <w:szCs w:val="21"/>
              </w:rPr>
            </w:pPr>
          </w:p>
        </w:tc>
        <w:tc>
          <w:tcPr>
            <w:tcW w:w="1930" w:type="dxa"/>
            <w:tcBorders>
              <w:bottom w:val="thickThinSmallGap" w:color="auto" w:sz="12" w:space="0"/>
            </w:tcBorders>
            <w:vAlign w:val="center"/>
          </w:tcPr>
          <w:p>
            <w:pPr>
              <w:spacing w:before="100" w:beforeAutospacing="1" w:after="100" w:afterAutospacing="1" w:line="280" w:lineRule="exact"/>
              <w:jc w:val="center"/>
              <w:rPr>
                <w:rStyle w:val="7"/>
                <w:rFonts w:ascii="微软雅黑" w:hAnsi="微软雅黑" w:eastAsia="微软雅黑" w:cs="Arial"/>
                <w:b w:val="0"/>
                <w:bCs w:val="0"/>
                <w:szCs w:val="21"/>
              </w:rPr>
            </w:pPr>
          </w:p>
        </w:tc>
        <w:tc>
          <w:tcPr>
            <w:tcW w:w="4320" w:type="dxa"/>
            <w:gridSpan w:val="4"/>
            <w:tcBorders>
              <w:bottom w:val="thickThinSmallGap" w:color="auto" w:sz="12" w:space="0"/>
            </w:tcBorders>
            <w:vAlign w:val="center"/>
          </w:tcPr>
          <w:p>
            <w:pPr>
              <w:spacing w:before="100" w:beforeAutospacing="1" w:after="100" w:afterAutospacing="1" w:line="280" w:lineRule="exact"/>
              <w:rPr>
                <w:rStyle w:val="7"/>
                <w:rFonts w:ascii="微软雅黑" w:hAnsi="微软雅黑" w:eastAsia="微软雅黑" w:cs="Arial"/>
                <w:b w:val="0"/>
                <w:bCs w:val="0"/>
                <w:szCs w:val="21"/>
              </w:rPr>
            </w:pPr>
          </w:p>
        </w:tc>
      </w:tr>
    </w:tbl>
    <w:p>
      <w:pPr>
        <w:spacing w:line="340" w:lineRule="exact"/>
        <w:ind w:firstLine="140" w:firstLineChars="58"/>
        <w:rPr>
          <w:rFonts w:asciiTheme="minorEastAsia" w:hAnsiTheme="minorEastAsia"/>
          <w:b/>
          <w:color w:val="FF0000"/>
          <w:sz w:val="24"/>
        </w:rPr>
      </w:pPr>
    </w:p>
    <w:p>
      <w:pPr>
        <w:spacing w:line="340" w:lineRule="exact"/>
        <w:rPr>
          <w:rFonts w:asciiTheme="minorEastAsia" w:hAnsiTheme="minorEastAsia"/>
          <w:b/>
          <w:color w:val="FF0000"/>
          <w:sz w:val="24"/>
        </w:rPr>
      </w:pPr>
    </w:p>
    <w:p>
      <w:pPr>
        <w:spacing w:line="400" w:lineRule="exact"/>
        <w:rPr>
          <w:rFonts w:asciiTheme="majorEastAsia" w:hAnsiTheme="majorEastAsia" w:eastAsiaTheme="majorEastAsia"/>
          <w:sz w:val="24"/>
          <w:szCs w:val="24"/>
        </w:rPr>
      </w:pPr>
    </w:p>
    <w:p>
      <w:pPr>
        <w:spacing w:line="400" w:lineRule="exact"/>
        <w:ind w:firstLine="424" w:firstLineChars="177"/>
        <w:rPr>
          <w:rFonts w:asciiTheme="majorEastAsia" w:hAnsiTheme="majorEastAsia" w:eastAsiaTheme="majorEastAsia"/>
          <w:sz w:val="24"/>
          <w:szCs w:val="24"/>
        </w:rPr>
      </w:pPr>
    </w:p>
    <w:sectPr>
      <w:pgSz w:w="11906" w:h="16838"/>
      <w:pgMar w:top="993" w:right="991" w:bottom="993" w:left="99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琥珀">
    <w:altName w:val="微软雅黑"/>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华文新魏">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37F48"/>
    <w:multiLevelType w:val="multilevel"/>
    <w:tmpl w:val="09E37F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AAF7CF6"/>
    <w:multiLevelType w:val="multilevel"/>
    <w:tmpl w:val="0AAF7CF6"/>
    <w:lvl w:ilvl="0" w:tentative="0">
      <w:start w:val="1"/>
      <w:numFmt w:val="decimal"/>
      <w:lvlText w:val="%1、"/>
      <w:lvlJc w:val="left"/>
      <w:pPr>
        <w:ind w:left="1142" w:hanging="72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0C4A2A91"/>
    <w:multiLevelType w:val="multilevel"/>
    <w:tmpl w:val="0C4A2A91"/>
    <w:lvl w:ilvl="0" w:tentative="0">
      <w:start w:val="2"/>
      <w:numFmt w:val="japaneseCounting"/>
      <w:lvlText w:val="%1、"/>
      <w:lvlJc w:val="left"/>
      <w:pPr>
        <w:ind w:left="720" w:hanging="720"/>
      </w:pPr>
      <w:rPr>
        <w:rFonts w:hint="default" w:hAnsi="楷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101645B"/>
    <w:multiLevelType w:val="multilevel"/>
    <w:tmpl w:val="2101645B"/>
    <w:lvl w:ilvl="0" w:tentative="0">
      <w:start w:val="1"/>
      <w:numFmt w:val="japaneseCounting"/>
      <w:lvlText w:val="第%1节、"/>
      <w:lvlJc w:val="left"/>
      <w:pPr>
        <w:ind w:left="643" w:hanging="360"/>
      </w:pPr>
      <w:rPr>
        <w:rFonts w:asciiTheme="minorEastAsia" w:hAnsiTheme="minorEastAsia" w:eastAsiaTheme="minorEastAsia" w:cstheme="minorBidi"/>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4">
    <w:nsid w:val="66D42B51"/>
    <w:multiLevelType w:val="multilevel"/>
    <w:tmpl w:val="66D42B51"/>
    <w:lvl w:ilvl="0" w:tentative="0">
      <w:start w:val="1"/>
      <w:numFmt w:val="decimal"/>
      <w:lvlText w:val="%1、"/>
      <w:lvlJc w:val="left"/>
      <w:pPr>
        <w:ind w:left="643" w:hanging="360"/>
      </w:pPr>
      <w:rPr>
        <w:rFonts w:hint="default"/>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C6AD3"/>
    <w:rsid w:val="0000159B"/>
    <w:rsid w:val="00003101"/>
    <w:rsid w:val="00004BCC"/>
    <w:rsid w:val="0000701D"/>
    <w:rsid w:val="00011BD4"/>
    <w:rsid w:val="00012484"/>
    <w:rsid w:val="00022F5D"/>
    <w:rsid w:val="00024870"/>
    <w:rsid w:val="0002794D"/>
    <w:rsid w:val="00034E1E"/>
    <w:rsid w:val="00037F23"/>
    <w:rsid w:val="00042348"/>
    <w:rsid w:val="00043674"/>
    <w:rsid w:val="00045DA3"/>
    <w:rsid w:val="00054925"/>
    <w:rsid w:val="000626DD"/>
    <w:rsid w:val="0007009C"/>
    <w:rsid w:val="000714D7"/>
    <w:rsid w:val="00084404"/>
    <w:rsid w:val="00090512"/>
    <w:rsid w:val="00091F4B"/>
    <w:rsid w:val="00097358"/>
    <w:rsid w:val="000A40A4"/>
    <w:rsid w:val="000A555F"/>
    <w:rsid w:val="000B07FD"/>
    <w:rsid w:val="000B1A7D"/>
    <w:rsid w:val="000C21CB"/>
    <w:rsid w:val="000C4E26"/>
    <w:rsid w:val="000C591B"/>
    <w:rsid w:val="000C691E"/>
    <w:rsid w:val="000C6BA2"/>
    <w:rsid w:val="000D0B7D"/>
    <w:rsid w:val="000D14D2"/>
    <w:rsid w:val="000D2909"/>
    <w:rsid w:val="000D5B16"/>
    <w:rsid w:val="000E0D47"/>
    <w:rsid w:val="000E11AA"/>
    <w:rsid w:val="000E3B08"/>
    <w:rsid w:val="000E6DAC"/>
    <w:rsid w:val="000E7127"/>
    <w:rsid w:val="000F14DB"/>
    <w:rsid w:val="000F53C4"/>
    <w:rsid w:val="000F6EFC"/>
    <w:rsid w:val="0010528D"/>
    <w:rsid w:val="001069F0"/>
    <w:rsid w:val="00113EE4"/>
    <w:rsid w:val="00120337"/>
    <w:rsid w:val="001211F1"/>
    <w:rsid w:val="0012415C"/>
    <w:rsid w:val="00124CF9"/>
    <w:rsid w:val="001254C6"/>
    <w:rsid w:val="001278F0"/>
    <w:rsid w:val="001400A1"/>
    <w:rsid w:val="00141A4D"/>
    <w:rsid w:val="0015333F"/>
    <w:rsid w:val="001543AF"/>
    <w:rsid w:val="00154FBB"/>
    <w:rsid w:val="00156CB2"/>
    <w:rsid w:val="00157E9F"/>
    <w:rsid w:val="00161A69"/>
    <w:rsid w:val="00163577"/>
    <w:rsid w:val="00166A34"/>
    <w:rsid w:val="00172D73"/>
    <w:rsid w:val="001771AF"/>
    <w:rsid w:val="0018274A"/>
    <w:rsid w:val="00191FC9"/>
    <w:rsid w:val="001A4CCC"/>
    <w:rsid w:val="001B038E"/>
    <w:rsid w:val="001B7B34"/>
    <w:rsid w:val="001C484F"/>
    <w:rsid w:val="001D42A5"/>
    <w:rsid w:val="001E0B33"/>
    <w:rsid w:val="001F1883"/>
    <w:rsid w:val="001F5A99"/>
    <w:rsid w:val="001F617B"/>
    <w:rsid w:val="002004E7"/>
    <w:rsid w:val="0020429C"/>
    <w:rsid w:val="002171C7"/>
    <w:rsid w:val="00221096"/>
    <w:rsid w:val="00222203"/>
    <w:rsid w:val="0022410A"/>
    <w:rsid w:val="002248D8"/>
    <w:rsid w:val="002278A3"/>
    <w:rsid w:val="00241262"/>
    <w:rsid w:val="002530CF"/>
    <w:rsid w:val="00254C5F"/>
    <w:rsid w:val="002606BB"/>
    <w:rsid w:val="00261188"/>
    <w:rsid w:val="00261747"/>
    <w:rsid w:val="00261DFB"/>
    <w:rsid w:val="00263BB2"/>
    <w:rsid w:val="00263D2A"/>
    <w:rsid w:val="00264091"/>
    <w:rsid w:val="0026513C"/>
    <w:rsid w:val="002672CD"/>
    <w:rsid w:val="00271B33"/>
    <w:rsid w:val="0027459A"/>
    <w:rsid w:val="002800CC"/>
    <w:rsid w:val="00281A26"/>
    <w:rsid w:val="00283FAB"/>
    <w:rsid w:val="00287FD4"/>
    <w:rsid w:val="00290C93"/>
    <w:rsid w:val="00291BCF"/>
    <w:rsid w:val="00297831"/>
    <w:rsid w:val="002A10EE"/>
    <w:rsid w:val="002A5D19"/>
    <w:rsid w:val="002B1C7D"/>
    <w:rsid w:val="002B2403"/>
    <w:rsid w:val="002B47A4"/>
    <w:rsid w:val="002B4CBE"/>
    <w:rsid w:val="002B4CCD"/>
    <w:rsid w:val="002B6729"/>
    <w:rsid w:val="002C3C16"/>
    <w:rsid w:val="002C73D0"/>
    <w:rsid w:val="002E182E"/>
    <w:rsid w:val="002F3661"/>
    <w:rsid w:val="002F59C3"/>
    <w:rsid w:val="002F7202"/>
    <w:rsid w:val="003008C0"/>
    <w:rsid w:val="00305D0A"/>
    <w:rsid w:val="003065BF"/>
    <w:rsid w:val="00311729"/>
    <w:rsid w:val="00315491"/>
    <w:rsid w:val="00316FAD"/>
    <w:rsid w:val="003202FB"/>
    <w:rsid w:val="0032175E"/>
    <w:rsid w:val="0032213F"/>
    <w:rsid w:val="00323D50"/>
    <w:rsid w:val="00325AA1"/>
    <w:rsid w:val="0033043B"/>
    <w:rsid w:val="00334376"/>
    <w:rsid w:val="0033516C"/>
    <w:rsid w:val="00343C24"/>
    <w:rsid w:val="00347061"/>
    <w:rsid w:val="003500D5"/>
    <w:rsid w:val="00360CBA"/>
    <w:rsid w:val="00361FBC"/>
    <w:rsid w:val="003630A8"/>
    <w:rsid w:val="00364B31"/>
    <w:rsid w:val="00370768"/>
    <w:rsid w:val="00371B00"/>
    <w:rsid w:val="003720E7"/>
    <w:rsid w:val="003774A3"/>
    <w:rsid w:val="00380074"/>
    <w:rsid w:val="0038039B"/>
    <w:rsid w:val="00380C0E"/>
    <w:rsid w:val="0038287A"/>
    <w:rsid w:val="00384102"/>
    <w:rsid w:val="00387EF9"/>
    <w:rsid w:val="0039341E"/>
    <w:rsid w:val="00397A2C"/>
    <w:rsid w:val="003A78E9"/>
    <w:rsid w:val="003A7971"/>
    <w:rsid w:val="003B0743"/>
    <w:rsid w:val="003B5237"/>
    <w:rsid w:val="003C3753"/>
    <w:rsid w:val="003D3619"/>
    <w:rsid w:val="003E1B45"/>
    <w:rsid w:val="003E369B"/>
    <w:rsid w:val="003E3726"/>
    <w:rsid w:val="003E7814"/>
    <w:rsid w:val="003F6961"/>
    <w:rsid w:val="003F6FA1"/>
    <w:rsid w:val="0040545E"/>
    <w:rsid w:val="00410A9D"/>
    <w:rsid w:val="0041299B"/>
    <w:rsid w:val="00423AB3"/>
    <w:rsid w:val="00423CE6"/>
    <w:rsid w:val="00427548"/>
    <w:rsid w:val="0043309E"/>
    <w:rsid w:val="00436E5D"/>
    <w:rsid w:val="004500F3"/>
    <w:rsid w:val="004534D8"/>
    <w:rsid w:val="00454E20"/>
    <w:rsid w:val="004553DB"/>
    <w:rsid w:val="00457A06"/>
    <w:rsid w:val="004648C2"/>
    <w:rsid w:val="00464C10"/>
    <w:rsid w:val="004705EC"/>
    <w:rsid w:val="00471AE0"/>
    <w:rsid w:val="00475A62"/>
    <w:rsid w:val="004845CF"/>
    <w:rsid w:val="00485F8B"/>
    <w:rsid w:val="00486AEA"/>
    <w:rsid w:val="004870B1"/>
    <w:rsid w:val="00491644"/>
    <w:rsid w:val="00492ABC"/>
    <w:rsid w:val="004A47E4"/>
    <w:rsid w:val="004A550F"/>
    <w:rsid w:val="004A612E"/>
    <w:rsid w:val="004A6FA3"/>
    <w:rsid w:val="004A7521"/>
    <w:rsid w:val="004A7E16"/>
    <w:rsid w:val="004B0674"/>
    <w:rsid w:val="004B3D54"/>
    <w:rsid w:val="004B5C4A"/>
    <w:rsid w:val="004B7DD8"/>
    <w:rsid w:val="004C1BFC"/>
    <w:rsid w:val="004D3B3A"/>
    <w:rsid w:val="004D4D5C"/>
    <w:rsid w:val="004E4BEB"/>
    <w:rsid w:val="004E4E6A"/>
    <w:rsid w:val="004E54F1"/>
    <w:rsid w:val="004F1645"/>
    <w:rsid w:val="004F452D"/>
    <w:rsid w:val="004F5A8C"/>
    <w:rsid w:val="00501162"/>
    <w:rsid w:val="005013B3"/>
    <w:rsid w:val="005026C5"/>
    <w:rsid w:val="0050448F"/>
    <w:rsid w:val="00505BDE"/>
    <w:rsid w:val="00505EA7"/>
    <w:rsid w:val="0051674A"/>
    <w:rsid w:val="00527005"/>
    <w:rsid w:val="005312D4"/>
    <w:rsid w:val="0053287D"/>
    <w:rsid w:val="00536520"/>
    <w:rsid w:val="00536D51"/>
    <w:rsid w:val="0054365E"/>
    <w:rsid w:val="00547449"/>
    <w:rsid w:val="00561FB2"/>
    <w:rsid w:val="00565A84"/>
    <w:rsid w:val="005858FB"/>
    <w:rsid w:val="005871A0"/>
    <w:rsid w:val="0059556F"/>
    <w:rsid w:val="005B15EE"/>
    <w:rsid w:val="005B5E88"/>
    <w:rsid w:val="005C2D41"/>
    <w:rsid w:val="005C3CC3"/>
    <w:rsid w:val="005C6724"/>
    <w:rsid w:val="005D369F"/>
    <w:rsid w:val="005D7D51"/>
    <w:rsid w:val="005E0BBB"/>
    <w:rsid w:val="005E22BC"/>
    <w:rsid w:val="005E6772"/>
    <w:rsid w:val="005E7E02"/>
    <w:rsid w:val="005F24F1"/>
    <w:rsid w:val="005F4D4C"/>
    <w:rsid w:val="006035BB"/>
    <w:rsid w:val="00622A36"/>
    <w:rsid w:val="00623B77"/>
    <w:rsid w:val="0062554D"/>
    <w:rsid w:val="0062590A"/>
    <w:rsid w:val="00625E0D"/>
    <w:rsid w:val="00630141"/>
    <w:rsid w:val="00631758"/>
    <w:rsid w:val="0063793A"/>
    <w:rsid w:val="00637B38"/>
    <w:rsid w:val="00643B40"/>
    <w:rsid w:val="00645010"/>
    <w:rsid w:val="006560D0"/>
    <w:rsid w:val="006600C8"/>
    <w:rsid w:val="0066155B"/>
    <w:rsid w:val="006633EE"/>
    <w:rsid w:val="006641EF"/>
    <w:rsid w:val="00667CDF"/>
    <w:rsid w:val="00675FA1"/>
    <w:rsid w:val="0068628F"/>
    <w:rsid w:val="00687AC7"/>
    <w:rsid w:val="006942D8"/>
    <w:rsid w:val="006A61F1"/>
    <w:rsid w:val="006B0263"/>
    <w:rsid w:val="006B10B2"/>
    <w:rsid w:val="006B37DF"/>
    <w:rsid w:val="006B550B"/>
    <w:rsid w:val="006B794C"/>
    <w:rsid w:val="006C17CA"/>
    <w:rsid w:val="006C2BA0"/>
    <w:rsid w:val="006C33AA"/>
    <w:rsid w:val="006C4CB6"/>
    <w:rsid w:val="006C6056"/>
    <w:rsid w:val="006C6AD3"/>
    <w:rsid w:val="006C79EF"/>
    <w:rsid w:val="006D3823"/>
    <w:rsid w:val="006D4D21"/>
    <w:rsid w:val="006E021F"/>
    <w:rsid w:val="006E06F6"/>
    <w:rsid w:val="006E49AD"/>
    <w:rsid w:val="00701482"/>
    <w:rsid w:val="00703715"/>
    <w:rsid w:val="00710A59"/>
    <w:rsid w:val="00710F5F"/>
    <w:rsid w:val="00717A67"/>
    <w:rsid w:val="007221A2"/>
    <w:rsid w:val="007221C1"/>
    <w:rsid w:val="0072289E"/>
    <w:rsid w:val="007268E4"/>
    <w:rsid w:val="0073121D"/>
    <w:rsid w:val="007341C0"/>
    <w:rsid w:val="00741376"/>
    <w:rsid w:val="007462CD"/>
    <w:rsid w:val="00746486"/>
    <w:rsid w:val="00752B28"/>
    <w:rsid w:val="00755398"/>
    <w:rsid w:val="00756272"/>
    <w:rsid w:val="0075778D"/>
    <w:rsid w:val="007601D2"/>
    <w:rsid w:val="007611D3"/>
    <w:rsid w:val="007616C4"/>
    <w:rsid w:val="007722ED"/>
    <w:rsid w:val="0077239A"/>
    <w:rsid w:val="00786BC8"/>
    <w:rsid w:val="00787CA9"/>
    <w:rsid w:val="00796B05"/>
    <w:rsid w:val="007A145D"/>
    <w:rsid w:val="007A39E4"/>
    <w:rsid w:val="007A78B9"/>
    <w:rsid w:val="007A7CEE"/>
    <w:rsid w:val="007B3BB2"/>
    <w:rsid w:val="007B59BE"/>
    <w:rsid w:val="007D11ED"/>
    <w:rsid w:val="007D15C6"/>
    <w:rsid w:val="007E2A7A"/>
    <w:rsid w:val="007F1DC0"/>
    <w:rsid w:val="007F2E36"/>
    <w:rsid w:val="007F2FED"/>
    <w:rsid w:val="008036FD"/>
    <w:rsid w:val="00805FB0"/>
    <w:rsid w:val="008151B8"/>
    <w:rsid w:val="00816E8F"/>
    <w:rsid w:val="00826F5C"/>
    <w:rsid w:val="00831006"/>
    <w:rsid w:val="008412FD"/>
    <w:rsid w:val="0084439F"/>
    <w:rsid w:val="008551EF"/>
    <w:rsid w:val="00857327"/>
    <w:rsid w:val="008577D9"/>
    <w:rsid w:val="00863375"/>
    <w:rsid w:val="008634B8"/>
    <w:rsid w:val="00876801"/>
    <w:rsid w:val="0087686E"/>
    <w:rsid w:val="0087704F"/>
    <w:rsid w:val="00882781"/>
    <w:rsid w:val="008977F4"/>
    <w:rsid w:val="00897BB1"/>
    <w:rsid w:val="008A5F66"/>
    <w:rsid w:val="008B1A5F"/>
    <w:rsid w:val="008B207A"/>
    <w:rsid w:val="008C0C2E"/>
    <w:rsid w:val="008C1512"/>
    <w:rsid w:val="008C1BE8"/>
    <w:rsid w:val="008C4AFE"/>
    <w:rsid w:val="008D0213"/>
    <w:rsid w:val="008D19AA"/>
    <w:rsid w:val="008D1A2F"/>
    <w:rsid w:val="008D24AA"/>
    <w:rsid w:val="008E0658"/>
    <w:rsid w:val="008E09E0"/>
    <w:rsid w:val="008E0EA8"/>
    <w:rsid w:val="008E2525"/>
    <w:rsid w:val="008E52AF"/>
    <w:rsid w:val="008E6A4D"/>
    <w:rsid w:val="008E6B69"/>
    <w:rsid w:val="008F2DD1"/>
    <w:rsid w:val="008F41B8"/>
    <w:rsid w:val="009036B9"/>
    <w:rsid w:val="009076C3"/>
    <w:rsid w:val="00910756"/>
    <w:rsid w:val="009115C2"/>
    <w:rsid w:val="00911C48"/>
    <w:rsid w:val="009130DB"/>
    <w:rsid w:val="00924414"/>
    <w:rsid w:val="0092545D"/>
    <w:rsid w:val="00927A0D"/>
    <w:rsid w:val="00927BED"/>
    <w:rsid w:val="00932E03"/>
    <w:rsid w:val="009346FD"/>
    <w:rsid w:val="00944176"/>
    <w:rsid w:val="0094568B"/>
    <w:rsid w:val="009461BE"/>
    <w:rsid w:val="009540C7"/>
    <w:rsid w:val="00955112"/>
    <w:rsid w:val="00956FDC"/>
    <w:rsid w:val="009570EF"/>
    <w:rsid w:val="00964FA6"/>
    <w:rsid w:val="009713BE"/>
    <w:rsid w:val="009725EB"/>
    <w:rsid w:val="009759BA"/>
    <w:rsid w:val="00976797"/>
    <w:rsid w:val="00980310"/>
    <w:rsid w:val="00980814"/>
    <w:rsid w:val="00980AA3"/>
    <w:rsid w:val="00981026"/>
    <w:rsid w:val="00982AA8"/>
    <w:rsid w:val="0098328A"/>
    <w:rsid w:val="00984231"/>
    <w:rsid w:val="009946D6"/>
    <w:rsid w:val="009A0E8F"/>
    <w:rsid w:val="009A183D"/>
    <w:rsid w:val="009A7227"/>
    <w:rsid w:val="009B207B"/>
    <w:rsid w:val="009B3B0C"/>
    <w:rsid w:val="009B6560"/>
    <w:rsid w:val="009C1228"/>
    <w:rsid w:val="009C5440"/>
    <w:rsid w:val="009C5965"/>
    <w:rsid w:val="009D46DD"/>
    <w:rsid w:val="009E54CD"/>
    <w:rsid w:val="009E7503"/>
    <w:rsid w:val="009F0828"/>
    <w:rsid w:val="009F1829"/>
    <w:rsid w:val="009F1CA5"/>
    <w:rsid w:val="009F23C8"/>
    <w:rsid w:val="009F5CBA"/>
    <w:rsid w:val="00A012B1"/>
    <w:rsid w:val="00A02E33"/>
    <w:rsid w:val="00A049EA"/>
    <w:rsid w:val="00A07EE5"/>
    <w:rsid w:val="00A1250D"/>
    <w:rsid w:val="00A12552"/>
    <w:rsid w:val="00A1353F"/>
    <w:rsid w:val="00A2279E"/>
    <w:rsid w:val="00A32F14"/>
    <w:rsid w:val="00A34960"/>
    <w:rsid w:val="00A37B9E"/>
    <w:rsid w:val="00A4015F"/>
    <w:rsid w:val="00A4339D"/>
    <w:rsid w:val="00A54B12"/>
    <w:rsid w:val="00A651D4"/>
    <w:rsid w:val="00A65BCF"/>
    <w:rsid w:val="00A76046"/>
    <w:rsid w:val="00A8072B"/>
    <w:rsid w:val="00A830A7"/>
    <w:rsid w:val="00A83FB6"/>
    <w:rsid w:val="00A8402A"/>
    <w:rsid w:val="00A84E1C"/>
    <w:rsid w:val="00A871CA"/>
    <w:rsid w:val="00A969DD"/>
    <w:rsid w:val="00AA4642"/>
    <w:rsid w:val="00AA6A5F"/>
    <w:rsid w:val="00AB0D83"/>
    <w:rsid w:val="00AB2CCC"/>
    <w:rsid w:val="00AB4098"/>
    <w:rsid w:val="00AC1C67"/>
    <w:rsid w:val="00AC2A8F"/>
    <w:rsid w:val="00AC4910"/>
    <w:rsid w:val="00AC6862"/>
    <w:rsid w:val="00AD35D9"/>
    <w:rsid w:val="00AD757F"/>
    <w:rsid w:val="00AF14F6"/>
    <w:rsid w:val="00AF4431"/>
    <w:rsid w:val="00B01F08"/>
    <w:rsid w:val="00B02C10"/>
    <w:rsid w:val="00B053A5"/>
    <w:rsid w:val="00B062EB"/>
    <w:rsid w:val="00B07EC4"/>
    <w:rsid w:val="00B12C61"/>
    <w:rsid w:val="00B167AD"/>
    <w:rsid w:val="00B20982"/>
    <w:rsid w:val="00B32D94"/>
    <w:rsid w:val="00B339D1"/>
    <w:rsid w:val="00B353F7"/>
    <w:rsid w:val="00B37CB9"/>
    <w:rsid w:val="00B610FF"/>
    <w:rsid w:val="00B6617F"/>
    <w:rsid w:val="00B66586"/>
    <w:rsid w:val="00B66F56"/>
    <w:rsid w:val="00B67998"/>
    <w:rsid w:val="00B7167B"/>
    <w:rsid w:val="00B74FA2"/>
    <w:rsid w:val="00B94487"/>
    <w:rsid w:val="00B96AA4"/>
    <w:rsid w:val="00BA19D4"/>
    <w:rsid w:val="00BA328E"/>
    <w:rsid w:val="00BA3BEB"/>
    <w:rsid w:val="00BA421E"/>
    <w:rsid w:val="00BB1383"/>
    <w:rsid w:val="00BB13BD"/>
    <w:rsid w:val="00BB496A"/>
    <w:rsid w:val="00BB7D37"/>
    <w:rsid w:val="00BC0214"/>
    <w:rsid w:val="00BC1220"/>
    <w:rsid w:val="00BC73B5"/>
    <w:rsid w:val="00BD4EC6"/>
    <w:rsid w:val="00BD7D01"/>
    <w:rsid w:val="00BE6C53"/>
    <w:rsid w:val="00BE7D3C"/>
    <w:rsid w:val="00BF1A0A"/>
    <w:rsid w:val="00C03665"/>
    <w:rsid w:val="00C04036"/>
    <w:rsid w:val="00C05996"/>
    <w:rsid w:val="00C07377"/>
    <w:rsid w:val="00C22943"/>
    <w:rsid w:val="00C254AA"/>
    <w:rsid w:val="00C36040"/>
    <w:rsid w:val="00C435AF"/>
    <w:rsid w:val="00C44E55"/>
    <w:rsid w:val="00C50DBB"/>
    <w:rsid w:val="00C56682"/>
    <w:rsid w:val="00C57162"/>
    <w:rsid w:val="00C63730"/>
    <w:rsid w:val="00C64606"/>
    <w:rsid w:val="00C70D24"/>
    <w:rsid w:val="00C75B37"/>
    <w:rsid w:val="00C7721C"/>
    <w:rsid w:val="00C8004E"/>
    <w:rsid w:val="00C801E3"/>
    <w:rsid w:val="00C80E4A"/>
    <w:rsid w:val="00C9307F"/>
    <w:rsid w:val="00C965EA"/>
    <w:rsid w:val="00C97769"/>
    <w:rsid w:val="00C97D3C"/>
    <w:rsid w:val="00CA3D5D"/>
    <w:rsid w:val="00CA549B"/>
    <w:rsid w:val="00CB23A0"/>
    <w:rsid w:val="00CB2F16"/>
    <w:rsid w:val="00CB669D"/>
    <w:rsid w:val="00CC0F92"/>
    <w:rsid w:val="00CC4F05"/>
    <w:rsid w:val="00CD2B69"/>
    <w:rsid w:val="00CD2ED3"/>
    <w:rsid w:val="00CE482C"/>
    <w:rsid w:val="00CF12F7"/>
    <w:rsid w:val="00CF17F3"/>
    <w:rsid w:val="00CF18DD"/>
    <w:rsid w:val="00CF47B5"/>
    <w:rsid w:val="00D01D9F"/>
    <w:rsid w:val="00D108B4"/>
    <w:rsid w:val="00D21C70"/>
    <w:rsid w:val="00D232CD"/>
    <w:rsid w:val="00D2398D"/>
    <w:rsid w:val="00D24123"/>
    <w:rsid w:val="00D2568B"/>
    <w:rsid w:val="00D34F07"/>
    <w:rsid w:val="00D449C5"/>
    <w:rsid w:val="00D465A6"/>
    <w:rsid w:val="00D50C5C"/>
    <w:rsid w:val="00D510CF"/>
    <w:rsid w:val="00D536AF"/>
    <w:rsid w:val="00D53993"/>
    <w:rsid w:val="00D53BB5"/>
    <w:rsid w:val="00D57373"/>
    <w:rsid w:val="00D735F7"/>
    <w:rsid w:val="00D85A84"/>
    <w:rsid w:val="00D9411D"/>
    <w:rsid w:val="00DA13B8"/>
    <w:rsid w:val="00DA1E93"/>
    <w:rsid w:val="00DA4B41"/>
    <w:rsid w:val="00DB6AAF"/>
    <w:rsid w:val="00DC5FA1"/>
    <w:rsid w:val="00DC6788"/>
    <w:rsid w:val="00DC6AC5"/>
    <w:rsid w:val="00DE7794"/>
    <w:rsid w:val="00DF512A"/>
    <w:rsid w:val="00DF59B3"/>
    <w:rsid w:val="00DF6988"/>
    <w:rsid w:val="00DF7250"/>
    <w:rsid w:val="00DF76C1"/>
    <w:rsid w:val="00E02D7A"/>
    <w:rsid w:val="00E04E16"/>
    <w:rsid w:val="00E06744"/>
    <w:rsid w:val="00E10ECB"/>
    <w:rsid w:val="00E13963"/>
    <w:rsid w:val="00E203FB"/>
    <w:rsid w:val="00E21DD7"/>
    <w:rsid w:val="00E250DD"/>
    <w:rsid w:val="00E25716"/>
    <w:rsid w:val="00E328C8"/>
    <w:rsid w:val="00E364D9"/>
    <w:rsid w:val="00E44FF6"/>
    <w:rsid w:val="00E458F1"/>
    <w:rsid w:val="00E50347"/>
    <w:rsid w:val="00E52EB4"/>
    <w:rsid w:val="00E5362A"/>
    <w:rsid w:val="00E53BF5"/>
    <w:rsid w:val="00E54118"/>
    <w:rsid w:val="00E55B1F"/>
    <w:rsid w:val="00E659F7"/>
    <w:rsid w:val="00E86446"/>
    <w:rsid w:val="00E92368"/>
    <w:rsid w:val="00E97AB5"/>
    <w:rsid w:val="00EB22DC"/>
    <w:rsid w:val="00EB4F6D"/>
    <w:rsid w:val="00EB5D75"/>
    <w:rsid w:val="00EB6C87"/>
    <w:rsid w:val="00EC0A45"/>
    <w:rsid w:val="00ED13EA"/>
    <w:rsid w:val="00ED3B5B"/>
    <w:rsid w:val="00ED3B7E"/>
    <w:rsid w:val="00ED3C5A"/>
    <w:rsid w:val="00ED4943"/>
    <w:rsid w:val="00ED5440"/>
    <w:rsid w:val="00ED603D"/>
    <w:rsid w:val="00ED68BE"/>
    <w:rsid w:val="00ED6EF8"/>
    <w:rsid w:val="00EE478E"/>
    <w:rsid w:val="00EE7474"/>
    <w:rsid w:val="00EE7819"/>
    <w:rsid w:val="00EF04D2"/>
    <w:rsid w:val="00EF473F"/>
    <w:rsid w:val="00F01722"/>
    <w:rsid w:val="00F02D05"/>
    <w:rsid w:val="00F035F2"/>
    <w:rsid w:val="00F0438C"/>
    <w:rsid w:val="00F201A5"/>
    <w:rsid w:val="00F24124"/>
    <w:rsid w:val="00F241BD"/>
    <w:rsid w:val="00F24729"/>
    <w:rsid w:val="00F252F8"/>
    <w:rsid w:val="00F32921"/>
    <w:rsid w:val="00F350F0"/>
    <w:rsid w:val="00F43A48"/>
    <w:rsid w:val="00F446E4"/>
    <w:rsid w:val="00F50238"/>
    <w:rsid w:val="00F53728"/>
    <w:rsid w:val="00F73DD2"/>
    <w:rsid w:val="00F762D4"/>
    <w:rsid w:val="00F840D4"/>
    <w:rsid w:val="00F844AF"/>
    <w:rsid w:val="00F900E7"/>
    <w:rsid w:val="00F91779"/>
    <w:rsid w:val="00F918DB"/>
    <w:rsid w:val="00F93559"/>
    <w:rsid w:val="00FB0622"/>
    <w:rsid w:val="00FB0FCC"/>
    <w:rsid w:val="00FB1D03"/>
    <w:rsid w:val="00FC2C8D"/>
    <w:rsid w:val="00FC5549"/>
    <w:rsid w:val="00FC6429"/>
    <w:rsid w:val="00FC7CCD"/>
    <w:rsid w:val="00FD16A2"/>
    <w:rsid w:val="00FD2C87"/>
    <w:rsid w:val="00FD32BA"/>
    <w:rsid w:val="00FD5E70"/>
    <w:rsid w:val="00FD7ADD"/>
    <w:rsid w:val="00FE2E24"/>
    <w:rsid w:val="00FE48AF"/>
    <w:rsid w:val="00FE4B56"/>
    <w:rsid w:val="00FF3217"/>
    <w:rsid w:val="00FF72F4"/>
    <w:rsid w:val="00FF7584"/>
    <w:rsid w:val="1A932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12"/>
    <w:semiHidden/>
    <w:unhideWhenUsed/>
    <w:uiPriority w:val="99"/>
    <w:pPr>
      <w:tabs>
        <w:tab w:val="center" w:pos="4153"/>
        <w:tab w:val="right" w:pos="8306"/>
      </w:tabs>
      <w:snapToGrid w:val="0"/>
      <w:jc w:val="left"/>
    </w:pPr>
    <w:rPr>
      <w:sz w:val="18"/>
      <w:szCs w:val="18"/>
    </w:rPr>
  </w:style>
  <w:style w:type="paragraph" w:styleId="4">
    <w:name w:val="header"/>
    <w:basedOn w:val="1"/>
    <w:link w:val="11"/>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99"/>
    <w:rPr>
      <w:rFonts w:cs="Times New Roman"/>
      <w:b/>
      <w:bCs/>
    </w:rPr>
  </w:style>
  <w:style w:type="character" w:styleId="8">
    <w:name w:val="Hyperlink"/>
    <w:basedOn w:val="6"/>
    <w:unhideWhenUsed/>
    <w:uiPriority w:val="99"/>
    <w:rPr>
      <w:color w:val="0000FF" w:themeColor="hyperlink"/>
      <w:u w:val="single"/>
    </w:rPr>
  </w:style>
  <w:style w:type="character" w:customStyle="1" w:styleId="10">
    <w:name w:val="批注框文本 Char"/>
    <w:basedOn w:val="6"/>
    <w:link w:val="2"/>
    <w:semiHidden/>
    <w:uiPriority w:val="99"/>
    <w:rPr>
      <w:sz w:val="18"/>
      <w:szCs w:val="18"/>
    </w:rPr>
  </w:style>
  <w:style w:type="character" w:customStyle="1" w:styleId="11">
    <w:name w:val="页眉 Char"/>
    <w:basedOn w:val="6"/>
    <w:link w:val="4"/>
    <w:semiHidden/>
    <w:uiPriority w:val="99"/>
    <w:rPr>
      <w:sz w:val="18"/>
      <w:szCs w:val="18"/>
    </w:rPr>
  </w:style>
  <w:style w:type="character" w:customStyle="1" w:styleId="12">
    <w:name w:val="页脚 Char"/>
    <w:basedOn w:val="6"/>
    <w:link w:val="3"/>
    <w:semiHidden/>
    <w:uiPriority w:val="99"/>
    <w:rPr>
      <w:sz w:val="18"/>
      <w:szCs w:val="18"/>
    </w:rPr>
  </w:style>
  <w:style w:type="paragraph" w:styleId="13">
    <w:name w:val="List Paragraph"/>
    <w:basedOn w:val="1"/>
    <w:qFormat/>
    <w:uiPriority w:val="34"/>
    <w:pPr>
      <w:ind w:firstLine="420" w:firstLineChars="200"/>
    </w:pPr>
  </w:style>
  <w:style w:type="paragraph" w:customStyle="1" w:styleId="14">
    <w:name w:val="默认段落字体 Para Char Char Char Char"/>
    <w:basedOn w:val="1"/>
    <w:uiPriority w:val="99"/>
    <w:rPr>
      <w:rFonts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809</Words>
  <Characters>4613</Characters>
  <Lines>38</Lines>
  <Paragraphs>10</Paragraphs>
  <TotalTime>17</TotalTime>
  <ScaleCrop>false</ScaleCrop>
  <LinksUpToDate>false</LinksUpToDate>
  <CharactersWithSpaces>5412</CharactersWithSpaces>
  <Application>WPS Office_11.1.0.8002_F1E327BC-269C-435d-A152-05C5408002CA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2018-10-18T02:29:00Z</dcterms:created>
  <dc:creator>Administrator</dc:creator>
  <cp:lastModifiedBy>Administrator</cp:lastModifiedBy>
  <dcterms:modified xsi:type="dcterms:W3CDTF">2018-12-07T03:09:38Z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